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kern w:val="0"/>
          <w:sz w:val="32"/>
          <w:szCs w:val="32"/>
        </w:rPr>
      </w:pPr>
      <w:r>
        <w:rPr>
          <w:rFonts w:hint="eastAsia" w:ascii="方正小标宋_GBK" w:hAnsi="方正小标宋_GBK" w:eastAsia="方正小标宋_GBK" w:cs="方正小标宋_GBK"/>
          <w:color w:val="000000"/>
          <w:sz w:val="32"/>
          <w:szCs w:val="32"/>
        </w:rPr>
        <w:t>重庆市埋地排水排污用</w:t>
      </w:r>
      <w:r>
        <w:rPr>
          <w:rFonts w:hint="eastAsia" w:ascii="方正小标宋_GBK" w:hAnsi="方正小标宋_GBK" w:eastAsia="方正小标宋_GBK" w:cs="方正小标宋_GBK"/>
          <w:kern w:val="0"/>
          <w:sz w:val="32"/>
          <w:szCs w:val="32"/>
        </w:rPr>
        <w:t>聚丙烯（PP）结构壁管</w:t>
      </w:r>
    </w:p>
    <w:p>
      <w:pPr>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sz w:val="32"/>
          <w:szCs w:val="32"/>
        </w:rPr>
        <w:t>产品</w:t>
      </w:r>
      <w:r>
        <w:rPr>
          <w:rFonts w:hint="eastAsia" w:ascii="方正小标宋_GBK" w:hAnsi="方正小标宋_GBK" w:eastAsia="方正小标宋_GBK" w:cs="方正小标宋_GBK"/>
          <w:color w:val="000000"/>
          <w:sz w:val="32"/>
          <w:szCs w:val="32"/>
        </w:rPr>
        <w:t>质量监督抽查实施细则</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szCs w:val="21"/>
        </w:rPr>
        <w:t>每批次产品抽取3根，每根截取4段，每段1m；每根中的2段（共6段）作为检验样品，另外2段（共6段）作为备用样品。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05"/>
        <w:rPr>
          <w:rFonts w:ascii="宋体" w:cs="Sim Sun"/>
          <w:kern w:val="0"/>
          <w:szCs w:val="21"/>
        </w:rPr>
      </w:pPr>
      <w:r>
        <w:rPr>
          <w:rFonts w:hint="eastAsia" w:cs="方正仿宋简体" w:asciiTheme="minorEastAsia" w:hAnsiTheme="minorEastAsia" w:eastAsiaTheme="minorEastAsia"/>
          <w:color w:val="000000"/>
          <w:szCs w:val="21"/>
        </w:rPr>
        <w:t>埋地排水排污用</w:t>
      </w:r>
      <w:r>
        <w:rPr>
          <w:rFonts w:hint="eastAsia" w:cs="Sim Sun" w:asciiTheme="minorEastAsia" w:hAnsiTheme="minorEastAsia" w:eastAsiaTheme="minorEastAsia"/>
          <w:kern w:val="0"/>
          <w:szCs w:val="21"/>
        </w:rPr>
        <w:t>聚丙烯（PP）结构壁管</w:t>
      </w:r>
      <w:r>
        <w:rPr>
          <w:rFonts w:hint="eastAsia" w:asciiTheme="minorEastAsia" w:hAnsiTheme="minorEastAsia" w:eastAsiaTheme="minorEastAsia"/>
          <w:szCs w:val="21"/>
        </w:rPr>
        <w:t>产品</w:t>
      </w:r>
      <w:r>
        <w:rPr>
          <w:rFonts w:hint="eastAsia" w:ascii="宋体" w:cs="Sim Sun"/>
          <w:kern w:val="0"/>
          <w:szCs w:val="21"/>
        </w:rPr>
        <w:t>包含：聚丙烯双壁波纹管材和聚丙烯缠绕结构壁管材，其</w:t>
      </w:r>
      <w:r>
        <w:rPr>
          <w:rFonts w:hint="eastAsia" w:ascii="宋体" w:hAnsi="宋体"/>
          <w:color w:val="000000"/>
          <w:szCs w:val="21"/>
        </w:rPr>
        <w:t>检验项目和检验方法见表1和表2</w:t>
      </w:r>
      <w:r>
        <w:rPr>
          <w:rFonts w:hint="eastAsia" w:ascii="宋体" w:cs="Sim Sun"/>
          <w:kern w:val="0"/>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 xml:space="preserve">表1 </w:t>
      </w:r>
      <w:r>
        <w:rPr>
          <w:rFonts w:hint="eastAsia" w:ascii="宋体" w:cs="Sim Sun"/>
          <w:color w:val="000000" w:themeColor="text1"/>
          <w:kern w:val="0"/>
          <w:szCs w:val="21"/>
        </w:rPr>
        <w:t>聚丙烯双壁波纹管材</w:t>
      </w:r>
      <w:r>
        <w:rPr>
          <w:rFonts w:hint="eastAsia" w:ascii="宋体" w:hAnsi="宋体"/>
          <w:color w:val="000000" w:themeColor="text1"/>
          <w:szCs w:val="21"/>
        </w:rPr>
        <w:t>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1559"/>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序号</w:t>
            </w:r>
          </w:p>
        </w:tc>
        <w:tc>
          <w:tcPr>
            <w:tcW w:w="2835" w:type="dxa"/>
            <w:gridSpan w:val="2"/>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检验项目</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判定依据</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817" w:type="dxa"/>
            <w:vMerge w:val="restart"/>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1</w:t>
            </w:r>
          </w:p>
        </w:tc>
        <w:tc>
          <w:tcPr>
            <w:tcW w:w="1276" w:type="dxa"/>
            <w:vMerge w:val="restart"/>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themeColor="text1"/>
                <w:szCs w:val="21"/>
              </w:rPr>
            </w:pPr>
            <w:r>
              <w:rPr>
                <w:rFonts w:hint="eastAsia" w:ascii="宋体" w:hAnsi="宋体"/>
                <w:color w:val="000000" w:themeColor="text1"/>
                <w:szCs w:val="21"/>
              </w:rPr>
              <w:t>尺寸</w:t>
            </w:r>
          </w:p>
        </w:tc>
        <w:tc>
          <w:tcPr>
            <w:tcW w:w="1559" w:type="dxa"/>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themeColor="text1"/>
                <w:szCs w:val="21"/>
              </w:rPr>
            </w:pPr>
            <w:r>
              <w:rPr>
                <w:rFonts w:hint="eastAsia" w:ascii="宋体" w:hAnsi="宋体"/>
                <w:color w:val="000000" w:themeColor="text1"/>
                <w:szCs w:val="21"/>
              </w:rPr>
              <w:t>最小层压壁厚</w:t>
            </w:r>
          </w:p>
        </w:tc>
        <w:tc>
          <w:tcPr>
            <w:tcW w:w="2693" w:type="dxa"/>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c>
          <w:tcPr>
            <w:tcW w:w="2828"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8806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817" w:type="dxa"/>
            <w:vMerge w:val="continue"/>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p>
        </w:tc>
        <w:tc>
          <w:tcPr>
            <w:tcW w:w="1276" w:type="dxa"/>
            <w:vMerge w:val="continue"/>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themeColor="text1"/>
                <w:szCs w:val="21"/>
              </w:rPr>
            </w:pPr>
          </w:p>
        </w:tc>
        <w:tc>
          <w:tcPr>
            <w:tcW w:w="1559" w:type="dxa"/>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themeColor="text1"/>
                <w:szCs w:val="21"/>
              </w:rPr>
            </w:pPr>
            <w:r>
              <w:rPr>
                <w:rFonts w:hint="eastAsia" w:ascii="宋体" w:hAnsi="宋体"/>
                <w:color w:val="000000" w:themeColor="text1"/>
                <w:szCs w:val="21"/>
              </w:rPr>
              <w:t>最小内层壁厚</w:t>
            </w:r>
          </w:p>
        </w:tc>
        <w:tc>
          <w:tcPr>
            <w:tcW w:w="2693" w:type="dxa"/>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c>
          <w:tcPr>
            <w:tcW w:w="2828"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8806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2</w:t>
            </w:r>
          </w:p>
        </w:tc>
        <w:tc>
          <w:tcPr>
            <w:tcW w:w="2835" w:type="dxa"/>
            <w:gridSpan w:val="2"/>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密度</w:t>
            </w:r>
          </w:p>
        </w:tc>
        <w:tc>
          <w:tcPr>
            <w:tcW w:w="2693"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c>
          <w:tcPr>
            <w:tcW w:w="2828"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3</w:t>
            </w:r>
          </w:p>
        </w:tc>
        <w:tc>
          <w:tcPr>
            <w:tcW w:w="2835" w:type="dxa"/>
            <w:gridSpan w:val="2"/>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themeColor="text1"/>
                <w:szCs w:val="21"/>
              </w:rPr>
            </w:pPr>
            <w:r>
              <w:rPr>
                <w:rFonts w:hint="eastAsia" w:ascii="宋体" w:hAnsi="宋体"/>
                <w:color w:val="000000" w:themeColor="text1"/>
                <w:szCs w:val="21"/>
              </w:rPr>
              <w:t>灰分</w:t>
            </w:r>
          </w:p>
        </w:tc>
        <w:tc>
          <w:tcPr>
            <w:tcW w:w="2693" w:type="dxa"/>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c>
          <w:tcPr>
            <w:tcW w:w="2828"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9345.1-2008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4</w:t>
            </w:r>
          </w:p>
        </w:tc>
        <w:tc>
          <w:tcPr>
            <w:tcW w:w="2835" w:type="dxa"/>
            <w:gridSpan w:val="2"/>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氧化诱导时间</w:t>
            </w:r>
          </w:p>
        </w:tc>
        <w:tc>
          <w:tcPr>
            <w:tcW w:w="2693"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c>
          <w:tcPr>
            <w:tcW w:w="2828"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19466.6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5</w:t>
            </w:r>
          </w:p>
        </w:tc>
        <w:tc>
          <w:tcPr>
            <w:tcW w:w="2835" w:type="dxa"/>
            <w:gridSpan w:val="2"/>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环刚度</w:t>
            </w:r>
          </w:p>
        </w:tc>
        <w:tc>
          <w:tcPr>
            <w:tcW w:w="2693"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themeColor="text1"/>
                <w:szCs w:val="21"/>
              </w:rPr>
            </w:pPr>
            <w:r>
              <w:rPr>
                <w:rFonts w:hint="eastAsia" w:ascii="宋体" w:hAnsi="宋体"/>
                <w:color w:val="000000" w:themeColor="text1"/>
                <w:szCs w:val="21"/>
              </w:rPr>
              <w:t>GB</w:t>
            </w:r>
            <w:bookmarkStart w:id="0" w:name="_GoBack"/>
            <w:bookmarkEnd w:id="0"/>
            <w:r>
              <w:rPr>
                <w:rFonts w:hint="eastAsia" w:ascii="宋体" w:hAnsi="宋体"/>
                <w:color w:val="000000" w:themeColor="text1"/>
                <w:szCs w:val="21"/>
              </w:rPr>
              <w:t>/T 35451.1-2017</w:t>
            </w:r>
          </w:p>
        </w:tc>
        <w:tc>
          <w:tcPr>
            <w:tcW w:w="2828"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9647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6</w:t>
            </w:r>
          </w:p>
        </w:tc>
        <w:tc>
          <w:tcPr>
            <w:tcW w:w="2835" w:type="dxa"/>
            <w:gridSpan w:val="2"/>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冲击性能</w:t>
            </w:r>
          </w:p>
        </w:tc>
        <w:tc>
          <w:tcPr>
            <w:tcW w:w="2693"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c>
          <w:tcPr>
            <w:tcW w:w="2828"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7</w:t>
            </w:r>
          </w:p>
        </w:tc>
        <w:tc>
          <w:tcPr>
            <w:tcW w:w="2835" w:type="dxa"/>
            <w:gridSpan w:val="2"/>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环柔性</w:t>
            </w:r>
          </w:p>
        </w:tc>
        <w:tc>
          <w:tcPr>
            <w:tcW w:w="2693"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c>
          <w:tcPr>
            <w:tcW w:w="2828" w:type="dxa"/>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GB/T 9647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8</w:t>
            </w:r>
          </w:p>
        </w:tc>
        <w:tc>
          <w:tcPr>
            <w:tcW w:w="2835" w:type="dxa"/>
            <w:gridSpan w:val="2"/>
            <w:vAlign w:val="center"/>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烘箱试验</w:t>
            </w:r>
          </w:p>
        </w:tc>
        <w:tc>
          <w:tcPr>
            <w:tcW w:w="2693"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c>
          <w:tcPr>
            <w:tcW w:w="2828" w:type="dxa"/>
            <w:vAlign w:val="center"/>
          </w:tcPr>
          <w:p>
            <w:pPr>
              <w:keepNext w:val="0"/>
              <w:keepLines w:val="0"/>
              <w:suppressLineNumbers w:val="0"/>
              <w:snapToGrid w:val="0"/>
              <w:spacing w:before="0" w:beforeAutospacing="0" w:after="0" w:afterAutospacing="0"/>
              <w:ind w:left="0" w:right="0"/>
              <w:jc w:val="center"/>
              <w:rPr>
                <w:rFonts w:hint="default" w:ascii="宋体" w:hAnsi="宋体"/>
                <w:color w:val="000000" w:themeColor="text1"/>
                <w:szCs w:val="21"/>
              </w:rPr>
            </w:pPr>
            <w:r>
              <w:rPr>
                <w:rFonts w:hint="eastAsia" w:ascii="宋体" w:hAnsi="宋体"/>
                <w:color w:val="000000" w:themeColor="text1"/>
                <w:szCs w:val="21"/>
              </w:rPr>
              <w:t>GB/T 35451.1-2017</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表2 聚丙烯缠绕结构壁管材检验项目和检验方法</w:t>
      </w:r>
    </w:p>
    <w:tbl>
      <w:tblPr>
        <w:tblStyle w:val="6"/>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693"/>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序号</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检验项目</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判定依据</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1</w:t>
            </w:r>
          </w:p>
        </w:tc>
        <w:tc>
          <w:tcPr>
            <w:tcW w:w="2835" w:type="dxa"/>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szCs w:val="21"/>
              </w:rPr>
            </w:pPr>
            <w:r>
              <w:rPr>
                <w:rFonts w:hint="eastAsia" w:ascii="宋体" w:hAnsi="宋体"/>
                <w:color w:val="000000"/>
                <w:szCs w:val="21"/>
              </w:rPr>
              <w:t>最小内层壁厚</w:t>
            </w:r>
          </w:p>
        </w:tc>
        <w:tc>
          <w:tcPr>
            <w:tcW w:w="2693" w:type="dxa"/>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szCs w:val="21"/>
              </w:rPr>
            </w:pPr>
            <w:r>
              <w:rPr>
                <w:rFonts w:hint="eastAsia" w:ascii="宋体" w:hAnsi="宋体"/>
                <w:color w:val="000000" w:themeColor="text1"/>
                <w:szCs w:val="21"/>
              </w:rPr>
              <w:t>GB/T 35451.2-2018</w:t>
            </w:r>
          </w:p>
        </w:tc>
        <w:tc>
          <w:tcPr>
            <w:tcW w:w="2828" w:type="dxa"/>
            <w:vAlign w:val="center"/>
          </w:tcPr>
          <w:p>
            <w:pPr>
              <w:keepNext w:val="0"/>
              <w:keepLines w:val="0"/>
              <w:suppressLineNumbers w:val="0"/>
              <w:spacing w:before="0" w:beforeAutospacing="0" w:after="0" w:afterAutospacing="0" w:line="320" w:lineRule="exact"/>
              <w:ind w:left="0" w:right="0"/>
              <w:jc w:val="center"/>
              <w:rPr>
                <w:rFonts w:hint="default" w:ascii="宋体" w:hAnsi="宋体"/>
                <w:color w:val="000000"/>
                <w:szCs w:val="21"/>
              </w:rPr>
            </w:pPr>
            <w:r>
              <w:rPr>
                <w:rFonts w:hint="eastAsia" w:ascii="宋体" w:hAnsi="宋体"/>
                <w:color w:val="000000"/>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2</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密度</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3</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灰分</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szCs w:val="21"/>
              </w:rPr>
              <w:t>GB/T 9345.1-2008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4</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氧化诱导时间</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5</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纵向回缩率</w:t>
            </w:r>
            <w:r>
              <w:rPr>
                <w:rFonts w:hint="eastAsia" w:ascii="宋体" w:hAnsi="宋体"/>
                <w:szCs w:val="21"/>
                <w:vertAlign w:val="superscript"/>
              </w:rPr>
              <w:t>a</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6</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eastAsia" w:ascii="宋体" w:hAnsi="宋体"/>
                <w:szCs w:val="21"/>
              </w:rPr>
              <w:t>烘箱试验</w:t>
            </w:r>
            <w:r>
              <w:rPr>
                <w:rFonts w:hint="eastAsia" w:ascii="宋体" w:hAnsi="宋体"/>
                <w:szCs w:val="21"/>
                <w:vertAlign w:val="superscript"/>
              </w:rPr>
              <w:t>b</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 xml:space="preserve">GB/T </w:t>
            </w:r>
            <w:r>
              <w:rPr>
                <w:rFonts w:hint="eastAsia" w:ascii="宋体" w:hAnsi="宋体"/>
                <w:color w:val="000000" w:themeColor="text1"/>
                <w:szCs w:val="21"/>
              </w:rPr>
              <w:t>35451.2-2018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7</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szCs w:val="21"/>
              </w:rPr>
              <w:t>环刚度</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8</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szCs w:val="21"/>
              </w:rPr>
              <w:t>冲击性能</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9</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szCs w:val="21"/>
              </w:rPr>
              <w:t>环柔性</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817"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themeColor="text1"/>
                <w:szCs w:val="21"/>
              </w:rPr>
            </w:pPr>
            <w:r>
              <w:rPr>
                <w:rFonts w:hint="eastAsia" w:ascii="宋体" w:hAnsi="宋体"/>
                <w:color w:val="000000" w:themeColor="text1"/>
                <w:szCs w:val="21"/>
              </w:rPr>
              <w:t>10</w:t>
            </w:r>
          </w:p>
        </w:tc>
        <w:tc>
          <w:tcPr>
            <w:tcW w:w="2835" w:type="dxa"/>
          </w:tcPr>
          <w:p>
            <w:pPr>
              <w:keepNext w:val="0"/>
              <w:keepLines w:val="0"/>
              <w:suppressLineNumbers w:val="0"/>
              <w:snapToGrid w:val="0"/>
              <w:spacing w:before="0" w:beforeAutospacing="0" w:after="0" w:afterAutospacing="0" w:line="440" w:lineRule="exact"/>
              <w:ind w:left="0" w:right="0"/>
              <w:jc w:val="center"/>
              <w:rPr>
                <w:rFonts w:hint="default" w:ascii="宋体" w:hAnsi="宋体"/>
                <w:szCs w:val="21"/>
              </w:rPr>
            </w:pPr>
            <w:r>
              <w:rPr>
                <w:rFonts w:hint="default" w:ascii="宋体" w:hAnsi="宋体"/>
                <w:szCs w:val="21"/>
              </w:rPr>
              <w:t>熔接处的拉伸力</w:t>
            </w:r>
          </w:p>
        </w:tc>
        <w:tc>
          <w:tcPr>
            <w:tcW w:w="2693"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000000"/>
                <w:szCs w:val="21"/>
              </w:rPr>
            </w:pPr>
            <w:r>
              <w:rPr>
                <w:rFonts w:hint="eastAsia" w:ascii="宋体" w:hAnsi="宋体"/>
                <w:color w:val="000000" w:themeColor="text1"/>
                <w:szCs w:val="21"/>
              </w:rPr>
              <w:t>GB/T 35451.2-2018</w:t>
            </w:r>
          </w:p>
        </w:tc>
        <w:tc>
          <w:tcPr>
            <w:tcW w:w="2828" w:type="dxa"/>
          </w:tcPr>
          <w:p>
            <w:pPr>
              <w:keepNext w:val="0"/>
              <w:keepLines w:val="0"/>
              <w:suppressLineNumbers w:val="0"/>
              <w:snapToGrid w:val="0"/>
              <w:spacing w:before="0" w:beforeAutospacing="0" w:after="0" w:afterAutospacing="0" w:line="440" w:lineRule="exact"/>
              <w:ind w:left="0" w:right="0"/>
              <w:jc w:val="center"/>
              <w:rPr>
                <w:rFonts w:hint="default" w:ascii="宋体" w:hAnsi="宋体"/>
                <w:color w:val="FF0000"/>
                <w:szCs w:val="21"/>
              </w:rPr>
            </w:pPr>
            <w:r>
              <w:rPr>
                <w:rFonts w:hint="eastAsia" w:ascii="宋体" w:hAnsi="宋体"/>
                <w:color w:val="000000"/>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trPr>
        <w:tc>
          <w:tcPr>
            <w:tcW w:w="9173" w:type="dxa"/>
            <w:gridSpan w:val="4"/>
          </w:tcPr>
          <w:p>
            <w:pPr>
              <w:keepNext w:val="0"/>
              <w:keepLines w:val="0"/>
              <w:suppressLineNumbers w:val="0"/>
              <w:snapToGrid w:val="0"/>
              <w:spacing w:before="0" w:beforeAutospacing="0" w:after="0" w:afterAutospacing="0"/>
              <w:ind w:left="0" w:right="0"/>
              <w:jc w:val="left"/>
              <w:rPr>
                <w:rFonts w:hint="default" w:ascii="宋体" w:hAnsi="宋体"/>
                <w:color w:val="000000"/>
                <w:szCs w:val="21"/>
              </w:rPr>
            </w:pPr>
            <w:r>
              <w:rPr>
                <w:rFonts w:hint="eastAsia" w:ascii="宋体" w:hAnsi="宋体"/>
                <w:color w:val="000000"/>
                <w:szCs w:val="21"/>
                <w:vertAlign w:val="superscript"/>
              </w:rPr>
              <w:t>a</w:t>
            </w:r>
            <w:r>
              <w:rPr>
                <w:rFonts w:hint="eastAsia" w:ascii="宋体" w:hAnsi="宋体"/>
                <w:color w:val="000000"/>
                <w:szCs w:val="21"/>
              </w:rPr>
              <w:t>仅用于A型管材。</w:t>
            </w:r>
          </w:p>
          <w:p>
            <w:pPr>
              <w:keepNext w:val="0"/>
              <w:keepLines w:val="0"/>
              <w:suppressLineNumbers w:val="0"/>
              <w:snapToGrid w:val="0"/>
              <w:spacing w:before="0" w:beforeAutospacing="0" w:after="0" w:afterAutospacing="0"/>
              <w:ind w:left="0" w:right="0"/>
              <w:jc w:val="left"/>
              <w:rPr>
                <w:rFonts w:hint="default" w:ascii="宋体" w:hAnsi="宋体"/>
                <w:color w:val="000000"/>
                <w:szCs w:val="21"/>
              </w:rPr>
            </w:pPr>
            <w:r>
              <w:rPr>
                <w:rFonts w:hint="default" w:ascii="宋体" w:hAnsi="宋体"/>
                <w:color w:val="000000"/>
                <w:szCs w:val="21"/>
                <w:vertAlign w:val="superscript"/>
              </w:rPr>
              <w:t>b</w:t>
            </w:r>
            <w:r>
              <w:rPr>
                <w:rFonts w:hint="eastAsia" w:ascii="宋体" w:hAnsi="宋体"/>
                <w:color w:val="000000"/>
                <w:szCs w:val="21"/>
              </w:rPr>
              <w:t>仅用于B型管材。</w:t>
            </w:r>
          </w:p>
        </w:tc>
      </w:tr>
    </w:tbl>
    <w:p>
      <w:pPr>
        <w:keepNext w:val="0"/>
        <w:keepLines w:val="0"/>
        <w:pageBreakBefore w:val="0"/>
        <w:kinsoku/>
        <w:wordWrap/>
        <w:overflowPunct/>
        <w:topLinePunct w:val="0"/>
        <w:autoSpaceDE/>
        <w:autoSpaceDN/>
        <w:bidi w:val="0"/>
        <w:spacing w:line="440" w:lineRule="exact"/>
        <w:textAlignment w:val="auto"/>
        <w:outlineLvl w:val="9"/>
        <w:rPr>
          <w:rFonts w:ascii="黑体" w:hAnsi="黑体" w:eastAsia="黑体"/>
          <w:color w:val="000000"/>
          <w:szCs w:val="21"/>
        </w:rPr>
      </w:pPr>
      <w:r>
        <w:rPr>
          <w:rFonts w:hint="eastAsia" w:ascii="黑体" w:hAnsi="黑体" w:eastAsia="黑体"/>
          <w:color w:val="000000"/>
          <w:szCs w:val="21"/>
        </w:rPr>
        <w:t>3 判定规则</w:t>
      </w:r>
    </w:p>
    <w:p>
      <w:pPr>
        <w:keepNext w:val="0"/>
        <w:keepLines w:val="0"/>
        <w:pageBreakBefore w:val="0"/>
        <w:kinsoku/>
        <w:wordWrap/>
        <w:overflowPunct/>
        <w:topLinePunct w:val="0"/>
        <w:autoSpaceDE/>
        <w:autoSpaceDN/>
        <w:bidi w:val="0"/>
        <w:snapToGrid w:val="0"/>
        <w:spacing w:line="440" w:lineRule="exact"/>
        <w:textAlignment w:val="auto"/>
        <w:outlineLvl w:val="9"/>
        <w:rPr>
          <w:rFonts w:ascii="宋体" w:hAnsi="宋体"/>
          <w:color w:val="000000"/>
          <w:szCs w:val="21"/>
        </w:rPr>
      </w:pPr>
      <w:r>
        <w:rPr>
          <w:rFonts w:hint="eastAsia" w:ascii="宋体" w:hAnsi="宋体"/>
          <w:color w:val="000000"/>
          <w:szCs w:val="21"/>
        </w:rPr>
        <w:t>3.1依据标准</w:t>
      </w:r>
    </w:p>
    <w:p>
      <w:pPr>
        <w:keepNext w:val="0"/>
        <w:keepLines w:val="0"/>
        <w:pageBreakBefore w:val="0"/>
        <w:kinsoku/>
        <w:wordWrap/>
        <w:overflowPunct/>
        <w:topLinePunct w:val="0"/>
        <w:autoSpaceDE/>
        <w:autoSpaceDN/>
        <w:bidi w:val="0"/>
        <w:snapToGrid w:val="0"/>
        <w:spacing w:line="440" w:lineRule="exact"/>
        <w:ind w:left="609" w:leftChars="190" w:hanging="210" w:hangingChars="100"/>
        <w:textAlignment w:val="auto"/>
        <w:outlineLvl w:val="9"/>
        <w:rPr>
          <w:rFonts w:ascii="宋体" w:cs="Sim Sun"/>
          <w:kern w:val="0"/>
          <w:szCs w:val="21"/>
        </w:rPr>
      </w:pPr>
      <w:r>
        <w:rPr>
          <w:rFonts w:hint="eastAsia" w:ascii="宋体" w:hAnsi="宋体"/>
          <w:color w:val="000000"/>
          <w:szCs w:val="21"/>
        </w:rPr>
        <w:t>GB/T 35451.2-2017</w:t>
      </w:r>
      <w:r>
        <w:rPr>
          <w:rFonts w:hint="eastAsia" w:asciiTheme="minorEastAsia" w:hAnsiTheme="minorEastAsia" w:eastAsiaTheme="minorEastAsia"/>
          <w:color w:val="FF0000"/>
          <w:szCs w:val="21"/>
        </w:rPr>
        <w:t xml:space="preserve"> </w:t>
      </w:r>
      <w:r>
        <w:rPr>
          <w:szCs w:val="21"/>
        </w:rPr>
        <w:t>埋地排水排污用聚丙烯（PP）结构壁管道系统 第1部分：聚丙烯双壁波纹管材</w:t>
      </w:r>
    </w:p>
    <w:p>
      <w:pPr>
        <w:keepNext w:val="0"/>
        <w:keepLines w:val="0"/>
        <w:pageBreakBefore w:val="0"/>
        <w:kinsoku/>
        <w:wordWrap/>
        <w:overflowPunct/>
        <w:topLinePunct w:val="0"/>
        <w:autoSpaceDE/>
        <w:autoSpaceDN/>
        <w:bidi w:val="0"/>
        <w:snapToGrid w:val="0"/>
        <w:spacing w:line="440" w:lineRule="exact"/>
        <w:ind w:left="399" w:leftChars="190"/>
        <w:textAlignment w:val="auto"/>
        <w:outlineLvl w:val="9"/>
        <w:rPr>
          <w:color w:val="1A5786"/>
          <w:sz w:val="12"/>
          <w:szCs w:val="12"/>
        </w:rPr>
      </w:pPr>
      <w:r>
        <w:rPr>
          <w:rFonts w:hint="eastAsia" w:ascii="宋体" w:hAnsi="宋体"/>
          <w:color w:val="000000"/>
          <w:szCs w:val="21"/>
        </w:rPr>
        <w:t>GB/T 35451.2-2018</w:t>
      </w:r>
      <w:r>
        <w:rPr>
          <w:rFonts w:asciiTheme="majorEastAsia" w:hAnsiTheme="majorEastAsia" w:eastAsiaTheme="majorEastAsia"/>
          <w:szCs w:val="21"/>
        </w:rPr>
        <w:t>埋地排水排污用聚丙烯(PP)结构壁管道系统 第2部分：聚丙烯缠绕结构壁管材</w:t>
      </w:r>
    </w:p>
    <w:p>
      <w:pPr>
        <w:keepNext w:val="0"/>
        <w:keepLines w:val="0"/>
        <w:pageBreakBefore w:val="0"/>
        <w:kinsoku/>
        <w:wordWrap/>
        <w:overflowPunct/>
        <w:topLinePunct w:val="0"/>
        <w:autoSpaceDE/>
        <w:autoSpaceDN/>
        <w:bidi w:val="0"/>
        <w:snapToGrid w:val="0"/>
        <w:spacing w:line="440" w:lineRule="exact"/>
        <w:ind w:firstLine="405"/>
        <w:textAlignment w:val="auto"/>
        <w:outlineLvl w:val="9"/>
        <w:rPr>
          <w:rFonts w:ascii="宋体" w:hAnsi="宋体"/>
          <w:color w:val="000000"/>
          <w:szCs w:val="21"/>
        </w:rPr>
      </w:pPr>
      <w:r>
        <w:rPr>
          <w:rFonts w:hint="eastAsia" w:ascii="宋体" w:hAnsi="宋体"/>
          <w:color w:val="000000"/>
          <w:szCs w:val="21"/>
        </w:rPr>
        <w:t>相关的法律、行政法规、部门规章。</w:t>
      </w:r>
    </w:p>
    <w:p>
      <w:pPr>
        <w:keepNext w:val="0"/>
        <w:keepLines w:val="0"/>
        <w:pageBreakBefore w:val="0"/>
        <w:kinsoku/>
        <w:wordWrap/>
        <w:overflowPunct/>
        <w:topLinePunct w:val="0"/>
        <w:autoSpaceDE/>
        <w:autoSpaceDN/>
        <w:bidi w:val="0"/>
        <w:snapToGrid w:val="0"/>
        <w:spacing w:line="440" w:lineRule="exact"/>
        <w:ind w:firstLine="359" w:firstLineChars="171"/>
        <w:textAlignment w:val="auto"/>
        <w:outlineLvl w:val="9"/>
        <w:rPr>
          <w:rFonts w:ascii="宋体" w:hAnsi="宋体"/>
          <w:color w:val="000000"/>
          <w:szCs w:val="21"/>
        </w:rPr>
      </w:pPr>
      <w:r>
        <w:rPr>
          <w:rFonts w:hint="eastAsia" w:ascii="宋体" w:hAnsi="宋体"/>
          <w:color w:val="000000"/>
          <w:szCs w:val="21"/>
        </w:rPr>
        <w:t>现行有效的企业标准、团体标准、地方标准及产品明示质量要求。</w:t>
      </w:r>
    </w:p>
    <w:p>
      <w:pPr>
        <w:keepNext w:val="0"/>
        <w:keepLines w:val="0"/>
        <w:pageBreakBefore w:val="0"/>
        <w:kinsoku/>
        <w:wordWrap/>
        <w:overflowPunct/>
        <w:topLinePunct w:val="0"/>
        <w:autoSpaceDE/>
        <w:autoSpaceDN/>
        <w:bidi w:val="0"/>
        <w:snapToGrid w:val="0"/>
        <w:spacing w:line="440" w:lineRule="exact"/>
        <w:textAlignment w:val="auto"/>
        <w:outlineLvl w:val="9"/>
        <w:rPr>
          <w:rFonts w:ascii="宋体" w:hAnsi="宋体"/>
          <w:color w:val="000000"/>
          <w:szCs w:val="21"/>
        </w:rPr>
      </w:pPr>
      <w:r>
        <w:rPr>
          <w:rFonts w:hint="eastAsia" w:ascii="宋体" w:hAnsi="宋体"/>
          <w:color w:val="000000"/>
          <w:szCs w:val="21"/>
        </w:rPr>
        <w:t>3.2判定原则</w:t>
      </w:r>
    </w:p>
    <w:p>
      <w:pPr>
        <w:keepNext w:val="0"/>
        <w:keepLines w:val="0"/>
        <w:pageBreakBefore w:val="0"/>
        <w:kinsoku/>
        <w:wordWrap/>
        <w:overflowPunct/>
        <w:topLinePunct w:val="0"/>
        <w:autoSpaceDE/>
        <w:autoSpaceDN/>
        <w:bidi w:val="0"/>
        <w:snapToGrid w:val="0"/>
        <w:spacing w:line="440" w:lineRule="exact"/>
        <w:textAlignment w:val="auto"/>
        <w:outlineLvl w:val="9"/>
        <w:rPr>
          <w:rFonts w:ascii="宋体" w:hAnsi="宋体"/>
          <w:color w:val="000000" w:themeColor="text1"/>
          <w:szCs w:val="21"/>
        </w:rPr>
      </w:pPr>
      <w:r>
        <w:rPr>
          <w:rFonts w:hint="eastAsia" w:ascii="宋体" w:hAnsi="宋体"/>
          <w:color w:val="000000" w:themeColor="text1"/>
          <w:szCs w:val="21"/>
        </w:rPr>
        <w:t>3.2.1单项判定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outlineLvl w:val="9"/>
        <w:rPr>
          <w:rFonts w:ascii="宋体" w:hAnsi="宋体" w:cs="宋体"/>
          <w:szCs w:val="21"/>
        </w:rPr>
      </w:pPr>
      <w:r>
        <w:rPr>
          <w:rFonts w:hint="eastAsia" w:ascii="宋体" w:hAnsi="宋体" w:cs="宋体"/>
          <w:szCs w:val="21"/>
        </w:rPr>
        <w:t>在最小内层壁厚和最小层压壁厚项目检验时，随机选取3个样品进行检验，取检验结果中的最小值作为最终检验结果。</w:t>
      </w:r>
    </w:p>
    <w:p>
      <w:pPr>
        <w:keepNext w:val="0"/>
        <w:keepLines w:val="0"/>
        <w:pageBreakBefore w:val="0"/>
        <w:widowControl/>
        <w:kinsoku/>
        <w:wordWrap/>
        <w:overflowPunct/>
        <w:topLinePunct w:val="0"/>
        <w:autoSpaceDE/>
        <w:autoSpaceDN/>
        <w:bidi w:val="0"/>
        <w:snapToGrid w:val="0"/>
        <w:spacing w:line="440" w:lineRule="exact"/>
        <w:ind w:firstLine="420" w:firstLineChars="200"/>
        <w:textAlignment w:val="auto"/>
        <w:outlineLvl w:val="9"/>
        <w:rPr>
          <w:rFonts w:ascii="宋体" w:hAnsi="宋体"/>
          <w:color w:val="FF0000"/>
          <w:szCs w:val="21"/>
        </w:rPr>
      </w:pPr>
      <w:r>
        <w:rPr>
          <w:rFonts w:hint="eastAsia" w:ascii="宋体" w:hAnsi="宋体"/>
          <w:color w:val="000000" w:themeColor="text1"/>
          <w:szCs w:val="21"/>
        </w:rPr>
        <w:t>其他检验项目中任一项检验结果不符合检验依据要求时，在剩余的检验样品中重新取样对该项目进行双倍复验，如仍不符合要求则判定该项不合格。若出现多个检验项目不符合要求时，只选取其中一个项目进行双倍复验。管材的</w:t>
      </w:r>
      <w:r>
        <w:rPr>
          <w:rFonts w:hint="eastAsia" w:ascii="宋体" w:hAnsi="宋体"/>
          <w:szCs w:val="21"/>
        </w:rPr>
        <w:t>冲击性能按统计学方法进行，不符合要求时，判定该项不合格。</w:t>
      </w:r>
    </w:p>
    <w:p>
      <w:pPr>
        <w:keepNext w:val="0"/>
        <w:keepLines w:val="0"/>
        <w:pageBreakBefore w:val="0"/>
        <w:widowControl/>
        <w:kinsoku/>
        <w:wordWrap/>
        <w:overflowPunct/>
        <w:topLinePunct w:val="0"/>
        <w:autoSpaceDE/>
        <w:autoSpaceDN/>
        <w:bidi w:val="0"/>
        <w:snapToGrid w:val="0"/>
        <w:spacing w:line="440" w:lineRule="exact"/>
        <w:ind w:firstLine="420" w:firstLineChars="200"/>
        <w:textAlignment w:val="auto"/>
        <w:outlineLvl w:val="9"/>
        <w:rPr>
          <w:rFonts w:ascii="宋体" w:hAnsi="宋体"/>
          <w:color w:val="000000"/>
          <w:szCs w:val="21"/>
        </w:rPr>
      </w:pPr>
      <w:r>
        <w:rPr>
          <w:rFonts w:hint="eastAsia" w:ascii="宋体" w:hAnsi="宋体"/>
          <w:color w:val="000000"/>
          <w:szCs w:val="21"/>
        </w:rPr>
        <w:t>3.2.2综合判定</w:t>
      </w:r>
    </w:p>
    <w:p>
      <w:pPr>
        <w:keepNext w:val="0"/>
        <w:keepLines w:val="0"/>
        <w:pageBreakBefore w:val="0"/>
        <w:kinsoku/>
        <w:wordWrap/>
        <w:overflowPunct/>
        <w:topLinePunct w:val="0"/>
        <w:autoSpaceDE/>
        <w:autoSpaceDN/>
        <w:bidi w:val="0"/>
        <w:snapToGrid w:val="0"/>
        <w:spacing w:line="440" w:lineRule="exact"/>
        <w:ind w:firstLine="420" w:firstLineChars="200"/>
        <w:textAlignment w:val="auto"/>
        <w:outlineLvl w:val="9"/>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若被检产品明示的质量要求高于本细则中检验项目依据的标准要求时，应按被检产品明示的质量要求判定。</w:t>
      </w:r>
    </w:p>
    <w:p>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若被检产品明示的质量要求低于本细则中检验项目依据的强制性标准要求时，应按照强制性标准要求判定。</w:t>
      </w:r>
    </w:p>
    <w:p>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若被检产品明示的质量要求低于或包含细则中检验项目依据的推荐性标准要求时，应以被检产品明示的质量要求判定，但应在检验报告备注中进行说明。</w:t>
      </w:r>
    </w:p>
    <w:p>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若被检产品明示的质量要求缺少本细则中检验项目依据的强制性标准要求时，应按照强制性标准要求判定。</w:t>
      </w:r>
    </w:p>
    <w:p>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40" w:lineRule="exact"/>
        <w:ind w:left="0" w:right="0" w:firstLine="417" w:firstLineChars="199"/>
        <w:jc w:val="both"/>
        <w:textAlignment w:val="auto"/>
        <w:outlineLvl w:val="9"/>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若被检产品明示的质量要求缺少本细则中检验项目依据的推荐性标准要求时，该项目不参与判定，但应在检验报告备注中进行说明。</w:t>
      </w:r>
    </w:p>
    <w:p>
      <w:pPr>
        <w:snapToGrid w:val="0"/>
        <w:spacing w:line="440" w:lineRule="exact"/>
        <w:ind w:firstLine="417" w:firstLineChars="199"/>
        <w:rPr>
          <w:rFonts w:ascii="宋体" w:hAnsi="宋体"/>
          <w:color w:val="000000"/>
          <w:szCs w:val="21"/>
        </w:rPr>
      </w:pP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3000509000000000000"/>
    <w:charset w:val="86"/>
    <w:family w:val="script"/>
    <w:pitch w:val="default"/>
    <w:sig w:usb0="00000000" w:usb1="00000000" w:usb2="00000010" w:usb3="00000000" w:csb0="00040000" w:csb1="00000000"/>
  </w:font>
  <w:font w:name="Sim Su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方正小标宋简体">
    <w:altName w:val="方正舒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4E1C1B"/>
    <w:rsid w:val="00063497"/>
    <w:rsid w:val="000758F3"/>
    <w:rsid w:val="00084F1A"/>
    <w:rsid w:val="00093590"/>
    <w:rsid w:val="000B3E4A"/>
    <w:rsid w:val="000C462E"/>
    <w:rsid w:val="000D2F9E"/>
    <w:rsid w:val="000F38C8"/>
    <w:rsid w:val="000F5957"/>
    <w:rsid w:val="000F6EA4"/>
    <w:rsid w:val="00114350"/>
    <w:rsid w:val="00120E10"/>
    <w:rsid w:val="0013480B"/>
    <w:rsid w:val="00135D3D"/>
    <w:rsid w:val="00205121"/>
    <w:rsid w:val="00210087"/>
    <w:rsid w:val="002330EB"/>
    <w:rsid w:val="00233F72"/>
    <w:rsid w:val="002577C5"/>
    <w:rsid w:val="002761A7"/>
    <w:rsid w:val="0028068B"/>
    <w:rsid w:val="00294840"/>
    <w:rsid w:val="002E523C"/>
    <w:rsid w:val="003107B8"/>
    <w:rsid w:val="0034297A"/>
    <w:rsid w:val="0037405F"/>
    <w:rsid w:val="003A113D"/>
    <w:rsid w:val="003C7FDD"/>
    <w:rsid w:val="003F3F19"/>
    <w:rsid w:val="00423896"/>
    <w:rsid w:val="00427EB0"/>
    <w:rsid w:val="00471DCA"/>
    <w:rsid w:val="004A12DB"/>
    <w:rsid w:val="004A249D"/>
    <w:rsid w:val="004A2DCA"/>
    <w:rsid w:val="004A5898"/>
    <w:rsid w:val="004E1AD2"/>
    <w:rsid w:val="004E1C1B"/>
    <w:rsid w:val="00527DAD"/>
    <w:rsid w:val="00565584"/>
    <w:rsid w:val="00566B60"/>
    <w:rsid w:val="005752B3"/>
    <w:rsid w:val="00593837"/>
    <w:rsid w:val="005B28CC"/>
    <w:rsid w:val="005C1B19"/>
    <w:rsid w:val="005C55F2"/>
    <w:rsid w:val="005D1E0E"/>
    <w:rsid w:val="005D7F9F"/>
    <w:rsid w:val="005F5613"/>
    <w:rsid w:val="005F74E5"/>
    <w:rsid w:val="00600167"/>
    <w:rsid w:val="00605616"/>
    <w:rsid w:val="006403BF"/>
    <w:rsid w:val="0064396E"/>
    <w:rsid w:val="006452DE"/>
    <w:rsid w:val="006523BD"/>
    <w:rsid w:val="00662158"/>
    <w:rsid w:val="00683C3C"/>
    <w:rsid w:val="006B04C6"/>
    <w:rsid w:val="006D49F8"/>
    <w:rsid w:val="006E7112"/>
    <w:rsid w:val="007017C1"/>
    <w:rsid w:val="00722B74"/>
    <w:rsid w:val="007634B4"/>
    <w:rsid w:val="00787D84"/>
    <w:rsid w:val="00812EF8"/>
    <w:rsid w:val="008234B7"/>
    <w:rsid w:val="00882B8A"/>
    <w:rsid w:val="00896456"/>
    <w:rsid w:val="008D7126"/>
    <w:rsid w:val="008E45CD"/>
    <w:rsid w:val="0092324A"/>
    <w:rsid w:val="00924867"/>
    <w:rsid w:val="00953298"/>
    <w:rsid w:val="0096559A"/>
    <w:rsid w:val="009925AE"/>
    <w:rsid w:val="009C7421"/>
    <w:rsid w:val="009D41A8"/>
    <w:rsid w:val="009D6FB1"/>
    <w:rsid w:val="009E6938"/>
    <w:rsid w:val="00A35974"/>
    <w:rsid w:val="00A472C3"/>
    <w:rsid w:val="00A91D88"/>
    <w:rsid w:val="00AA6DFB"/>
    <w:rsid w:val="00B03F50"/>
    <w:rsid w:val="00B22514"/>
    <w:rsid w:val="00B426B1"/>
    <w:rsid w:val="00B4309D"/>
    <w:rsid w:val="00B46A13"/>
    <w:rsid w:val="00B73E29"/>
    <w:rsid w:val="00B949E7"/>
    <w:rsid w:val="00C41DD0"/>
    <w:rsid w:val="00C44CFB"/>
    <w:rsid w:val="00C766E2"/>
    <w:rsid w:val="00C81E85"/>
    <w:rsid w:val="00C870A9"/>
    <w:rsid w:val="00CC133C"/>
    <w:rsid w:val="00D03C9A"/>
    <w:rsid w:val="00D074A7"/>
    <w:rsid w:val="00D363F8"/>
    <w:rsid w:val="00D437C7"/>
    <w:rsid w:val="00D45D67"/>
    <w:rsid w:val="00D46118"/>
    <w:rsid w:val="00D73788"/>
    <w:rsid w:val="00DD5955"/>
    <w:rsid w:val="00DD7C26"/>
    <w:rsid w:val="00E11179"/>
    <w:rsid w:val="00E14975"/>
    <w:rsid w:val="00E4767C"/>
    <w:rsid w:val="00E53DB8"/>
    <w:rsid w:val="00E6253D"/>
    <w:rsid w:val="00E926A7"/>
    <w:rsid w:val="00EA5F26"/>
    <w:rsid w:val="00EB1677"/>
    <w:rsid w:val="00EB2721"/>
    <w:rsid w:val="00EF1128"/>
    <w:rsid w:val="00EF6F2E"/>
    <w:rsid w:val="00F07012"/>
    <w:rsid w:val="00FF1508"/>
    <w:rsid w:val="00FF2BAB"/>
    <w:rsid w:val="3D296E66"/>
    <w:rsid w:val="68FD4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page number"/>
    <w:basedOn w:val="4"/>
    <w:uiPriority w:val="0"/>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脚 Char"/>
    <w:basedOn w:val="4"/>
    <w:link w:val="2"/>
    <w:uiPriority w:val="99"/>
    <w:rPr>
      <w:sz w:val="18"/>
      <w:szCs w:val="18"/>
    </w:rPr>
  </w:style>
  <w:style w:type="character" w:customStyle="1" w:styleId="9">
    <w:name w:val="页眉 Char"/>
    <w:basedOn w:val="4"/>
    <w:link w:val="3"/>
    <w:uiPriority w:val="99"/>
    <w:rPr>
      <w:sz w:val="18"/>
      <w:szCs w:val="18"/>
    </w:rPr>
  </w:style>
  <w:style w:type="character" w:customStyle="1" w:styleId="10">
    <w:name w:val="页脚 Char1"/>
    <w:basedOn w:val="4"/>
    <w:link w:val="2"/>
    <w:semiHidden/>
    <w:uiPriority w:val="99"/>
    <w:rPr>
      <w:rFonts w:ascii="Times New Roman" w:hAnsi="Times New Roman" w:eastAsia="宋体" w:cs="Times New Roman"/>
      <w:sz w:val="18"/>
      <w:szCs w:val="18"/>
    </w:rPr>
  </w:style>
  <w:style w:type="character" w:customStyle="1" w:styleId="11">
    <w:name w:val="页眉 Char1"/>
    <w:basedOn w:val="4"/>
    <w:link w:val="3"/>
    <w:semiHidden/>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264</Words>
  <Characters>1508</Characters>
  <Lines>12</Lines>
  <Paragraphs>3</Paragraphs>
  <TotalTime>348</TotalTime>
  <ScaleCrop>false</ScaleCrop>
  <LinksUpToDate>false</LinksUpToDate>
  <CharactersWithSpaces>1769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2020-03-09T02:29:00Z</dcterms:created>
  <dc:creator>pc</dc:creator>
  <cp:lastModifiedBy>原小月半～</cp:lastModifiedBy>
  <cp:lastPrinted>2020-03-09T02:36:00Z</cp:lastPrinted>
  <dcterms:modified xsi:type="dcterms:W3CDTF">2020-05-06T09:34:05Z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