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10" w:firstLineChars="50"/>
        <w:jc w:val="center"/>
        <w:rPr>
          <w:rFonts w:hint="eastAsia" w:ascii="方正小标宋_GBK" w:hAnsi="宋体" w:eastAsia="方正小标宋_GBK" w:cs="宋体"/>
          <w:kern w:val="0"/>
          <w:sz w:val="42"/>
          <w:szCs w:val="42"/>
        </w:rPr>
      </w:pPr>
    </w:p>
    <w:p>
      <w:pPr>
        <w:widowControl/>
        <w:ind w:firstLine="210" w:firstLineChars="50"/>
        <w:jc w:val="center"/>
        <w:rPr>
          <w:rFonts w:ascii="仿宋_GB2312" w:hAnsi="华文仿宋" w:eastAsia="仿宋_GB2312"/>
          <w:sz w:val="32"/>
          <w:szCs w:val="32"/>
        </w:rPr>
      </w:pPr>
      <w:r>
        <w:rPr>
          <w:rFonts w:hint="eastAsia" w:ascii="方正小标宋_GBK" w:hAnsi="宋体" w:eastAsia="方正小标宋_GBK" w:cs="宋体"/>
          <w:kern w:val="0"/>
          <w:sz w:val="42"/>
          <w:szCs w:val="42"/>
        </w:rPr>
        <w:t>浙江省市场监督管理局</w:t>
      </w:r>
    </w:p>
    <w:p>
      <w:pPr>
        <w:spacing w:line="640" w:lineRule="exact"/>
        <w:jc w:val="center"/>
        <w:rPr>
          <w:rFonts w:ascii="方正小标宋_GBK" w:hAnsi="宋体" w:eastAsia="方正小标宋_GBK" w:cs="宋体"/>
          <w:kern w:val="0"/>
          <w:sz w:val="42"/>
          <w:szCs w:val="42"/>
        </w:rPr>
      </w:pPr>
      <w:r>
        <w:rPr>
          <w:rFonts w:hint="eastAsia" w:ascii="方正小标宋_GBK" w:hAnsi="宋体" w:eastAsia="方正小标宋_GBK" w:cs="宋体"/>
          <w:kern w:val="0"/>
          <w:sz w:val="42"/>
          <w:szCs w:val="42"/>
        </w:rPr>
        <w:t>不予行政处罚决书</w:t>
      </w:r>
    </w:p>
    <w:p>
      <w:pPr>
        <w:spacing w:line="520" w:lineRule="exact"/>
        <w:ind w:firstLine="2880" w:firstLineChars="900"/>
        <w:rPr>
          <w:rFonts w:ascii="仿宋_GB2312" w:hAnsi="华文仿宋" w:eastAsia="仿宋_GB2312"/>
          <w:sz w:val="32"/>
          <w:szCs w:val="32"/>
        </w:rPr>
      </w:pPr>
      <w:r>
        <w:rPr>
          <w:rFonts w:hint="eastAsia" w:ascii="仿宋_GB2312" w:hAnsi="华文仿宋" w:eastAsia="仿宋_GB2312"/>
          <w:sz w:val="32"/>
          <w:szCs w:val="32"/>
          <w:lang w:eastAsia="zh-CN"/>
        </w:rPr>
        <w:t>浙</w:t>
      </w:r>
      <w:r>
        <w:rPr>
          <w:rFonts w:hint="eastAsia" w:ascii="仿宋_GB2312" w:hAnsi="华文仿宋" w:eastAsia="仿宋_GB2312"/>
          <w:sz w:val="32"/>
          <w:szCs w:val="32"/>
        </w:rPr>
        <w:t>市监</w:t>
      </w:r>
      <w:r>
        <w:rPr>
          <w:rFonts w:hint="eastAsia" w:ascii="仿宋_GB2312" w:hAnsi="华文仿宋" w:eastAsia="仿宋_GB2312"/>
          <w:sz w:val="32"/>
          <w:szCs w:val="32"/>
          <w:lang w:eastAsia="zh-CN"/>
        </w:rPr>
        <w:t>不处</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2020</w:t>
      </w:r>
      <w:r>
        <w:rPr>
          <w:rFonts w:hint="eastAsia" w:ascii="仿宋_GB2312" w:hAnsi="华文仿宋" w:eastAsia="仿宋_GB2312"/>
          <w:sz w:val="32"/>
          <w:szCs w:val="32"/>
        </w:rPr>
        <w:t>〕</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号</w:t>
      </w:r>
    </w:p>
    <w:p>
      <w:pPr>
        <w:keepNext w:val="0"/>
        <w:keepLines w:val="0"/>
        <w:pageBreakBefore w:val="0"/>
        <w:widowControl/>
        <w:kinsoku/>
        <w:wordWrap/>
        <w:overflowPunct/>
        <w:topLinePunct w:val="0"/>
        <w:bidi w:val="0"/>
        <w:snapToGrid/>
        <w:spacing w:line="600" w:lineRule="exact"/>
        <w:jc w:val="left"/>
        <w:textAlignment w:val="auto"/>
        <w:rPr>
          <w:rFonts w:hint="eastAsia" w:ascii="仿宋_GB2312" w:hAnsi="宋体" w:eastAsia="仿宋_GB2312" w:cs="宋体"/>
          <w:kern w:val="0"/>
          <w:sz w:val="32"/>
          <w:szCs w:val="32"/>
        </w:rPr>
      </w:pPr>
      <w:bookmarkStart w:id="4" w:name="_GoBack"/>
      <w:bookmarkEnd w:id="4"/>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当事人：</w:t>
      </w:r>
      <w:r>
        <w:rPr>
          <w:rFonts w:ascii="仿宋_GB2312" w:hAnsi="宋体" w:eastAsia="仿宋_GB2312" w:cs="宋体"/>
          <w:kern w:val="0"/>
          <w:sz w:val="32"/>
          <w:szCs w:val="32"/>
        </w:rPr>
        <w:t>杭州亿方混凝土有限公司</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注册号</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913301107996706966</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住</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所：</w:t>
      </w:r>
      <w:r>
        <w:rPr>
          <w:rFonts w:ascii="仿宋_GB2312" w:hAnsi="宋体" w:eastAsia="仿宋_GB2312" w:cs="宋体"/>
          <w:kern w:val="0"/>
          <w:sz w:val="32"/>
          <w:szCs w:val="32"/>
        </w:rPr>
        <w:t>杭州余杭区仁和街道奉欣路82号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w:t>
      </w:r>
      <w:r>
        <w:rPr>
          <w:rFonts w:ascii="仿宋_GB2312" w:hAnsi="宋体" w:eastAsia="仿宋_GB2312" w:cs="宋体"/>
          <w:kern w:val="0"/>
          <w:sz w:val="32"/>
          <w:szCs w:val="32"/>
        </w:rPr>
        <w:t>姚柏明</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身份证号码：</w:t>
      </w:r>
      <w:r>
        <w:rPr>
          <w:rFonts w:ascii="仿宋_GB2312" w:hAnsi="宋体" w:eastAsia="仿宋_GB2312" w:cs="宋体"/>
          <w:kern w:val="0"/>
          <w:sz w:val="32"/>
          <w:szCs w:val="32"/>
        </w:rPr>
        <w:t>330105196501080637</w:t>
      </w:r>
      <w:r>
        <w:rPr>
          <w:rFonts w:hint="eastAsia" w:ascii="仿宋_GB2312" w:hAnsi="宋体" w:eastAsia="仿宋_GB2312" w:cs="宋体"/>
          <w:kern w:val="0"/>
          <w:sz w:val="32"/>
          <w:szCs w:val="32"/>
        </w:rPr>
        <w:t xml:space="preserve">；                 </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联系电话：13067800489</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宋体" w:eastAsia="仿宋_GB2312" w:cs="宋体"/>
          <w:kern w:val="0"/>
          <w:sz w:val="32"/>
          <w:szCs w:val="32"/>
        </w:rPr>
        <w:t>根据原国家工商</w:t>
      </w:r>
      <w:r>
        <w:rPr>
          <w:rFonts w:hint="eastAsia" w:ascii="仿宋_GB2312" w:hAnsi="宋体" w:eastAsia="仿宋_GB2312" w:cs="宋体"/>
          <w:kern w:val="0"/>
          <w:sz w:val="32"/>
          <w:szCs w:val="32"/>
          <w:lang w:eastAsia="zh-CN"/>
        </w:rPr>
        <w:t>行政管理</w:t>
      </w:r>
      <w:r>
        <w:rPr>
          <w:rFonts w:hint="eastAsia" w:ascii="仿宋_GB2312" w:hAnsi="宋体" w:eastAsia="仿宋_GB2312" w:cs="宋体"/>
          <w:kern w:val="0"/>
          <w:sz w:val="32"/>
          <w:szCs w:val="32"/>
        </w:rPr>
        <w:t>总局工商竞争字[2017]239号文件授权，2017年12月18日原浙江省工商行政管理局依法对</w:t>
      </w:r>
      <w:r>
        <w:rPr>
          <w:rFonts w:ascii="仿宋_GB2312" w:hAnsi="宋体" w:eastAsia="仿宋_GB2312" w:cs="宋体"/>
          <w:kern w:val="0"/>
          <w:sz w:val="32"/>
          <w:szCs w:val="32"/>
        </w:rPr>
        <w:t>杭州亿方混凝土有限公司</w:t>
      </w:r>
      <w:r>
        <w:rPr>
          <w:rFonts w:hint="eastAsia" w:ascii="仿宋_GB2312" w:hAnsi="宋体" w:eastAsia="仿宋_GB2312" w:cs="宋体"/>
          <w:kern w:val="0"/>
          <w:sz w:val="32"/>
          <w:szCs w:val="32"/>
        </w:rPr>
        <w:t>（以下简称</w:t>
      </w:r>
      <w:r>
        <w:rPr>
          <w:rFonts w:hint="eastAsia" w:ascii="仿宋_GB2312" w:hAnsi="宋体" w:eastAsia="仿宋_GB2312" w:cs="宋体"/>
          <w:kern w:val="0"/>
          <w:sz w:val="32"/>
          <w:szCs w:val="32"/>
          <w:lang w:eastAsia="zh-CN"/>
        </w:rPr>
        <w:t>“杭州</w:t>
      </w:r>
      <w:r>
        <w:rPr>
          <w:rFonts w:hint="eastAsia" w:ascii="仿宋_GB2312" w:hAnsi="宋体" w:eastAsia="仿宋_GB2312" w:cs="宋体"/>
          <w:kern w:val="0"/>
          <w:sz w:val="32"/>
          <w:szCs w:val="32"/>
        </w:rPr>
        <w:t>亿方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涉嫌</w:t>
      </w:r>
      <w:r>
        <w:rPr>
          <w:rFonts w:hint="eastAsia" w:ascii="仿宋_GB2312" w:hAnsi="宋体" w:eastAsia="仿宋_GB2312" w:cs="宋体"/>
          <w:kern w:val="0"/>
          <w:sz w:val="32"/>
          <w:szCs w:val="32"/>
        </w:rPr>
        <w:t>达成垄断协议的行为进行立案调查</w:t>
      </w:r>
      <w:r>
        <w:rPr>
          <w:rFonts w:hint="eastAsia" w:ascii="仿宋_GB2312" w:hAnsi="宋体" w:eastAsia="仿宋_GB2312" w:cs="宋体"/>
          <w:kern w:val="0"/>
          <w:sz w:val="32"/>
          <w:szCs w:val="32"/>
          <w:lang w:eastAsia="zh-CN"/>
        </w:rPr>
        <w:t>。</w:t>
      </w:r>
      <w:r>
        <w:rPr>
          <w:rFonts w:hint="eastAsia" w:ascii="仿宋_GB2312" w:hAnsi="仿宋" w:eastAsia="仿宋_GB2312"/>
          <w:color w:val="000000" w:themeColor="text1"/>
          <w:sz w:val="32"/>
          <w:szCs w:val="32"/>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shd w:val="clear" w:color="auto" w:fill="FFFFFF"/>
        <w:kinsoku/>
        <w:wordWrap/>
        <w:overflowPunct/>
        <w:topLinePunct w:val="0"/>
        <w:bidi w:val="0"/>
        <w:snapToGrid/>
        <w:spacing w:line="600" w:lineRule="exact"/>
        <w:ind w:firstLine="645"/>
        <w:textAlignment w:val="auto"/>
        <w:rPr>
          <w:rFonts w:hint="eastAsia" w:ascii="仿宋_GB2312" w:eastAsia="仿宋_GB2312"/>
          <w:color w:val="000000"/>
          <w:sz w:val="32"/>
          <w:szCs w:val="32"/>
          <w:lang w:val="en-US" w:eastAsia="zh-CN"/>
        </w:rPr>
      </w:pPr>
      <w:r>
        <w:rPr>
          <w:rFonts w:hint="eastAsia" w:ascii="仿宋_GB2312" w:hAnsi="宋体" w:eastAsia="仿宋_GB2312" w:cs="宋体"/>
          <w:kern w:val="0"/>
          <w:sz w:val="32"/>
          <w:szCs w:val="32"/>
          <w:lang w:eastAsia="zh-CN"/>
        </w:rPr>
        <w:t>现查明：</w:t>
      </w:r>
      <w:r>
        <w:rPr>
          <w:rFonts w:hint="eastAsia" w:ascii="仿宋_GB2312" w:eastAsia="仿宋_GB2312"/>
          <w:sz w:val="32"/>
          <w:szCs w:val="32"/>
          <w:u w:val="none" w:color="auto"/>
        </w:rPr>
        <w:t>自2015年7月</w:t>
      </w:r>
      <w:r>
        <w:rPr>
          <w:rFonts w:hint="eastAsia" w:ascii="仿宋_GB2312" w:eastAsia="仿宋_GB2312"/>
          <w:sz w:val="32"/>
          <w:szCs w:val="32"/>
          <w:u w:val="none" w:color="auto"/>
          <w:lang w:eastAsia="zh-CN"/>
        </w:rPr>
        <w:t>以来</w:t>
      </w:r>
      <w:r>
        <w:rPr>
          <w:rFonts w:hint="eastAsia" w:ascii="仿宋_GB2312" w:eastAsia="仿宋_GB2312"/>
          <w:sz w:val="32"/>
          <w:szCs w:val="32"/>
          <w:u w:val="none" w:color="auto"/>
        </w:rPr>
        <w:t xml:space="preserve">, </w:t>
      </w:r>
      <w:r>
        <w:rPr>
          <w:rFonts w:hint="eastAsia" w:ascii="仿宋_GB2312" w:eastAsia="仿宋_GB2312"/>
          <w:sz w:val="32"/>
          <w:szCs w:val="32"/>
          <w:u w:val="none" w:color="auto"/>
          <w:lang w:eastAsia="zh-CN"/>
        </w:rPr>
        <w:t>杭州亿方</w:t>
      </w:r>
      <w:r>
        <w:rPr>
          <w:rFonts w:hint="eastAsia" w:ascii="仿宋_GB2312" w:eastAsia="仿宋_GB2312"/>
          <w:sz w:val="32"/>
          <w:szCs w:val="32"/>
          <w:u w:val="none" w:color="auto"/>
        </w:rPr>
        <w:t>与杭州西联物流有限公司、杭州鼎源建材有限公司、杭州五友建材有限公司、</w:t>
      </w:r>
      <w:r>
        <w:rPr>
          <w:rFonts w:hint="eastAsia" w:ascii="仿宋_GB2312" w:hAnsi="仿宋_GB2312" w:eastAsia="仿宋_GB2312" w:cs="仿宋_GB2312"/>
          <w:color w:val="auto"/>
          <w:sz w:val="32"/>
          <w:szCs w:val="32"/>
          <w:shd w:val="clear" w:color="auto" w:fill="FFFFFF"/>
        </w:rPr>
        <w:t>杭州三中新型建材科技有限公司</w:t>
      </w:r>
      <w:r>
        <w:rPr>
          <w:rFonts w:hint="eastAsia" w:ascii="仿宋_GB2312" w:eastAsia="仿宋_GB2312"/>
          <w:sz w:val="32"/>
          <w:szCs w:val="32"/>
          <w:u w:val="none" w:color="auto"/>
        </w:rPr>
        <w:t>、杭州瑞鑫混凝土有限公司、杭州瑞鼎建材有限公司、杭州余杭恒力混凝土有限公司、杭州建工建材有限公司、杭州华江建材有限公司</w:t>
      </w:r>
      <w:r>
        <w:rPr>
          <w:rFonts w:hint="eastAsia" w:ascii="仿宋_GB2312" w:eastAsia="仿宋_GB2312"/>
          <w:sz w:val="32"/>
          <w:szCs w:val="32"/>
          <w:u w:val="none" w:color="auto"/>
          <w:lang w:eastAsia="zh-CN"/>
        </w:rPr>
        <w:t>、</w:t>
      </w:r>
      <w:r>
        <w:rPr>
          <w:rFonts w:hint="eastAsia" w:ascii="仿宋_GB2312" w:hAnsi="仿宋" w:eastAsia="仿宋_GB2312"/>
          <w:sz w:val="32"/>
          <w:szCs w:val="32"/>
        </w:rPr>
        <w:t>海宁市中胜建材有限公司</w:t>
      </w:r>
      <w:r>
        <w:rPr>
          <w:rFonts w:hint="eastAsia" w:ascii="仿宋_GB2312" w:eastAsia="仿宋_GB2312"/>
          <w:sz w:val="32"/>
          <w:szCs w:val="32"/>
          <w:u w:val="none" w:color="auto"/>
        </w:rPr>
        <w:t>等1</w:t>
      </w:r>
      <w:r>
        <w:rPr>
          <w:rFonts w:hint="eastAsia" w:ascii="仿宋_GB2312" w:eastAsia="仿宋_GB2312"/>
          <w:sz w:val="32"/>
          <w:szCs w:val="32"/>
          <w:u w:val="none" w:color="auto"/>
          <w:lang w:val="en-US" w:eastAsia="zh-CN"/>
        </w:rPr>
        <w:t>1</w:t>
      </w:r>
      <w:r>
        <w:rPr>
          <w:rFonts w:hint="eastAsia" w:ascii="仿宋_GB2312" w:eastAsia="仿宋_GB2312"/>
          <w:sz w:val="32"/>
          <w:szCs w:val="32"/>
          <w:u w:val="none" w:color="auto"/>
        </w:rPr>
        <w:t>家具有横向竞争关系的混凝土生产企业多次在塘栖、衢州、千岛湖、临平等地召开所谓“片区”全体会议、例会。在相关会议中自行划定经营边界，要求成员企业报送所有混凝土供应合同、并成立第三方公司杭州聚同企业事务代理有限公司</w:t>
      </w:r>
      <w:r>
        <w:rPr>
          <w:rFonts w:hint="eastAsia" w:ascii="仿宋_GB2312" w:eastAsia="仿宋_GB2312"/>
          <w:sz w:val="32"/>
          <w:szCs w:val="32"/>
          <w:u w:val="none" w:color="auto"/>
          <w:lang w:eastAsia="zh-CN"/>
        </w:rPr>
        <w:t>（以下简称“杭州聚同”）</w:t>
      </w:r>
      <w:r>
        <w:rPr>
          <w:rFonts w:hint="eastAsia" w:ascii="仿宋_GB2312" w:eastAsia="仿宋_GB2312"/>
          <w:sz w:val="32"/>
          <w:szCs w:val="32"/>
          <w:u w:val="none" w:color="auto"/>
        </w:rPr>
        <w:t>，意图由第三方公司</w:t>
      </w:r>
      <w:r>
        <w:rPr>
          <w:rFonts w:hint="eastAsia" w:ascii="仿宋_GB2312" w:eastAsia="仿宋_GB2312"/>
          <w:sz w:val="32"/>
          <w:szCs w:val="32"/>
          <w:u w:val="none" w:color="auto"/>
          <w:lang w:eastAsia="zh-CN"/>
        </w:rPr>
        <w:t>杭州</w:t>
      </w:r>
      <w:r>
        <w:rPr>
          <w:rFonts w:hint="eastAsia" w:ascii="仿宋_GB2312" w:eastAsia="仿宋_GB2312"/>
          <w:sz w:val="32"/>
          <w:szCs w:val="32"/>
          <w:u w:val="none" w:color="auto"/>
        </w:rPr>
        <w:t>聚同以统一价格承接混凝土供应业务后“推荐”至各企业，并由相关企业上缴利润作为共享金，在年底按各企业基数比例分配，同时要求各公司每家交纳50万诚信金用于违约扣罚</w:t>
      </w:r>
      <w:r>
        <w:rPr>
          <w:rFonts w:hint="eastAsia" w:ascii="仿宋_GB2312" w:eastAsia="仿宋_GB2312"/>
          <w:sz w:val="32"/>
          <w:szCs w:val="32"/>
          <w:u w:val="none" w:color="auto"/>
          <w:lang w:eastAsia="zh-CN"/>
        </w:rPr>
        <w:t>。</w:t>
      </w:r>
      <w:r>
        <w:rPr>
          <w:rFonts w:hint="eastAsia" w:ascii="仿宋_GB2312" w:eastAsia="仿宋_GB2312"/>
          <w:sz w:val="32"/>
          <w:szCs w:val="32"/>
        </w:rPr>
        <w:t>因</w:t>
      </w:r>
      <w:r>
        <w:rPr>
          <w:rFonts w:hint="eastAsia" w:ascii="仿宋_GB2312" w:eastAsia="仿宋_GB2312"/>
          <w:sz w:val="32"/>
          <w:szCs w:val="32"/>
          <w:lang w:eastAsia="zh-CN"/>
        </w:rPr>
        <w:t>有</w:t>
      </w:r>
      <w:r>
        <w:rPr>
          <w:rFonts w:hint="eastAsia" w:ascii="仿宋_GB2312" w:eastAsia="仿宋_GB2312"/>
          <w:sz w:val="32"/>
          <w:szCs w:val="32"/>
        </w:rPr>
        <w:t>成员</w:t>
      </w:r>
      <w:r>
        <w:rPr>
          <w:rFonts w:hint="eastAsia" w:ascii="仿宋_GB2312" w:eastAsia="仿宋_GB2312"/>
          <w:color w:val="000000"/>
          <w:sz w:val="32"/>
          <w:szCs w:val="32"/>
          <w:lang w:val="en-US" w:eastAsia="zh-CN"/>
        </w:rPr>
        <w:t>退出及部分企业在缴纳保证金问题上出现矛盾，垄断协议未能实施。</w:t>
      </w:r>
    </w:p>
    <w:p>
      <w:pPr>
        <w:keepNext w:val="0"/>
        <w:keepLines w:val="0"/>
        <w:pageBreakBefore w:val="0"/>
        <w:shd w:val="clear" w:color="auto" w:fill="FFFFFF"/>
        <w:kinsoku/>
        <w:wordWrap/>
        <w:overflowPunct/>
        <w:topLinePunct w:val="0"/>
        <w:bidi w:val="0"/>
        <w:snapToGrid/>
        <w:spacing w:line="600" w:lineRule="exact"/>
        <w:ind w:firstLine="645"/>
        <w:textAlignment w:val="auto"/>
        <w:rPr>
          <w:rFonts w:hint="eastAsia" w:ascii="仿宋_GB2312" w:eastAsia="仿宋_GB2312"/>
          <w:sz w:val="32"/>
          <w:szCs w:val="32"/>
          <w:lang w:eastAsia="zh-CN"/>
        </w:rPr>
      </w:pPr>
      <w:r>
        <w:rPr>
          <w:rFonts w:hint="eastAsia" w:ascii="仿宋_GB2312" w:hAnsi="宋体" w:eastAsia="仿宋_GB2312" w:cs="宋体"/>
          <w:kern w:val="0"/>
          <w:sz w:val="32"/>
          <w:szCs w:val="32"/>
          <w:lang w:eastAsia="zh-CN"/>
        </w:rPr>
        <w:t>另查明，杭州亿方</w:t>
      </w:r>
      <w:r>
        <w:rPr>
          <w:rFonts w:hint="eastAsia" w:ascii="仿宋_GB2312" w:hAnsi="宋体" w:eastAsia="仿宋_GB2312" w:cs="宋体"/>
          <w:kern w:val="0"/>
          <w:sz w:val="32"/>
          <w:szCs w:val="32"/>
        </w:rPr>
        <w:t>法定代表人姚柏明自201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年起因患重疾住院</w:t>
      </w:r>
      <w:r>
        <w:rPr>
          <w:rFonts w:hint="eastAsia" w:ascii="仿宋_GB2312" w:hAnsi="宋体" w:eastAsia="仿宋_GB2312" w:cs="宋体"/>
          <w:kern w:val="0"/>
          <w:sz w:val="32"/>
          <w:szCs w:val="32"/>
          <w:lang w:eastAsia="zh-CN"/>
        </w:rPr>
        <w:t>。</w:t>
      </w:r>
      <w:r>
        <w:rPr>
          <w:rFonts w:hint="eastAsia" w:ascii="仿宋_GB2312" w:eastAsia="仿宋_GB2312"/>
          <w:sz w:val="32"/>
          <w:szCs w:val="32"/>
          <w:lang w:eastAsia="zh-CN"/>
        </w:rPr>
        <w:t>杭州</w:t>
      </w:r>
      <w:r>
        <w:rPr>
          <w:rFonts w:hint="eastAsia" w:ascii="仿宋_GB2312" w:eastAsia="仿宋_GB2312"/>
          <w:sz w:val="32"/>
          <w:szCs w:val="32"/>
        </w:rPr>
        <w:t>亿方因资不抵债，已将</w:t>
      </w:r>
      <w:r>
        <w:rPr>
          <w:rFonts w:hint="eastAsia" w:ascii="仿宋_GB2312" w:eastAsia="仿宋_GB2312"/>
          <w:sz w:val="32"/>
          <w:szCs w:val="32"/>
          <w:lang w:eastAsia="zh-CN"/>
        </w:rPr>
        <w:t>混凝土</w:t>
      </w:r>
      <w:r>
        <w:rPr>
          <w:rFonts w:hint="eastAsia" w:ascii="仿宋_GB2312" w:eastAsia="仿宋_GB2312"/>
          <w:sz w:val="32"/>
          <w:szCs w:val="32"/>
        </w:rPr>
        <w:t>生产线抵押给杭州西联物流有限公司使用，</w:t>
      </w:r>
      <w:r>
        <w:rPr>
          <w:rFonts w:hint="eastAsia" w:ascii="仿宋_GB2312" w:eastAsia="仿宋_GB2312"/>
          <w:sz w:val="32"/>
          <w:szCs w:val="32"/>
          <w:lang w:eastAsia="zh-CN"/>
        </w:rPr>
        <w:t>杭州</w:t>
      </w:r>
      <w:r>
        <w:rPr>
          <w:rFonts w:hint="eastAsia" w:ascii="仿宋_GB2312" w:eastAsia="仿宋_GB2312"/>
          <w:sz w:val="32"/>
          <w:szCs w:val="32"/>
        </w:rPr>
        <w:t>亿方参加</w:t>
      </w:r>
      <w:r>
        <w:rPr>
          <w:rFonts w:hint="eastAsia" w:ascii="仿宋_GB2312" w:eastAsia="仿宋_GB2312"/>
          <w:sz w:val="32"/>
          <w:szCs w:val="32"/>
          <w:lang w:val="en-US" w:eastAsia="zh-CN"/>
        </w:rPr>
        <w:t>2015年</w:t>
      </w:r>
      <w:r>
        <w:rPr>
          <w:rFonts w:hint="eastAsia" w:ascii="仿宋_GB2312" w:eastAsia="仿宋_GB2312"/>
          <w:sz w:val="32"/>
          <w:szCs w:val="32"/>
        </w:rPr>
        <w:t>相关</w:t>
      </w:r>
      <w:r>
        <w:rPr>
          <w:rFonts w:hint="eastAsia" w:ascii="仿宋_GB2312" w:eastAsia="仿宋_GB2312"/>
          <w:sz w:val="32"/>
          <w:szCs w:val="32"/>
          <w:lang w:eastAsia="zh-CN"/>
        </w:rPr>
        <w:t>达成</w:t>
      </w:r>
      <w:r>
        <w:rPr>
          <w:rFonts w:hint="eastAsia" w:ascii="仿宋_GB2312" w:eastAsia="仿宋_GB2312"/>
          <w:sz w:val="32"/>
          <w:szCs w:val="32"/>
        </w:rPr>
        <w:t>垄断协议的会议</w:t>
      </w:r>
      <w:r>
        <w:rPr>
          <w:rFonts w:hint="eastAsia" w:ascii="仿宋_GB2312" w:eastAsia="仿宋_GB2312"/>
          <w:sz w:val="32"/>
          <w:szCs w:val="32"/>
          <w:lang w:eastAsia="zh-CN"/>
        </w:rPr>
        <w:t>，实际</w:t>
      </w:r>
      <w:r>
        <w:rPr>
          <w:rFonts w:hint="eastAsia" w:ascii="仿宋_GB2312" w:eastAsia="仿宋_GB2312"/>
          <w:sz w:val="32"/>
          <w:szCs w:val="32"/>
        </w:rPr>
        <w:t>是由杭州西联物流有限公司</w:t>
      </w:r>
      <w:r>
        <w:rPr>
          <w:rFonts w:hint="eastAsia" w:ascii="仿宋_GB2312" w:eastAsia="仿宋_GB2312"/>
          <w:sz w:val="32"/>
          <w:szCs w:val="32"/>
          <w:lang w:eastAsia="zh-CN"/>
        </w:rPr>
        <w:t>人员代为参加。</w:t>
      </w:r>
      <w:r>
        <w:rPr>
          <w:rFonts w:hint="eastAsia" w:ascii="仿宋_GB2312" w:eastAsia="仿宋_GB2312"/>
          <w:sz w:val="32"/>
          <w:szCs w:val="32"/>
        </w:rPr>
        <w:t>根据2018年7月3日余杭区人民法院出具</w:t>
      </w:r>
      <w:r>
        <w:rPr>
          <w:rFonts w:hint="eastAsia" w:ascii="仿宋_GB2312" w:eastAsia="仿宋_GB2312"/>
          <w:sz w:val="32"/>
          <w:szCs w:val="32"/>
          <w:lang w:eastAsia="zh-CN"/>
        </w:rPr>
        <w:t>的</w:t>
      </w:r>
      <w:r>
        <w:rPr>
          <w:rFonts w:hint="eastAsia" w:ascii="仿宋_GB2312" w:eastAsia="仿宋_GB2312"/>
          <w:sz w:val="32"/>
          <w:szCs w:val="32"/>
        </w:rPr>
        <w:t>民事裁定书（2018浙0110破申19号），</w:t>
      </w:r>
      <w:r>
        <w:rPr>
          <w:rFonts w:hint="eastAsia" w:ascii="仿宋_GB2312" w:eastAsia="仿宋_GB2312"/>
          <w:sz w:val="32"/>
          <w:szCs w:val="32"/>
          <w:lang w:eastAsia="zh-CN"/>
        </w:rPr>
        <w:t>自</w:t>
      </w:r>
      <w:r>
        <w:rPr>
          <w:rFonts w:hint="eastAsia" w:ascii="仿宋_GB2312" w:eastAsia="仿宋_GB2312"/>
          <w:sz w:val="32"/>
          <w:szCs w:val="32"/>
        </w:rPr>
        <w:t>2016年起亿方公司因在余杭区人民法院及其他法院有多起执行案件尚未履行，不能清偿到期债务且明显缺乏清偿能力，法院依法裁定受理申请人对杭州亿方公司的破产清算申请。</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rPr>
        <w:t>上述事实，主要有以下证据证明：</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第一组证据：2015年7月11日千岛湖会议纪要、衢州会议纪要、片区协会2016-9-24号会议纪要、2015年10月10日会议纪要、2015年12月3日会议纪要、企业年生产基数计划表等，证明相关会议纪要内涉及到亿方公司及生产计划表中对于亿方公司的生产计划为零；</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第二组证据：</w:t>
      </w:r>
      <w:r>
        <w:rPr>
          <w:rFonts w:hint="eastAsia" w:ascii="仿宋_GB2312" w:eastAsia="仿宋_GB2312"/>
          <w:sz w:val="32"/>
          <w:szCs w:val="32"/>
        </w:rPr>
        <w:t>杭州西联物流有限公司</w:t>
      </w:r>
      <w:r>
        <w:rPr>
          <w:rFonts w:hint="eastAsia" w:ascii="仿宋_GB2312" w:eastAsia="仿宋_GB2312"/>
          <w:sz w:val="32"/>
          <w:szCs w:val="32"/>
          <w:lang w:eastAsia="zh-CN"/>
        </w:rPr>
        <w:t>法定代表人委托人的</w:t>
      </w:r>
      <w:r>
        <w:rPr>
          <w:rFonts w:hint="eastAsia" w:ascii="仿宋_GB2312" w:eastAsia="仿宋_GB2312"/>
          <w:color w:val="000000"/>
          <w:sz w:val="32"/>
          <w:szCs w:val="32"/>
        </w:rPr>
        <w:t>询问笔录</w:t>
      </w:r>
      <w:r>
        <w:rPr>
          <w:rFonts w:hint="eastAsia" w:ascii="仿宋_GB2312" w:eastAsia="仿宋_GB2312"/>
          <w:color w:val="000000"/>
          <w:sz w:val="32"/>
          <w:szCs w:val="32"/>
          <w:lang w:eastAsia="zh-CN"/>
        </w:rPr>
        <w:t>，证明参加垄断协议达成的会议均为</w:t>
      </w:r>
      <w:r>
        <w:rPr>
          <w:rFonts w:hint="eastAsia" w:ascii="仿宋_GB2312" w:eastAsia="仿宋_GB2312"/>
          <w:sz w:val="32"/>
          <w:szCs w:val="32"/>
        </w:rPr>
        <w:t>杭州西联物流有限公司</w:t>
      </w:r>
      <w:r>
        <w:rPr>
          <w:rFonts w:hint="eastAsia" w:ascii="仿宋_GB2312" w:eastAsia="仿宋_GB2312"/>
          <w:sz w:val="32"/>
          <w:szCs w:val="32"/>
          <w:lang w:eastAsia="zh-CN"/>
        </w:rPr>
        <w:t>使用杭州亿方名义参加</w:t>
      </w:r>
      <w:r>
        <w:rPr>
          <w:rFonts w:hint="eastAsia" w:ascii="仿宋_GB2312" w:eastAsia="仿宋_GB2312"/>
          <w:color w:val="000000"/>
          <w:sz w:val="32"/>
          <w:szCs w:val="32"/>
          <w:lang w:eastAsia="zh-CN"/>
        </w:rPr>
        <w:t>的情况；</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第</w:t>
      </w:r>
      <w:r>
        <w:rPr>
          <w:rFonts w:hint="eastAsia" w:ascii="仿宋_GB2312" w:eastAsia="仿宋_GB2312"/>
          <w:color w:val="000000"/>
          <w:sz w:val="32"/>
          <w:szCs w:val="32"/>
          <w:lang w:eastAsia="zh-CN"/>
        </w:rPr>
        <w:t>三</w:t>
      </w:r>
      <w:r>
        <w:rPr>
          <w:rFonts w:hint="eastAsia" w:ascii="仿宋_GB2312" w:eastAsia="仿宋_GB2312"/>
          <w:color w:val="000000"/>
          <w:sz w:val="32"/>
          <w:szCs w:val="32"/>
        </w:rPr>
        <w:t>组证据：余杭区人民法院民事裁定书，证明杭州亿方混凝土有限公司已进入破产清算状态。</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eastAsia="仿宋_GB2312"/>
          <w:color w:val="auto"/>
          <w:sz w:val="32"/>
          <w:szCs w:val="32"/>
        </w:rPr>
      </w:pPr>
      <w:r>
        <w:rPr>
          <w:rFonts w:hint="eastAsia" w:ascii="仿宋_GB2312" w:hAnsi="仿宋" w:eastAsia="仿宋_GB2312"/>
          <w:color w:val="auto"/>
          <w:sz w:val="32"/>
          <w:szCs w:val="32"/>
        </w:rPr>
        <w:t>本机关于20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日依法向</w:t>
      </w:r>
      <w:r>
        <w:rPr>
          <w:rFonts w:ascii="仿宋_GB2312" w:hAnsi="宋体" w:eastAsia="仿宋_GB2312" w:cs="宋体"/>
          <w:kern w:val="0"/>
          <w:sz w:val="32"/>
          <w:szCs w:val="32"/>
        </w:rPr>
        <w:t>杭州亿方</w:t>
      </w:r>
      <w:r>
        <w:rPr>
          <w:rFonts w:hint="eastAsia" w:ascii="仿宋_GB2312" w:hAnsi="仿宋" w:eastAsia="仿宋_GB2312"/>
          <w:color w:val="auto"/>
          <w:sz w:val="32"/>
          <w:szCs w:val="32"/>
        </w:rPr>
        <w:t>送达了</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行政处罚告知书</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，告知其涉嫌违法的事实、拟作出的行政处罚决定、理由和依据，以及依法享有陈述、申辩权利。</w:t>
      </w:r>
      <w:r>
        <w:rPr>
          <w:rFonts w:ascii="仿宋_GB2312" w:hAnsi="宋体" w:eastAsia="仿宋_GB2312" w:cs="宋体"/>
          <w:kern w:val="0"/>
          <w:sz w:val="32"/>
          <w:szCs w:val="32"/>
        </w:rPr>
        <w:t>杭州亿方</w:t>
      </w:r>
      <w:r>
        <w:rPr>
          <w:rFonts w:hint="eastAsia" w:ascii="仿宋_GB2312" w:hAnsi="仿宋" w:eastAsia="仿宋_GB2312"/>
          <w:color w:val="auto"/>
          <w:sz w:val="32"/>
          <w:szCs w:val="32"/>
        </w:rPr>
        <w:t>在法定期限内没有向本机关提出陈述、申辩意见</w:t>
      </w:r>
      <w:r>
        <w:rPr>
          <w:rFonts w:hint="eastAsia" w:ascii="仿宋_GB2312" w:hAnsi="仿宋" w:eastAsia="仿宋_GB2312"/>
          <w:color w:val="auto"/>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仿宋_GB2312" w:eastAsia="仿宋_GB2312"/>
          <w:color w:val="000000"/>
          <w:sz w:val="32"/>
          <w:szCs w:val="32"/>
        </w:rPr>
      </w:pPr>
      <w:r>
        <w:rPr>
          <w:rFonts w:hint="eastAsia" w:ascii="仿宋_GB2312" w:eastAsia="仿宋_GB2312"/>
          <w:color w:val="000000"/>
          <w:sz w:val="32"/>
          <w:szCs w:val="32"/>
          <w:lang w:eastAsia="zh-CN"/>
        </w:rPr>
        <w:t>鉴于</w:t>
      </w:r>
      <w:r>
        <w:rPr>
          <w:rFonts w:ascii="仿宋_GB2312" w:hAnsi="宋体" w:eastAsia="仿宋_GB2312" w:cs="宋体"/>
          <w:kern w:val="0"/>
          <w:sz w:val="32"/>
          <w:szCs w:val="32"/>
        </w:rPr>
        <w:t>杭州亿方</w:t>
      </w:r>
      <w:r>
        <w:rPr>
          <w:rFonts w:hint="eastAsia" w:ascii="仿宋_GB2312" w:eastAsia="仿宋_GB2312"/>
          <w:sz w:val="32"/>
          <w:szCs w:val="32"/>
        </w:rPr>
        <w:t>参</w:t>
      </w:r>
      <w:r>
        <w:rPr>
          <w:rFonts w:hint="eastAsia" w:ascii="仿宋_GB2312" w:eastAsia="仿宋_GB2312"/>
          <w:sz w:val="32"/>
          <w:szCs w:val="32"/>
          <w:lang w:eastAsia="zh-CN"/>
        </w:rPr>
        <w:t>与达成</w:t>
      </w:r>
      <w:r>
        <w:rPr>
          <w:rFonts w:hint="eastAsia" w:ascii="仿宋_GB2312" w:eastAsia="仿宋_GB2312"/>
          <w:sz w:val="32"/>
          <w:szCs w:val="32"/>
        </w:rPr>
        <w:t>垄断协议</w:t>
      </w:r>
      <w:r>
        <w:rPr>
          <w:rFonts w:hint="eastAsia" w:ascii="仿宋_GB2312" w:eastAsia="仿宋_GB2312"/>
          <w:sz w:val="32"/>
          <w:szCs w:val="32"/>
          <w:lang w:eastAsia="zh-CN"/>
        </w:rPr>
        <w:t>行为轻微，根据《中华人民共和国行政处罚法》第三十八条第一款第（二）项规定，</w:t>
      </w:r>
      <w:r>
        <w:rPr>
          <w:rFonts w:hint="eastAsia" w:ascii="仿宋_GB2312" w:eastAsia="仿宋_GB2312"/>
          <w:color w:val="000000"/>
          <w:sz w:val="32"/>
          <w:szCs w:val="32"/>
        </w:rPr>
        <w:t>本机关</w:t>
      </w:r>
      <w:r>
        <w:rPr>
          <w:rFonts w:hint="eastAsia" w:ascii="仿宋_GB2312" w:eastAsia="仿宋_GB2312"/>
          <w:color w:val="000000"/>
          <w:sz w:val="32"/>
          <w:szCs w:val="32"/>
          <w:lang w:eastAsia="zh-CN"/>
        </w:rPr>
        <w:t>决定对</w:t>
      </w:r>
      <w:r>
        <w:rPr>
          <w:rFonts w:ascii="仿宋_GB2312" w:hAnsi="宋体" w:eastAsia="仿宋_GB2312" w:cs="宋体"/>
          <w:kern w:val="0"/>
          <w:sz w:val="32"/>
          <w:szCs w:val="32"/>
        </w:rPr>
        <w:t>杭州亿方</w:t>
      </w:r>
      <w:r>
        <w:rPr>
          <w:rFonts w:hint="eastAsia" w:ascii="仿宋_GB2312" w:eastAsia="仿宋_GB2312"/>
          <w:color w:val="000000"/>
          <w:sz w:val="32"/>
          <w:szCs w:val="32"/>
        </w:rPr>
        <w:t>不予行政处罚。</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eastAsia="仿宋_GB2312"/>
          <w:color w:val="000000"/>
          <w:sz w:val="32"/>
          <w:szCs w:val="32"/>
        </w:rPr>
      </w:pPr>
      <w:r>
        <w:rPr>
          <w:rFonts w:hint="eastAsia" w:ascii="仿宋_GB2312" w:hAnsi="仿宋" w:eastAsia="仿宋_GB2312" w:cs="Times New Roman"/>
          <w:color w:val="auto"/>
          <w:kern w:val="0"/>
          <w:sz w:val="32"/>
          <w:szCs w:val="32"/>
        </w:rPr>
        <w:t>如</w:t>
      </w:r>
      <w:r>
        <w:rPr>
          <w:rFonts w:hint="eastAsia" w:ascii="仿宋_GB2312" w:hAnsi="仿宋" w:eastAsia="仿宋_GB2312" w:cs="Times New Roman"/>
          <w:color w:val="auto"/>
          <w:kern w:val="0"/>
          <w:sz w:val="32"/>
          <w:szCs w:val="32"/>
          <w:lang w:eastAsia="zh-CN"/>
        </w:rPr>
        <w:t>对</w:t>
      </w:r>
      <w:r>
        <w:rPr>
          <w:rFonts w:hint="eastAsia" w:ascii="仿宋_GB2312" w:hAnsi="仿宋" w:eastAsia="仿宋_GB2312" w:cs="Times New Roman"/>
          <w:color w:val="auto"/>
          <w:kern w:val="0"/>
          <w:sz w:val="32"/>
          <w:szCs w:val="32"/>
        </w:rPr>
        <w:t>本</w:t>
      </w:r>
      <w:r>
        <w:rPr>
          <w:rFonts w:hint="eastAsia" w:ascii="仿宋_GB2312" w:hAnsi="仿宋" w:eastAsia="仿宋_GB2312" w:cs="Times New Roman"/>
          <w:color w:val="auto"/>
          <w:kern w:val="0"/>
          <w:sz w:val="32"/>
          <w:szCs w:val="32"/>
          <w:lang w:eastAsia="zh-CN"/>
        </w:rPr>
        <w:t>不予行政</w:t>
      </w:r>
      <w:r>
        <w:rPr>
          <w:rFonts w:hint="eastAsia" w:ascii="仿宋_GB2312" w:hAnsi="仿宋" w:eastAsia="仿宋_GB2312" w:cs="Times New Roman"/>
          <w:color w:val="auto"/>
          <w:kern w:val="0"/>
          <w:sz w:val="32"/>
          <w:szCs w:val="32"/>
        </w:rPr>
        <w:t>处罚</w:t>
      </w:r>
      <w:r>
        <w:rPr>
          <w:rFonts w:hint="eastAsia" w:ascii="仿宋_GB2312" w:hAnsi="仿宋" w:eastAsia="仿宋_GB2312" w:cs="Times New Roman"/>
          <w:color w:val="auto"/>
          <w:kern w:val="0"/>
          <w:sz w:val="32"/>
          <w:szCs w:val="32"/>
          <w:lang w:eastAsia="zh-CN"/>
        </w:rPr>
        <w:t>决定不服</w:t>
      </w:r>
      <w:r>
        <w:rPr>
          <w:rFonts w:hint="eastAsia" w:ascii="仿宋_GB2312" w:hAnsi="仿宋" w:eastAsia="仿宋_GB2312" w:cs="Times New Roman"/>
          <w:color w:val="auto"/>
          <w:kern w:val="0"/>
          <w:sz w:val="32"/>
          <w:szCs w:val="32"/>
        </w:rPr>
        <w:t>，</w:t>
      </w:r>
      <w:r>
        <w:rPr>
          <w:rFonts w:hint="eastAsia" w:ascii="仿宋_GB2312" w:eastAsia="仿宋_GB2312"/>
          <w:color w:val="000000"/>
          <w:sz w:val="32"/>
          <w:szCs w:val="32"/>
        </w:rPr>
        <w:t>可在收到本决定书之日起</w:t>
      </w:r>
      <w:bookmarkStart w:id="0" w:name="fyqx"/>
      <w:r>
        <w:rPr>
          <w:rFonts w:hint="eastAsia" w:ascii="仿宋_GB2312" w:eastAsia="仿宋_GB2312"/>
          <w:color w:val="000000"/>
          <w:sz w:val="32"/>
          <w:szCs w:val="32"/>
        </w:rPr>
        <w:t>六十日</w:t>
      </w:r>
      <w:bookmarkEnd w:id="0"/>
      <w:r>
        <w:rPr>
          <w:rFonts w:hint="eastAsia" w:ascii="仿宋_GB2312" w:eastAsia="仿宋_GB2312"/>
          <w:color w:val="000000"/>
          <w:sz w:val="32"/>
          <w:szCs w:val="32"/>
        </w:rPr>
        <w:t>内向</w:t>
      </w:r>
      <w:bookmarkStart w:id="1" w:name="fydw"/>
      <w:r>
        <w:rPr>
          <w:rFonts w:hint="eastAsia" w:ascii="仿宋_GB2312" w:eastAsia="仿宋_GB2312"/>
          <w:color w:val="000000"/>
          <w:sz w:val="32"/>
          <w:szCs w:val="32"/>
        </w:rPr>
        <w:t>国家市场监督管理总局或浙江省人民政府</w:t>
      </w:r>
      <w:bookmarkEnd w:id="1"/>
      <w:r>
        <w:rPr>
          <w:rFonts w:hint="eastAsia" w:ascii="仿宋_GB2312" w:eastAsia="仿宋_GB2312"/>
          <w:color w:val="000000"/>
          <w:sz w:val="32"/>
          <w:szCs w:val="32"/>
        </w:rPr>
        <w:t>申请复议；也可以在</w:t>
      </w:r>
      <w:bookmarkStart w:id="2" w:name="ssqx"/>
      <w:r>
        <w:rPr>
          <w:rFonts w:hint="eastAsia" w:ascii="仿宋_GB2312" w:eastAsia="仿宋_GB2312"/>
          <w:color w:val="000000"/>
          <w:sz w:val="32"/>
          <w:szCs w:val="32"/>
        </w:rPr>
        <w:t>六个月</w:t>
      </w:r>
      <w:bookmarkEnd w:id="2"/>
      <w:r>
        <w:rPr>
          <w:rFonts w:hint="eastAsia" w:ascii="仿宋_GB2312" w:eastAsia="仿宋_GB2312"/>
          <w:color w:val="000000"/>
          <w:sz w:val="32"/>
          <w:szCs w:val="32"/>
        </w:rPr>
        <w:t>内直接向</w:t>
      </w:r>
      <w:bookmarkStart w:id="3" w:name="ssdw"/>
      <w:r>
        <w:rPr>
          <w:rFonts w:hint="eastAsia" w:ascii="仿宋_GB2312" w:eastAsia="仿宋_GB2312"/>
          <w:color w:val="000000"/>
          <w:sz w:val="32"/>
          <w:szCs w:val="32"/>
          <w:lang w:eastAsia="zh-CN"/>
        </w:rPr>
        <w:t>杭州市</w:t>
      </w:r>
      <w:r>
        <w:rPr>
          <w:rFonts w:hint="eastAsia" w:ascii="仿宋_GB2312" w:eastAsia="仿宋_GB2312"/>
          <w:color w:val="000000"/>
          <w:sz w:val="32"/>
          <w:szCs w:val="32"/>
        </w:rPr>
        <w:t>西湖区人民法院</w:t>
      </w:r>
      <w:bookmarkEnd w:id="3"/>
      <w:r>
        <w:rPr>
          <w:rFonts w:hint="eastAsia" w:ascii="仿宋_GB2312" w:eastAsia="仿宋_GB2312"/>
          <w:color w:val="000000"/>
          <w:sz w:val="32"/>
          <w:szCs w:val="32"/>
        </w:rPr>
        <w:t>起诉。</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eastAsia="仿宋_GB2312"/>
          <w:color w:val="000000"/>
          <w:sz w:val="32"/>
          <w:szCs w:val="32"/>
        </w:rPr>
      </w:pPr>
    </w:p>
    <w:p>
      <w:pPr>
        <w:keepNext w:val="0"/>
        <w:keepLines w:val="0"/>
        <w:pageBreakBefore w:val="0"/>
        <w:kinsoku/>
        <w:wordWrap/>
        <w:overflowPunct/>
        <w:topLinePunct w:val="0"/>
        <w:bidi w:val="0"/>
        <w:snapToGrid/>
        <w:spacing w:line="600" w:lineRule="exact"/>
        <w:ind w:firstLine="5120" w:firstLineChars="1600"/>
        <w:textAlignment w:val="auto"/>
        <w:rPr>
          <w:rFonts w:ascii="仿宋_GB2312" w:hAnsi="华文仿宋" w:eastAsia="仿宋_GB2312"/>
          <w:sz w:val="32"/>
          <w:szCs w:val="32"/>
        </w:rPr>
      </w:pPr>
      <w:r>
        <w:rPr>
          <w:rFonts w:hint="eastAsia" w:ascii="仿宋_GB2312" w:eastAsia="仿宋_GB2312"/>
          <w:color w:val="000000"/>
          <w:sz w:val="32"/>
          <w:szCs w:val="32"/>
        </w:rPr>
        <w:t>浙江省市</w:t>
      </w:r>
      <w:r>
        <w:rPr>
          <w:rFonts w:hint="eastAsia" w:ascii="仿宋_GB2312" w:hAnsi="华文仿宋" w:eastAsia="仿宋_GB2312"/>
          <w:sz w:val="32"/>
          <w:szCs w:val="32"/>
        </w:rPr>
        <w:t>场监督管理局</w:t>
      </w:r>
    </w:p>
    <w:p>
      <w:pPr>
        <w:keepNext w:val="0"/>
        <w:keepLines w:val="0"/>
        <w:pageBreakBefore w:val="0"/>
        <w:kinsoku/>
        <w:wordWrap/>
        <w:overflowPunct/>
        <w:topLinePunct w:val="0"/>
        <w:autoSpaceDE w:val="0"/>
        <w:autoSpaceDN w:val="0"/>
        <w:bidi w:val="0"/>
        <w:adjustRightInd w:val="0"/>
        <w:snapToGrid/>
        <w:spacing w:line="600" w:lineRule="exact"/>
        <w:ind w:firstLine="5760" w:firstLineChars="1800"/>
        <w:jc w:val="left"/>
        <w:textAlignment w:val="auto"/>
        <w:rPr>
          <w:rFonts w:ascii="仿宋_GB2312" w:hAnsi="华文仿宋" w:eastAsia="仿宋_GB2312"/>
          <w:sz w:val="18"/>
          <w:szCs w:val="18"/>
        </w:rPr>
      </w:pPr>
      <w:r>
        <w:rPr>
          <w:rFonts w:hint="eastAsia" w:ascii="仿宋_GB2312" w:hAnsi="华文仿宋" w:eastAsia="仿宋_GB2312"/>
          <w:sz w:val="32"/>
          <w:szCs w:val="32"/>
          <w:lang w:val="en-US" w:eastAsia="zh-CN"/>
        </w:rPr>
        <w:t>2020</w:t>
      </w:r>
      <w:r>
        <w:rPr>
          <w:rFonts w:hint="eastAsia" w:ascii="仿宋_GB2312" w:hAnsi="华文仿宋" w:eastAsia="仿宋_GB2312"/>
          <w:sz w:val="32"/>
          <w:szCs w:val="32"/>
        </w:rPr>
        <w:t>年</w:t>
      </w:r>
      <w:r>
        <w:rPr>
          <w:rFonts w:hint="eastAsia" w:ascii="仿宋_GB2312" w:hAnsi="华文仿宋" w:eastAsia="仿宋_GB2312"/>
          <w:sz w:val="32"/>
          <w:szCs w:val="32"/>
          <w:lang w:val="en-US" w:eastAsia="zh-CN"/>
        </w:rPr>
        <w:t>1</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14</w:t>
      </w:r>
      <w:r>
        <w:rPr>
          <w:rFonts w:hint="eastAsia" w:ascii="仿宋_GB2312" w:hAnsi="华文仿宋" w:eastAsia="仿宋_GB2312"/>
          <w:sz w:val="32"/>
          <w:szCs w:val="32"/>
          <w:lang w:eastAsia="zh-CN"/>
        </w:rPr>
        <w:t>日</w:t>
      </w:r>
    </w:p>
    <w:sectPr>
      <w:footerReference r:id="rId3" w:type="default"/>
      <w:pgSz w:w="11906" w:h="16838"/>
      <w:pgMar w:top="1985" w:right="1474" w:bottom="1985" w:left="1474"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right="90"/>
      <w:jc w:val="right"/>
      <w:rPr>
        <w:rFonts w:cs="Times New Roman" w:asciiTheme="minorEastAsia" w:hAnsiTheme="minorEastAsia"/>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67"/>
    <w:rsid w:val="000024BC"/>
    <w:rsid w:val="00004932"/>
    <w:rsid w:val="00010579"/>
    <w:rsid w:val="00014FE1"/>
    <w:rsid w:val="00015CBC"/>
    <w:rsid w:val="00016283"/>
    <w:rsid w:val="00023CD1"/>
    <w:rsid w:val="00023F9E"/>
    <w:rsid w:val="00026D41"/>
    <w:rsid w:val="00033EE2"/>
    <w:rsid w:val="00034852"/>
    <w:rsid w:val="00035655"/>
    <w:rsid w:val="00035FB7"/>
    <w:rsid w:val="00036EFB"/>
    <w:rsid w:val="00043AD5"/>
    <w:rsid w:val="00050130"/>
    <w:rsid w:val="00057591"/>
    <w:rsid w:val="000715C6"/>
    <w:rsid w:val="0007284E"/>
    <w:rsid w:val="00072C24"/>
    <w:rsid w:val="00077B7D"/>
    <w:rsid w:val="000916DE"/>
    <w:rsid w:val="000972F8"/>
    <w:rsid w:val="000A04F3"/>
    <w:rsid w:val="000A0EFC"/>
    <w:rsid w:val="000A53DE"/>
    <w:rsid w:val="000A7459"/>
    <w:rsid w:val="000B008E"/>
    <w:rsid w:val="000B2F3D"/>
    <w:rsid w:val="000C65D4"/>
    <w:rsid w:val="000D49A6"/>
    <w:rsid w:val="000D5284"/>
    <w:rsid w:val="000E033F"/>
    <w:rsid w:val="001061B1"/>
    <w:rsid w:val="00106598"/>
    <w:rsid w:val="00106C4A"/>
    <w:rsid w:val="0011070B"/>
    <w:rsid w:val="00113733"/>
    <w:rsid w:val="00117561"/>
    <w:rsid w:val="001204B7"/>
    <w:rsid w:val="001212C1"/>
    <w:rsid w:val="00121AF9"/>
    <w:rsid w:val="00135C0F"/>
    <w:rsid w:val="001502B5"/>
    <w:rsid w:val="00151C7E"/>
    <w:rsid w:val="00156D9C"/>
    <w:rsid w:val="0015785E"/>
    <w:rsid w:val="0016338C"/>
    <w:rsid w:val="00163DB8"/>
    <w:rsid w:val="001644D2"/>
    <w:rsid w:val="00170EC9"/>
    <w:rsid w:val="00175747"/>
    <w:rsid w:val="0018229B"/>
    <w:rsid w:val="001829B3"/>
    <w:rsid w:val="00191A31"/>
    <w:rsid w:val="00194122"/>
    <w:rsid w:val="0019736E"/>
    <w:rsid w:val="001979F3"/>
    <w:rsid w:val="001C6C27"/>
    <w:rsid w:val="001D20E9"/>
    <w:rsid w:val="001D2C0D"/>
    <w:rsid w:val="001D613B"/>
    <w:rsid w:val="001F162A"/>
    <w:rsid w:val="001F1784"/>
    <w:rsid w:val="001F4AF1"/>
    <w:rsid w:val="001F6EF6"/>
    <w:rsid w:val="001F7A7D"/>
    <w:rsid w:val="00201DDB"/>
    <w:rsid w:val="002043DD"/>
    <w:rsid w:val="00204E27"/>
    <w:rsid w:val="00205663"/>
    <w:rsid w:val="00205EAC"/>
    <w:rsid w:val="00211C38"/>
    <w:rsid w:val="0021248B"/>
    <w:rsid w:val="002156A5"/>
    <w:rsid w:val="0023077F"/>
    <w:rsid w:val="00230B37"/>
    <w:rsid w:val="002316FB"/>
    <w:rsid w:val="00231F92"/>
    <w:rsid w:val="002326B8"/>
    <w:rsid w:val="00240544"/>
    <w:rsid w:val="00251E24"/>
    <w:rsid w:val="00266042"/>
    <w:rsid w:val="00272620"/>
    <w:rsid w:val="00273A36"/>
    <w:rsid w:val="00281CFB"/>
    <w:rsid w:val="00282D9B"/>
    <w:rsid w:val="00287C72"/>
    <w:rsid w:val="0029074A"/>
    <w:rsid w:val="00292F17"/>
    <w:rsid w:val="002939C6"/>
    <w:rsid w:val="00293BD6"/>
    <w:rsid w:val="0029714A"/>
    <w:rsid w:val="002A4F58"/>
    <w:rsid w:val="002B230D"/>
    <w:rsid w:val="002B31E9"/>
    <w:rsid w:val="002B476B"/>
    <w:rsid w:val="002C2481"/>
    <w:rsid w:val="002C535C"/>
    <w:rsid w:val="002D53EA"/>
    <w:rsid w:val="002D63F7"/>
    <w:rsid w:val="002E57C9"/>
    <w:rsid w:val="002E6FC1"/>
    <w:rsid w:val="002F2C77"/>
    <w:rsid w:val="00301A2F"/>
    <w:rsid w:val="00302E9D"/>
    <w:rsid w:val="00304CCE"/>
    <w:rsid w:val="0031404A"/>
    <w:rsid w:val="003140F5"/>
    <w:rsid w:val="00314CFB"/>
    <w:rsid w:val="00315889"/>
    <w:rsid w:val="00320DE8"/>
    <w:rsid w:val="0032160C"/>
    <w:rsid w:val="00326719"/>
    <w:rsid w:val="00327BCC"/>
    <w:rsid w:val="0033084C"/>
    <w:rsid w:val="003332CE"/>
    <w:rsid w:val="00334626"/>
    <w:rsid w:val="00350754"/>
    <w:rsid w:val="00350BAF"/>
    <w:rsid w:val="0035368F"/>
    <w:rsid w:val="003551A2"/>
    <w:rsid w:val="003569F1"/>
    <w:rsid w:val="003601CA"/>
    <w:rsid w:val="00361A62"/>
    <w:rsid w:val="0036268B"/>
    <w:rsid w:val="00363ACC"/>
    <w:rsid w:val="003703FE"/>
    <w:rsid w:val="00375CEB"/>
    <w:rsid w:val="00376553"/>
    <w:rsid w:val="0037751B"/>
    <w:rsid w:val="0038402E"/>
    <w:rsid w:val="003848CB"/>
    <w:rsid w:val="00385D9D"/>
    <w:rsid w:val="003914A1"/>
    <w:rsid w:val="00391586"/>
    <w:rsid w:val="0039183A"/>
    <w:rsid w:val="003A2D74"/>
    <w:rsid w:val="003A71B8"/>
    <w:rsid w:val="003C32E1"/>
    <w:rsid w:val="003C512C"/>
    <w:rsid w:val="003C5F8C"/>
    <w:rsid w:val="003C6E72"/>
    <w:rsid w:val="003C722D"/>
    <w:rsid w:val="003D1FA2"/>
    <w:rsid w:val="003E36F0"/>
    <w:rsid w:val="003E3893"/>
    <w:rsid w:val="003E7E37"/>
    <w:rsid w:val="003F02F7"/>
    <w:rsid w:val="003F0D9A"/>
    <w:rsid w:val="00407307"/>
    <w:rsid w:val="00410946"/>
    <w:rsid w:val="00412EF3"/>
    <w:rsid w:val="004156A1"/>
    <w:rsid w:val="00416028"/>
    <w:rsid w:val="0043525D"/>
    <w:rsid w:val="00441BB8"/>
    <w:rsid w:val="00446FB9"/>
    <w:rsid w:val="004510CC"/>
    <w:rsid w:val="0045535F"/>
    <w:rsid w:val="00455EB5"/>
    <w:rsid w:val="00470E40"/>
    <w:rsid w:val="004728F4"/>
    <w:rsid w:val="00473B06"/>
    <w:rsid w:val="00474058"/>
    <w:rsid w:val="0047417D"/>
    <w:rsid w:val="00480344"/>
    <w:rsid w:val="00482F07"/>
    <w:rsid w:val="0049152E"/>
    <w:rsid w:val="004A54B2"/>
    <w:rsid w:val="004A5DA8"/>
    <w:rsid w:val="004C09B0"/>
    <w:rsid w:val="004C0E0E"/>
    <w:rsid w:val="004D5573"/>
    <w:rsid w:val="004D7BE3"/>
    <w:rsid w:val="004E5B6E"/>
    <w:rsid w:val="004F51BC"/>
    <w:rsid w:val="00503269"/>
    <w:rsid w:val="005037DF"/>
    <w:rsid w:val="00506232"/>
    <w:rsid w:val="00510475"/>
    <w:rsid w:val="00515563"/>
    <w:rsid w:val="00520608"/>
    <w:rsid w:val="00522E11"/>
    <w:rsid w:val="00523806"/>
    <w:rsid w:val="00524519"/>
    <w:rsid w:val="00531218"/>
    <w:rsid w:val="00536CB5"/>
    <w:rsid w:val="00537290"/>
    <w:rsid w:val="00542034"/>
    <w:rsid w:val="005573D0"/>
    <w:rsid w:val="00557E3A"/>
    <w:rsid w:val="00560FAC"/>
    <w:rsid w:val="00564847"/>
    <w:rsid w:val="005704B4"/>
    <w:rsid w:val="005717C2"/>
    <w:rsid w:val="005812E8"/>
    <w:rsid w:val="00583DBD"/>
    <w:rsid w:val="005851BC"/>
    <w:rsid w:val="00592FF2"/>
    <w:rsid w:val="00593F57"/>
    <w:rsid w:val="005949ED"/>
    <w:rsid w:val="005A7CE2"/>
    <w:rsid w:val="005B2B4D"/>
    <w:rsid w:val="005B4D43"/>
    <w:rsid w:val="005B6589"/>
    <w:rsid w:val="005D3B83"/>
    <w:rsid w:val="005D7334"/>
    <w:rsid w:val="005D73FA"/>
    <w:rsid w:val="005E5801"/>
    <w:rsid w:val="005F2255"/>
    <w:rsid w:val="005F5E80"/>
    <w:rsid w:val="005F73F8"/>
    <w:rsid w:val="005F7EB0"/>
    <w:rsid w:val="00603B3B"/>
    <w:rsid w:val="006103ED"/>
    <w:rsid w:val="00613827"/>
    <w:rsid w:val="006148C9"/>
    <w:rsid w:val="006152D8"/>
    <w:rsid w:val="00620A17"/>
    <w:rsid w:val="00625213"/>
    <w:rsid w:val="0062688F"/>
    <w:rsid w:val="00635F15"/>
    <w:rsid w:val="00642BC5"/>
    <w:rsid w:val="00642C7A"/>
    <w:rsid w:val="006435B8"/>
    <w:rsid w:val="00644CB7"/>
    <w:rsid w:val="00647196"/>
    <w:rsid w:val="00653359"/>
    <w:rsid w:val="006569CA"/>
    <w:rsid w:val="00657DBB"/>
    <w:rsid w:val="00663A96"/>
    <w:rsid w:val="00666BD2"/>
    <w:rsid w:val="006773FE"/>
    <w:rsid w:val="0069276D"/>
    <w:rsid w:val="00697725"/>
    <w:rsid w:val="00697766"/>
    <w:rsid w:val="006B10F6"/>
    <w:rsid w:val="006B4414"/>
    <w:rsid w:val="006B4D7A"/>
    <w:rsid w:val="006D7A35"/>
    <w:rsid w:val="006E01C9"/>
    <w:rsid w:val="006E1F0D"/>
    <w:rsid w:val="006E78F4"/>
    <w:rsid w:val="006E7E50"/>
    <w:rsid w:val="006F6B69"/>
    <w:rsid w:val="007016B8"/>
    <w:rsid w:val="007057BD"/>
    <w:rsid w:val="00706078"/>
    <w:rsid w:val="007069D8"/>
    <w:rsid w:val="007136D9"/>
    <w:rsid w:val="00723391"/>
    <w:rsid w:val="007237AA"/>
    <w:rsid w:val="00727E72"/>
    <w:rsid w:val="007315CB"/>
    <w:rsid w:val="00734AB8"/>
    <w:rsid w:val="00735AC6"/>
    <w:rsid w:val="007372BA"/>
    <w:rsid w:val="00741833"/>
    <w:rsid w:val="007475B0"/>
    <w:rsid w:val="007502EB"/>
    <w:rsid w:val="007507B8"/>
    <w:rsid w:val="007673D1"/>
    <w:rsid w:val="007679B4"/>
    <w:rsid w:val="00767E95"/>
    <w:rsid w:val="00770837"/>
    <w:rsid w:val="007717BB"/>
    <w:rsid w:val="00771EBC"/>
    <w:rsid w:val="00773404"/>
    <w:rsid w:val="00785BAB"/>
    <w:rsid w:val="007922E5"/>
    <w:rsid w:val="00794374"/>
    <w:rsid w:val="007A5C04"/>
    <w:rsid w:val="007B0129"/>
    <w:rsid w:val="007B1082"/>
    <w:rsid w:val="007B705D"/>
    <w:rsid w:val="007C178F"/>
    <w:rsid w:val="007C2313"/>
    <w:rsid w:val="007C7C1E"/>
    <w:rsid w:val="007D423F"/>
    <w:rsid w:val="007E03EB"/>
    <w:rsid w:val="007E1616"/>
    <w:rsid w:val="007E345B"/>
    <w:rsid w:val="007E3BE2"/>
    <w:rsid w:val="00803A03"/>
    <w:rsid w:val="00804345"/>
    <w:rsid w:val="00805A9A"/>
    <w:rsid w:val="008254C3"/>
    <w:rsid w:val="00825AD6"/>
    <w:rsid w:val="00831493"/>
    <w:rsid w:val="00831969"/>
    <w:rsid w:val="00835A55"/>
    <w:rsid w:val="00835DC8"/>
    <w:rsid w:val="00840625"/>
    <w:rsid w:val="008506B3"/>
    <w:rsid w:val="00851E23"/>
    <w:rsid w:val="008522DF"/>
    <w:rsid w:val="00852B52"/>
    <w:rsid w:val="00855B34"/>
    <w:rsid w:val="0087480B"/>
    <w:rsid w:val="00892A67"/>
    <w:rsid w:val="008936E3"/>
    <w:rsid w:val="00895714"/>
    <w:rsid w:val="00895C2E"/>
    <w:rsid w:val="008A08A6"/>
    <w:rsid w:val="008B4FA7"/>
    <w:rsid w:val="008C285C"/>
    <w:rsid w:val="008D578D"/>
    <w:rsid w:val="008E174C"/>
    <w:rsid w:val="008E3190"/>
    <w:rsid w:val="00900C0A"/>
    <w:rsid w:val="0090441C"/>
    <w:rsid w:val="00905C73"/>
    <w:rsid w:val="00911E22"/>
    <w:rsid w:val="00925E9B"/>
    <w:rsid w:val="009277FD"/>
    <w:rsid w:val="00927D35"/>
    <w:rsid w:val="00927F47"/>
    <w:rsid w:val="00930ACF"/>
    <w:rsid w:val="00931D3B"/>
    <w:rsid w:val="00932EC1"/>
    <w:rsid w:val="00937F7F"/>
    <w:rsid w:val="00941859"/>
    <w:rsid w:val="00943B40"/>
    <w:rsid w:val="00946121"/>
    <w:rsid w:val="009505BC"/>
    <w:rsid w:val="00950EA9"/>
    <w:rsid w:val="009526B3"/>
    <w:rsid w:val="0095352A"/>
    <w:rsid w:val="00954FBB"/>
    <w:rsid w:val="00956300"/>
    <w:rsid w:val="00961C0B"/>
    <w:rsid w:val="009629ED"/>
    <w:rsid w:val="00971DA9"/>
    <w:rsid w:val="009774EE"/>
    <w:rsid w:val="009814C9"/>
    <w:rsid w:val="0099529E"/>
    <w:rsid w:val="009A3649"/>
    <w:rsid w:val="009A63FB"/>
    <w:rsid w:val="009A773A"/>
    <w:rsid w:val="009B736E"/>
    <w:rsid w:val="009C01B6"/>
    <w:rsid w:val="009C05F1"/>
    <w:rsid w:val="009C728D"/>
    <w:rsid w:val="009D32DC"/>
    <w:rsid w:val="009D75E5"/>
    <w:rsid w:val="009E279B"/>
    <w:rsid w:val="009E349E"/>
    <w:rsid w:val="009F6676"/>
    <w:rsid w:val="009F68A5"/>
    <w:rsid w:val="00A0423B"/>
    <w:rsid w:val="00A045E4"/>
    <w:rsid w:val="00A10A4B"/>
    <w:rsid w:val="00A2255D"/>
    <w:rsid w:val="00A3564E"/>
    <w:rsid w:val="00A358AF"/>
    <w:rsid w:val="00A4002A"/>
    <w:rsid w:val="00A434A3"/>
    <w:rsid w:val="00A5166A"/>
    <w:rsid w:val="00A53966"/>
    <w:rsid w:val="00A660CA"/>
    <w:rsid w:val="00A77122"/>
    <w:rsid w:val="00A849BC"/>
    <w:rsid w:val="00A87EFB"/>
    <w:rsid w:val="00A91689"/>
    <w:rsid w:val="00A9283F"/>
    <w:rsid w:val="00A936FC"/>
    <w:rsid w:val="00A96C09"/>
    <w:rsid w:val="00AA0CF1"/>
    <w:rsid w:val="00AA27D4"/>
    <w:rsid w:val="00AA34DC"/>
    <w:rsid w:val="00AA3A53"/>
    <w:rsid w:val="00AA5F7A"/>
    <w:rsid w:val="00AB4B28"/>
    <w:rsid w:val="00AB745D"/>
    <w:rsid w:val="00AC29BF"/>
    <w:rsid w:val="00AC36DF"/>
    <w:rsid w:val="00AC7425"/>
    <w:rsid w:val="00AD0C24"/>
    <w:rsid w:val="00AD45ED"/>
    <w:rsid w:val="00AD6D86"/>
    <w:rsid w:val="00AD7E95"/>
    <w:rsid w:val="00AE1036"/>
    <w:rsid w:val="00AE10B2"/>
    <w:rsid w:val="00AE5F7E"/>
    <w:rsid w:val="00AF71D6"/>
    <w:rsid w:val="00B05D9D"/>
    <w:rsid w:val="00B05E30"/>
    <w:rsid w:val="00B0635F"/>
    <w:rsid w:val="00B14157"/>
    <w:rsid w:val="00B3017F"/>
    <w:rsid w:val="00B33B79"/>
    <w:rsid w:val="00B33E9C"/>
    <w:rsid w:val="00B33FF0"/>
    <w:rsid w:val="00B41333"/>
    <w:rsid w:val="00B418BD"/>
    <w:rsid w:val="00B4324A"/>
    <w:rsid w:val="00B4411E"/>
    <w:rsid w:val="00B4449B"/>
    <w:rsid w:val="00B45747"/>
    <w:rsid w:val="00B47E7C"/>
    <w:rsid w:val="00B524ED"/>
    <w:rsid w:val="00B54344"/>
    <w:rsid w:val="00B552D6"/>
    <w:rsid w:val="00B554D5"/>
    <w:rsid w:val="00B57846"/>
    <w:rsid w:val="00B64982"/>
    <w:rsid w:val="00B67157"/>
    <w:rsid w:val="00B74FBC"/>
    <w:rsid w:val="00B82A65"/>
    <w:rsid w:val="00B835C9"/>
    <w:rsid w:val="00B90C5A"/>
    <w:rsid w:val="00BC04D0"/>
    <w:rsid w:val="00BC1DB3"/>
    <w:rsid w:val="00BC4267"/>
    <w:rsid w:val="00BC507C"/>
    <w:rsid w:val="00BC7AA4"/>
    <w:rsid w:val="00BD05C2"/>
    <w:rsid w:val="00BD2500"/>
    <w:rsid w:val="00BD30CF"/>
    <w:rsid w:val="00BE6E2D"/>
    <w:rsid w:val="00BF7106"/>
    <w:rsid w:val="00C00FCD"/>
    <w:rsid w:val="00C01A77"/>
    <w:rsid w:val="00C03162"/>
    <w:rsid w:val="00C04F7A"/>
    <w:rsid w:val="00C05AA6"/>
    <w:rsid w:val="00C12705"/>
    <w:rsid w:val="00C235A5"/>
    <w:rsid w:val="00C32709"/>
    <w:rsid w:val="00C32805"/>
    <w:rsid w:val="00C328EE"/>
    <w:rsid w:val="00C32D65"/>
    <w:rsid w:val="00C33CEA"/>
    <w:rsid w:val="00C453EB"/>
    <w:rsid w:val="00C50363"/>
    <w:rsid w:val="00C5136C"/>
    <w:rsid w:val="00C54AB5"/>
    <w:rsid w:val="00C61C68"/>
    <w:rsid w:val="00C64DA8"/>
    <w:rsid w:val="00C72502"/>
    <w:rsid w:val="00C729A0"/>
    <w:rsid w:val="00C72F8D"/>
    <w:rsid w:val="00C74B0C"/>
    <w:rsid w:val="00C766BB"/>
    <w:rsid w:val="00C76717"/>
    <w:rsid w:val="00C77429"/>
    <w:rsid w:val="00C85C0A"/>
    <w:rsid w:val="00C95021"/>
    <w:rsid w:val="00CA5E06"/>
    <w:rsid w:val="00CC7396"/>
    <w:rsid w:val="00CC7639"/>
    <w:rsid w:val="00CE0305"/>
    <w:rsid w:val="00CE0929"/>
    <w:rsid w:val="00CF2A7F"/>
    <w:rsid w:val="00CF3848"/>
    <w:rsid w:val="00CF5855"/>
    <w:rsid w:val="00D02095"/>
    <w:rsid w:val="00D0384F"/>
    <w:rsid w:val="00D03F6F"/>
    <w:rsid w:val="00D04523"/>
    <w:rsid w:val="00D11F45"/>
    <w:rsid w:val="00D13191"/>
    <w:rsid w:val="00D1575C"/>
    <w:rsid w:val="00D21E4D"/>
    <w:rsid w:val="00D22080"/>
    <w:rsid w:val="00D452D3"/>
    <w:rsid w:val="00D46954"/>
    <w:rsid w:val="00D46E83"/>
    <w:rsid w:val="00D54C49"/>
    <w:rsid w:val="00D6343F"/>
    <w:rsid w:val="00D63D96"/>
    <w:rsid w:val="00D63FDB"/>
    <w:rsid w:val="00D678DE"/>
    <w:rsid w:val="00D732D7"/>
    <w:rsid w:val="00D7603C"/>
    <w:rsid w:val="00D81432"/>
    <w:rsid w:val="00D819C0"/>
    <w:rsid w:val="00D83AE2"/>
    <w:rsid w:val="00D86F54"/>
    <w:rsid w:val="00D878B2"/>
    <w:rsid w:val="00D943C5"/>
    <w:rsid w:val="00D955E3"/>
    <w:rsid w:val="00DB0A94"/>
    <w:rsid w:val="00DB1678"/>
    <w:rsid w:val="00DB5A79"/>
    <w:rsid w:val="00DE1628"/>
    <w:rsid w:val="00DE3628"/>
    <w:rsid w:val="00DF7CA5"/>
    <w:rsid w:val="00E00C43"/>
    <w:rsid w:val="00E03877"/>
    <w:rsid w:val="00E07C9D"/>
    <w:rsid w:val="00E07E69"/>
    <w:rsid w:val="00E11701"/>
    <w:rsid w:val="00E174E2"/>
    <w:rsid w:val="00E33189"/>
    <w:rsid w:val="00E37E56"/>
    <w:rsid w:val="00E42747"/>
    <w:rsid w:val="00E4460A"/>
    <w:rsid w:val="00E51970"/>
    <w:rsid w:val="00E53472"/>
    <w:rsid w:val="00E53F8B"/>
    <w:rsid w:val="00E640C1"/>
    <w:rsid w:val="00E64EF2"/>
    <w:rsid w:val="00E73399"/>
    <w:rsid w:val="00E77AEA"/>
    <w:rsid w:val="00E8312D"/>
    <w:rsid w:val="00E844F5"/>
    <w:rsid w:val="00E863E4"/>
    <w:rsid w:val="00E94191"/>
    <w:rsid w:val="00E941A7"/>
    <w:rsid w:val="00E94999"/>
    <w:rsid w:val="00E95D51"/>
    <w:rsid w:val="00E96692"/>
    <w:rsid w:val="00EB223B"/>
    <w:rsid w:val="00EB6E6C"/>
    <w:rsid w:val="00EB7E1F"/>
    <w:rsid w:val="00EC650C"/>
    <w:rsid w:val="00ED02E0"/>
    <w:rsid w:val="00ED257B"/>
    <w:rsid w:val="00ED287D"/>
    <w:rsid w:val="00ED28B0"/>
    <w:rsid w:val="00ED6786"/>
    <w:rsid w:val="00EF6218"/>
    <w:rsid w:val="00EF64E3"/>
    <w:rsid w:val="00F02C3E"/>
    <w:rsid w:val="00F02C8A"/>
    <w:rsid w:val="00F03AA3"/>
    <w:rsid w:val="00F0701B"/>
    <w:rsid w:val="00F07C91"/>
    <w:rsid w:val="00F13CD7"/>
    <w:rsid w:val="00F20527"/>
    <w:rsid w:val="00F2571B"/>
    <w:rsid w:val="00F34E4B"/>
    <w:rsid w:val="00F35B78"/>
    <w:rsid w:val="00F3609D"/>
    <w:rsid w:val="00F44B5B"/>
    <w:rsid w:val="00F473D4"/>
    <w:rsid w:val="00F556E8"/>
    <w:rsid w:val="00F57458"/>
    <w:rsid w:val="00F61BF1"/>
    <w:rsid w:val="00F7548B"/>
    <w:rsid w:val="00F805B0"/>
    <w:rsid w:val="00F81702"/>
    <w:rsid w:val="00F907B9"/>
    <w:rsid w:val="00F91AE7"/>
    <w:rsid w:val="00F927BA"/>
    <w:rsid w:val="00F978EA"/>
    <w:rsid w:val="00FA4062"/>
    <w:rsid w:val="00FB27E0"/>
    <w:rsid w:val="00FB2D6A"/>
    <w:rsid w:val="00FB4896"/>
    <w:rsid w:val="00FB7CE1"/>
    <w:rsid w:val="00FC1224"/>
    <w:rsid w:val="00FC29BC"/>
    <w:rsid w:val="00FD17A9"/>
    <w:rsid w:val="00FD6AF4"/>
    <w:rsid w:val="00FE0199"/>
    <w:rsid w:val="00FE4FC1"/>
    <w:rsid w:val="00FE6C6E"/>
    <w:rsid w:val="00FF2713"/>
    <w:rsid w:val="00FF299A"/>
    <w:rsid w:val="03651E0A"/>
    <w:rsid w:val="05C27C69"/>
    <w:rsid w:val="0CF368C8"/>
    <w:rsid w:val="11ED6502"/>
    <w:rsid w:val="1B8C1626"/>
    <w:rsid w:val="29CD774D"/>
    <w:rsid w:val="2BFF07D6"/>
    <w:rsid w:val="2C987AB4"/>
    <w:rsid w:val="3320298B"/>
    <w:rsid w:val="47F1526B"/>
    <w:rsid w:val="526833D2"/>
    <w:rsid w:val="537A554F"/>
    <w:rsid w:val="56133DEF"/>
    <w:rsid w:val="5A02737A"/>
    <w:rsid w:val="64BA123C"/>
    <w:rsid w:val="67AE7566"/>
    <w:rsid w:val="6B775F1C"/>
    <w:rsid w:val="7378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78370-FBF5-43A3-AAD7-BABCB050773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132</Words>
  <Characters>753</Characters>
  <Lines>6</Lines>
  <Paragraphs>1</Paragraphs>
  <TotalTime>1</TotalTime>
  <ScaleCrop>false</ScaleCrop>
  <LinksUpToDate>false</LinksUpToDate>
  <CharactersWithSpaces>884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2019-12-19T07:44:00Z</dcterms:created>
  <dc:creator>微软用户</dc:creator>
  <cp:lastModifiedBy>Administrator</cp:lastModifiedBy>
  <cp:lastPrinted>2019-04-26T08:23:00Z</cp:lastPrinted>
  <dcterms:modified xsi:type="dcterms:W3CDTF">2020-01-19T07:28:50Z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