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23</w:t>
      </w:r>
      <w:r>
        <w:rPr>
          <w:rFonts w:hint="eastAsia" w:ascii="仿宋_GB2312" w:eastAsia="仿宋_GB2312"/>
          <w:color w:val="000000" w:themeColor="text1"/>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spacing w:line="54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当事人：浙江瑞鑫建材有限公司（原湖州瑞鑫建材有限公司， 2018年3月26日名称变更）；</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法定代表人姓名：范彩德；</w:t>
      </w:r>
    </w:p>
    <w:p>
      <w:pPr>
        <w:spacing w:line="540" w:lineRule="exact"/>
        <w:ind w:firstLine="640" w:firstLineChars="200"/>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13805775688；</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w:t>
      </w:r>
      <w:r>
        <w:rPr>
          <w:rFonts w:hint="eastAsia" w:ascii="仿宋_GB2312" w:eastAsia="仿宋_GB2312"/>
          <w:color w:val="000000" w:themeColor="text1"/>
          <w:lang w:eastAsia="zh-CN"/>
          <w14:textFill>
            <w14:solidFill>
              <w14:schemeClr w14:val="tx1"/>
            </w14:solidFill>
          </w14:textFill>
        </w:rPr>
        <w:t>浙江省</w:t>
      </w:r>
      <w:r>
        <w:rPr>
          <w:rFonts w:hint="eastAsia" w:ascii="仿宋_GB2312" w:eastAsia="仿宋_GB2312"/>
          <w:color w:val="000000" w:themeColor="text1"/>
          <w14:textFill>
            <w14:solidFill>
              <w14:schemeClr w14:val="tx1"/>
            </w14:solidFill>
          </w14:textFill>
        </w:rPr>
        <w:t>德清县禹越镇滨江路；</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成立时间：2004年2月26日；</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经营范围：商品混凝土生产,建筑材料、透水材料、橡胶地砖、橡胶及制品销售;透水场地、橡胶场地设计及施工；</w:t>
      </w:r>
      <w:bookmarkStart w:id="5" w:name="_GoBack"/>
      <w:bookmarkEnd w:id="5"/>
    </w:p>
    <w:p>
      <w:pPr>
        <w:spacing w:line="540" w:lineRule="exact"/>
        <w:ind w:firstLine="64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91330521759064560T</w:t>
      </w:r>
      <w:r>
        <w:rPr>
          <w:rFonts w:hint="eastAsia" w:ascii="仿宋_GB2312" w:eastAsia="仿宋_GB2312"/>
          <w:color w:val="000000" w:themeColor="text1"/>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根据原国家工商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浙江瑞鑫建材有限公司（下简称浙江瑞鑫）</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浙江瑞鑫</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浙江瑞鑫</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pacing w:line="60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eastAsia="仿宋_GB2312"/>
          <w:color w:val="000000" w:themeColor="text1"/>
          <w:sz w:val="32"/>
          <w:szCs w:val="32"/>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浙江瑞鑫</w:t>
      </w:r>
      <w:r>
        <w:rPr>
          <w:rFonts w:hint="eastAsia" w:ascii="仿宋_GB2312" w:eastAsia="仿宋_GB2312"/>
          <w:color w:val="000000" w:themeColor="text1"/>
          <w:sz w:val="32"/>
          <w:szCs w:val="32"/>
          <w14:textFill>
            <w14:solidFill>
              <w14:schemeClr w14:val="tx1"/>
            </w14:solidFill>
          </w14:textFill>
        </w:rPr>
        <w:t>与湖州三中混凝土有限公司、海宁市中胜建材有限公司、杭州西联物流有限公司、杭州华江建材有限公司、杭州鼎源建材有限公司、杭州建工建材有限公司、杭州五友建材有限公司、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14:textFill>
            <w14:solidFill>
              <w14:schemeClr w14:val="tx1"/>
            </w14:solidFill>
          </w14:textFill>
        </w:rPr>
        <w:t>、杭州瑞鑫混凝土有限公司、杭州瑞鼎建材有限公司等具有</w:t>
      </w:r>
      <w:r>
        <w:rPr>
          <w:rFonts w:hint="eastAsia" w:ascii="仿宋_GB2312" w:eastAsia="仿宋_GB2312"/>
          <w:color w:val="000000" w:themeColor="text1"/>
          <w:sz w:val="32"/>
          <w:szCs w:val="32"/>
          <w14:textFill>
            <w14:solidFill>
              <w14:schemeClr w14:val="tx1"/>
            </w14:solidFill>
          </w14:textFill>
        </w:rPr>
        <w:t>横向竞争关系</w:t>
      </w:r>
      <w:r>
        <w:rPr>
          <w:rFonts w:hint="eastAsia" w:ascii="仿宋_GB2312" w:eastAsia="仿宋_GB2312"/>
          <w:color w:val="000000" w:themeColor="text1"/>
          <w:sz w:val="32"/>
          <w:szCs w:val="32"/>
          <w14:textFill>
            <w14:solidFill>
              <w14:schemeClr w14:val="tx1"/>
            </w14:solidFill>
          </w14:textFill>
        </w:rPr>
        <w:t>的11家混凝土生产企业，按照相应市场份额比例，约定相应比例股权关系，成立第三方公司杭州升聚投资管理有限公司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通过</w:t>
      </w:r>
      <w:r>
        <w:rPr>
          <w:rFonts w:hint="eastAsia" w:ascii="仿宋_GB2312" w:eastAsia="仿宋_GB2312"/>
          <w:color w:val="000000" w:themeColor="text1"/>
          <w:sz w:val="32"/>
          <w:szCs w:val="32"/>
          <w14:textFill>
            <w14:solidFill>
              <w14:schemeClr w14:val="tx1"/>
            </w14:solidFill>
          </w14:textFill>
        </w:rPr>
        <w:t>杭州聚同</w:t>
      </w:r>
      <w:r>
        <w:rPr>
          <w:rFonts w:hint="eastAsia" w:ascii="仿宋_GB2312" w:eastAsia="仿宋_GB2312"/>
          <w:color w:val="000000" w:themeColor="text1"/>
          <w:sz w:val="32"/>
          <w:szCs w:val="32"/>
          <w:lang w:eastAsia="zh-CN"/>
          <w14:textFill>
            <w14:solidFill>
              <w14:schemeClr w14:val="tx1"/>
            </w14:solidFill>
          </w14:textFill>
        </w:rPr>
        <w:t>企业事务代理有限公司（以下简称“杭州聚同”）</w:t>
      </w:r>
      <w:r>
        <w:rPr>
          <w:rFonts w:hint="eastAsia" w:ascii="仿宋_GB2312" w:eastAsia="仿宋_GB2312"/>
          <w:color w:val="000000" w:themeColor="text1"/>
          <w:sz w:val="32"/>
          <w:szCs w:val="32"/>
          <w14:textFill>
            <w14:solidFill>
              <w14:schemeClr w14:val="tx1"/>
            </w14:solidFill>
          </w14:textFill>
        </w:rPr>
        <w:t>与上海高甸信息技术有限公司签订“软件项目合同书”，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eastAsia="仿宋_GB2312"/>
          <w:bCs/>
          <w:color w:val="000000" w:themeColor="text1"/>
          <w:sz w:val="32"/>
          <w:szCs w:val="32"/>
          <w14:textFill>
            <w14:solidFill>
              <w14:schemeClr w14:val="tx1"/>
            </w14:solidFill>
          </w14:textFill>
        </w:rPr>
        <w:t>浙江瑞鑫</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第三组证据：2017年上海高甸信息科技有限公司与杭州聚同企业事务代理有限公司签署的混凝土监控系统合同与使用说明书及相关服务器电子取证的司法鉴定书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eastAsia="仿宋_GB2312"/>
          <w:bCs/>
          <w:color w:val="000000" w:themeColor="text1"/>
          <w:sz w:val="32"/>
          <w:szCs w:val="32"/>
          <w14:textFill>
            <w14:solidFill>
              <w14:schemeClr w14:val="tx1"/>
            </w14:solidFill>
          </w14:textFill>
        </w:rPr>
        <w:t>浙江瑞鑫</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浙江瑞鑫</w:t>
      </w:r>
      <w:r>
        <w:rPr>
          <w:rFonts w:hint="eastAsia" w:ascii="仿宋_GB2312" w:eastAsia="仿宋_GB2312"/>
          <w:bCs/>
          <w:color w:val="000000" w:themeColor="text1"/>
          <w:sz w:val="32"/>
          <w:szCs w:val="32"/>
          <w:lang w:eastAsia="zh-CN"/>
          <w14:textFill>
            <w14:solidFill>
              <w14:schemeClr w14:val="tx1"/>
            </w14:solidFill>
          </w14:textFill>
        </w:rPr>
        <w:t>与</w:t>
      </w:r>
      <w:r>
        <w:rPr>
          <w:rFonts w:hint="eastAsia" w:ascii="仿宋_GB2312" w:eastAsia="仿宋_GB2312"/>
          <w:color w:val="000000" w:themeColor="text1"/>
          <w:sz w:val="32"/>
          <w:szCs w:val="32"/>
          <w14:textFill>
            <w14:solidFill>
              <w14:schemeClr w14:val="tx1"/>
            </w14:solidFill>
          </w14:textFill>
        </w:rPr>
        <w:t>湖州三中混凝土有限公司、海宁市中胜建材有限公司、杭州西联物流有限公司、杭州华江建材有限公司、杭州鼎源建材有限公司、杭州建工建材有限公司、杭州五友建材有限公司、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14:textFill>
            <w14:solidFill>
              <w14:schemeClr w14:val="tx1"/>
            </w14:solidFill>
          </w14:textFill>
        </w:rPr>
        <w:t>、杭州瑞鑫混凝土有限公司、杭州瑞鼎建材有限公司</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组证据：浙江贝利建设集团有限公司等五家混凝土使用企业调查笔录及相关商品混凝土销售协议等，证明2015年至2017年期间相关地区混凝土市场竞争充分，价格及供应稳定，没有出现限制排除竞争的情况；</w:t>
      </w:r>
    </w:p>
    <w:p>
      <w:pPr>
        <w:spacing w:line="54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14:textFill>
            <w14:solidFill>
              <w14:schemeClr w14:val="tx1"/>
            </w14:solidFill>
          </w14:textFill>
        </w:rPr>
        <w:t>浙江瑞鑫</w:t>
      </w:r>
      <w:r>
        <w:rPr>
          <w:rFonts w:hint="eastAsia" w:ascii="仿宋_GB2312" w:eastAsia="仿宋_GB2312"/>
          <w:color w:val="000000" w:themeColor="text1"/>
          <w:sz w:val="32"/>
          <w:szCs w:val="32"/>
          <w:u w:val="none" w:color="auto"/>
          <w14:textFill>
            <w14:solidFill>
              <w14:schemeClr w14:val="tx1"/>
            </w14:solidFill>
          </w14:textFill>
        </w:rPr>
        <w:t>的上述行为违反了《中华人民共和国反垄断法》第十三条“禁止具有竞争关系的经营者达成下列垄断协议：（二）限制商品的生产数量或者销售数量；”的规定，属于《反垄断法》第十三条所禁止的达成垄断协议行为。</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根据《中华人民共和国反垄断法》第四十六条第一款之规定，对</w:t>
      </w:r>
      <w:r>
        <w:rPr>
          <w:rFonts w:hint="eastAsia" w:ascii="仿宋_GB2312" w:eastAsia="仿宋_GB2312"/>
          <w:color w:val="000000" w:themeColor="text1"/>
          <w14:textFill>
            <w14:solidFill>
              <w14:schemeClr w14:val="tx1"/>
            </w14:solidFill>
          </w14:textFill>
        </w:rPr>
        <w:t>浙江瑞鑫</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u w:val="none" w:color="auto"/>
          <w14:textFill>
            <w14:solidFill>
              <w14:schemeClr w14:val="tx1"/>
            </w14:solidFill>
          </w14:textFill>
        </w:rPr>
        <w:t>出如下行政处罚：1、责令停止违法行为；2、处罚款人民币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w:t>
      </w:r>
      <w:bookmarkStart w:id="1" w:name="fyqx"/>
      <w:r>
        <w:rPr>
          <w:rFonts w:hint="eastAsia" w:ascii="仿宋_GB2312" w:hAnsi="仿宋" w:eastAsia="仿宋_GB2312" w:cs="Times New Roman"/>
          <w:color w:val="000000" w:themeColor="text1"/>
          <w:kern w:val="0"/>
          <w14:textFill>
            <w14:solidFill>
              <w14:schemeClr w14:val="tx1"/>
            </w14:solidFill>
          </w14:textFill>
        </w:rPr>
        <w:t>六十日</w:t>
      </w:r>
      <w:bookmarkEnd w:id="1"/>
      <w:r>
        <w:rPr>
          <w:rFonts w:hint="eastAsia" w:ascii="仿宋_GB2312" w:hAnsi="仿宋" w:eastAsia="仿宋_GB2312" w:cs="Times New Roman"/>
          <w:color w:val="000000" w:themeColor="text1"/>
          <w:kern w:val="0"/>
          <w14:textFill>
            <w14:solidFill>
              <w14:schemeClr w14:val="tx1"/>
            </w14:solidFill>
          </w14:textFill>
        </w:rPr>
        <w:t>内向</w:t>
      </w:r>
      <w:bookmarkStart w:id="2" w:name="fydw"/>
      <w:r>
        <w:rPr>
          <w:rFonts w:hint="eastAsia" w:ascii="仿宋_GB2312" w:hAnsi="仿宋" w:eastAsia="仿宋_GB2312" w:cs="Times New Roman"/>
          <w:color w:val="000000" w:themeColor="text1"/>
          <w:kern w:val="0"/>
          <w14:textFill>
            <w14:solidFill>
              <w14:schemeClr w14:val="tx1"/>
            </w14:solidFill>
          </w14:textFill>
        </w:rPr>
        <w:t>国家市场监督管理总局或浙江省人民政府</w:t>
      </w:r>
      <w:bookmarkEnd w:id="2"/>
      <w:r>
        <w:rPr>
          <w:rFonts w:hint="eastAsia" w:ascii="仿宋_GB2312" w:hAnsi="仿宋" w:eastAsia="仿宋_GB2312" w:cs="Times New Roman"/>
          <w:color w:val="000000" w:themeColor="text1"/>
          <w:kern w:val="0"/>
          <w14:textFill>
            <w14:solidFill>
              <w14:schemeClr w14:val="tx1"/>
            </w14:solidFill>
          </w14:textFill>
        </w:rPr>
        <w:t>申请复议；也可以在</w:t>
      </w:r>
      <w:bookmarkStart w:id="3" w:name="ssqx"/>
      <w:r>
        <w:rPr>
          <w:rFonts w:hint="eastAsia" w:ascii="仿宋_GB2312" w:hAnsi="仿宋" w:eastAsia="仿宋_GB2312" w:cs="Times New Roman"/>
          <w:color w:val="000000" w:themeColor="text1"/>
          <w:kern w:val="0"/>
          <w14:textFill>
            <w14:solidFill>
              <w14:schemeClr w14:val="tx1"/>
            </w14:solidFill>
          </w14:textFill>
        </w:rPr>
        <w:t>六个月</w:t>
      </w:r>
      <w:bookmarkEnd w:id="3"/>
      <w:r>
        <w:rPr>
          <w:rFonts w:hint="eastAsia" w:ascii="仿宋_GB2312" w:hAnsi="仿宋" w:eastAsia="仿宋_GB2312" w:cs="Times New Roman"/>
          <w:color w:val="000000" w:themeColor="text1"/>
          <w:kern w:val="0"/>
          <w14:textFill>
            <w14:solidFill>
              <w14:schemeClr w14:val="tx1"/>
            </w14:solidFill>
          </w14:textFill>
        </w:rPr>
        <w:t>内直接向</w:t>
      </w:r>
      <w:bookmarkStart w:id="4" w:name="ssdw"/>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w:t>
      </w:r>
      <w:bookmarkEnd w:id="4"/>
      <w:r>
        <w:rPr>
          <w:rFonts w:hint="eastAsia" w:ascii="仿宋_GB2312" w:hAnsi="仿宋" w:eastAsia="仿宋_GB2312" w:cs="Times New Roman"/>
          <w:color w:val="000000" w:themeColor="text1"/>
          <w:kern w:val="0"/>
          <w14:textFill>
            <w14:solidFill>
              <w14:schemeClr w14:val="tx1"/>
            </w14:solidFill>
          </w14:textFill>
        </w:rPr>
        <w:t>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根据《企业信息公示暂行条例》等有关规定，本</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4800" w:firstLineChars="15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仿宋_GB2312" w:hAnsi="仿宋" w:eastAsia="仿宋_GB2312" w:cs="Times New Roman"/>
          <w:color w:val="000000" w:themeColor="text1"/>
          <w:kern w:val="0"/>
          <w:lang w:val="en-US" w:eastAsia="zh-CN"/>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 xml:space="preserve">  2019年12月23日</w:t>
      </w: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D1742"/>
    <w:rsid w:val="00120212"/>
    <w:rsid w:val="00153F62"/>
    <w:rsid w:val="00167B0B"/>
    <w:rsid w:val="001B29AD"/>
    <w:rsid w:val="001C2CF2"/>
    <w:rsid w:val="001D09A3"/>
    <w:rsid w:val="00207DCA"/>
    <w:rsid w:val="00275F3A"/>
    <w:rsid w:val="00304C77"/>
    <w:rsid w:val="00416FAB"/>
    <w:rsid w:val="005849AC"/>
    <w:rsid w:val="005D523B"/>
    <w:rsid w:val="0068570C"/>
    <w:rsid w:val="007036FB"/>
    <w:rsid w:val="00791B21"/>
    <w:rsid w:val="00801047"/>
    <w:rsid w:val="00826F07"/>
    <w:rsid w:val="00854174"/>
    <w:rsid w:val="008941B5"/>
    <w:rsid w:val="00967067"/>
    <w:rsid w:val="009F2276"/>
    <w:rsid w:val="00A4475A"/>
    <w:rsid w:val="00A77A24"/>
    <w:rsid w:val="00B36444"/>
    <w:rsid w:val="00BE5364"/>
    <w:rsid w:val="00C42F5E"/>
    <w:rsid w:val="00C83D12"/>
    <w:rsid w:val="00D56692"/>
    <w:rsid w:val="00DB1484"/>
    <w:rsid w:val="00EB7554"/>
    <w:rsid w:val="00F24635"/>
    <w:rsid w:val="00F41A18"/>
    <w:rsid w:val="0D3064E5"/>
    <w:rsid w:val="102F42CE"/>
    <w:rsid w:val="125F42A8"/>
    <w:rsid w:val="23376CD5"/>
    <w:rsid w:val="31427443"/>
    <w:rsid w:val="3235507E"/>
    <w:rsid w:val="3BA96B13"/>
    <w:rsid w:val="44414139"/>
    <w:rsid w:val="511D458F"/>
    <w:rsid w:val="5CDF2B99"/>
    <w:rsid w:val="64522AC5"/>
    <w:rsid w:val="65BC5366"/>
    <w:rsid w:val="67EB6EED"/>
    <w:rsid w:val="694766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4</Pages>
  <Words>321</Words>
  <Characters>1833</Characters>
  <Lines>15</Lines>
  <Paragraphs>4</Paragraphs>
  <TotalTime>0</TotalTime>
  <ScaleCrop>false</ScaleCrop>
  <LinksUpToDate>false</LinksUpToDate>
  <CharactersWithSpaces>2150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2020-01-19T07:28:24Z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