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jc w:val="center"/>
        <w:rPr>
          <w:rFonts w:hint="eastAsia" w:ascii="宋体" w:hAnsi="宋体" w:eastAsia="宋体" w:cs="宋体"/>
          <w:color w:val="000000" w:themeColor="text1"/>
          <w:sz w:val="52"/>
          <w:szCs w:val="52"/>
          <w:u w:val="none"/>
          <w:lang w:val="en-US" w:eastAsia="zh-CN"/>
          <w14:textFill>
            <w14:solidFill>
              <w14:schemeClr w14:val="tx1"/>
            </w14:solidFill>
          </w14:textFill>
        </w:rPr>
      </w:pPr>
      <w:bookmarkStart w:id="0" w:name="litigantInfo"/>
      <w:bookmarkEnd w:id="0"/>
      <w:r>
        <w:rPr>
          <w:rFonts w:hint="eastAsia" w:ascii="宋体" w:hAnsi="宋体" w:eastAsia="宋体" w:cs="宋体"/>
          <w:color w:val="000000" w:themeColor="text1"/>
          <w:sz w:val="52"/>
          <w:szCs w:val="52"/>
          <w:u w:val="none"/>
          <w:lang w:val="en-US" w:eastAsia="zh-CN"/>
          <w14:textFill>
            <w14:solidFill>
              <w14:schemeClr w14:val="tx1"/>
            </w14:solidFill>
          </w14:textFill>
        </w:rPr>
        <w:t>浙 江 省 市 场 监 督 管 局</w:t>
      </w:r>
    </w:p>
    <w:p>
      <w:pPr>
        <w:ind w:firstLine="2600" w:firstLineChars="500"/>
        <w:jc w:val="both"/>
        <w:rPr>
          <w:rFonts w:hint="default" w:ascii="仿宋_GB2312" w:eastAsia="仿宋_GB2312"/>
          <w:color w:val="000000" w:themeColor="text1"/>
          <w:sz w:val="52"/>
          <w:szCs w:val="52"/>
          <w:u w:val="single"/>
          <w:lang w:val="en-US" w:eastAsia="zh-CN"/>
          <w14:textFill>
            <w14:solidFill>
              <w14:schemeClr w14:val="tx1"/>
            </w14:solidFill>
          </w14:textFill>
        </w:rPr>
      </w:pPr>
      <w:r>
        <w:rPr>
          <w:rFonts w:hint="eastAsia" w:ascii="宋体" w:hAnsi="宋体" w:eastAsia="宋体" w:cs="宋体"/>
          <w:color w:val="000000" w:themeColor="text1"/>
          <w:sz w:val="52"/>
          <w:szCs w:val="52"/>
          <w:u w:val="none"/>
          <w:lang w:val="en-US" w:eastAsia="zh-CN"/>
          <w14:textFill>
            <w14:solidFill>
              <w14:schemeClr w14:val="tx1"/>
            </w14:solidFill>
          </w14:textFill>
        </w:rPr>
        <w:t>处 罚 决 定 书</w:t>
      </w:r>
    </w:p>
    <w:p>
      <w:pPr>
        <w:ind w:firstLine="2880" w:firstLineChars="900"/>
        <w:jc w:val="both"/>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浙</w:t>
      </w:r>
      <w:r>
        <w:rPr>
          <w:rFonts w:hint="eastAsia" w:ascii="仿宋_GB2312" w:eastAsia="仿宋_GB2312"/>
          <w:color w:val="000000" w:themeColor="text1"/>
          <w14:textFill>
            <w14:solidFill>
              <w14:schemeClr w14:val="tx1"/>
            </w14:solidFill>
          </w14:textFill>
        </w:rPr>
        <w:t>市监</w:t>
      </w:r>
      <w:r>
        <w:rPr>
          <w:rFonts w:hint="eastAsia" w:ascii="仿宋_GB2312" w:eastAsia="仿宋_GB2312"/>
          <w:color w:val="000000" w:themeColor="text1"/>
          <w:lang w:eastAsia="zh-CN"/>
          <w14:textFill>
            <w14:solidFill>
              <w14:schemeClr w14:val="tx1"/>
            </w14:solidFill>
          </w14:textFill>
        </w:rPr>
        <w:t>案</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2019</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22</w:t>
      </w:r>
      <w:r>
        <w:rPr>
          <w:rFonts w:hint="eastAsia" w:ascii="仿宋_GB2312" w:eastAsia="仿宋_GB2312"/>
          <w:color w:val="000000" w:themeColor="text1"/>
          <w14:textFill>
            <w14:solidFill>
              <w14:schemeClr w14:val="tx1"/>
            </w14:solidFill>
          </w14:textFill>
        </w:rPr>
        <w:t>号</w:t>
      </w:r>
    </w:p>
    <w:p>
      <w:pPr>
        <w:spacing w:line="540" w:lineRule="exact"/>
        <w:ind w:firstLine="720" w:firstLineChars="200"/>
        <w:jc w:val="center"/>
        <w:rPr>
          <w:rFonts w:ascii="方正小标宋_GBK" w:hAnsi="仿宋" w:eastAsia="方正小标宋_GBK"/>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一、当事人情况</w:t>
      </w:r>
      <w:bookmarkStart w:id="5" w:name="_GoBack"/>
      <w:bookmarkEnd w:id="5"/>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当事人：</w:t>
      </w:r>
      <w:r>
        <w:rPr>
          <w:rFonts w:hint="eastAsia" w:ascii="仿宋_GB2312" w:eastAsia="仿宋_GB2312"/>
          <w:color w:val="000000" w:themeColor="text1"/>
          <w14:textFill>
            <w14:solidFill>
              <w14:schemeClr w14:val="tx1"/>
            </w14:solidFill>
          </w14:textFill>
        </w:rPr>
        <w:t>杭州余杭恒力混凝土有限公司；</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法定代表人：胡佐平；</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联系电话：</w:t>
      </w:r>
      <w:r>
        <w:rPr>
          <w:rFonts w:hint="eastAsia" w:ascii="仿宋_GB2312" w:eastAsia="仿宋_GB2312"/>
          <w:color w:val="000000" w:themeColor="text1"/>
          <w:lang w:val="en-US" w:eastAsia="zh-CN"/>
          <w14:textFill>
            <w14:solidFill>
              <w14:schemeClr w14:val="tx1"/>
            </w14:solidFill>
          </w14:textFill>
        </w:rPr>
        <w:t>13805783588；</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地址：杭州余杭区仁和街道栅庄桥村；</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公司形式：有限责任公司（自然人投资或控股的法人独资）；</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成立时间：2009年1月19日；</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经营范围：生产:商品混凝土;货运:普通货运、货物专用运输(罐式)。销售:商品混凝土；</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注册号：</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9133011068293650XR</w:t>
      </w:r>
      <w:r>
        <w:rPr>
          <w:rFonts w:hint="eastAsia" w:ascii="仿宋_GB2312" w:eastAsia="仿宋_GB2312"/>
          <w:color w:val="000000" w:themeColor="text1"/>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二、案件来源及调查经过</w:t>
      </w:r>
    </w:p>
    <w:p>
      <w:pPr>
        <w:keepNext w:val="0"/>
        <w:keepLines w:val="0"/>
        <w:pageBreakBefore w:val="0"/>
        <w:widowControl/>
        <w:kinsoku/>
        <w:wordWrap/>
        <w:overflowPunct/>
        <w:topLinePunct w:val="0"/>
        <w:autoSpaceDE/>
        <w:autoSpaceDN/>
        <w:bidi w:val="0"/>
        <w:adjustRightInd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根据原国家工商</w:t>
      </w:r>
      <w:r>
        <w:rPr>
          <w:rFonts w:hint="eastAsia" w:ascii="仿宋_GB2312" w:hAnsi="仿宋" w:eastAsia="仿宋_GB2312"/>
          <w:color w:val="000000" w:themeColor="text1"/>
          <w:lang w:eastAsia="zh-CN"/>
          <w14:textFill>
            <w14:solidFill>
              <w14:schemeClr w14:val="tx1"/>
            </w14:solidFill>
          </w14:textFill>
        </w:rPr>
        <w:t>行政管理</w:t>
      </w:r>
      <w:r>
        <w:rPr>
          <w:rFonts w:hint="eastAsia" w:ascii="仿宋_GB2312" w:hAnsi="仿宋" w:eastAsia="仿宋_GB2312"/>
          <w:color w:val="000000" w:themeColor="text1"/>
          <w14:textFill>
            <w14:solidFill>
              <w14:schemeClr w14:val="tx1"/>
            </w14:solidFill>
          </w14:textFill>
        </w:rPr>
        <w:t>总局(工商竞争字[2017]239号)文件授权，2017年12月18日</w:t>
      </w:r>
      <w:r>
        <w:rPr>
          <w:rFonts w:hint="eastAsia" w:ascii="仿宋_GB2312" w:hAnsi="仿宋" w:eastAsia="仿宋_GB2312"/>
          <w:color w:val="000000" w:themeColor="text1"/>
          <w14:textFill>
            <w14:solidFill>
              <w14:schemeClr w14:val="tx1"/>
            </w14:solidFill>
          </w14:textFill>
        </w:rPr>
        <w:t>原浙江省工商行政管理局依法对</w:t>
      </w:r>
      <w:r>
        <w:rPr>
          <w:rFonts w:hint="eastAsia" w:ascii="仿宋_GB2312" w:eastAsia="仿宋_GB2312"/>
          <w:color w:val="000000" w:themeColor="text1"/>
          <w14:textFill>
            <w14:solidFill>
              <w14:schemeClr w14:val="tx1"/>
            </w14:solidFill>
          </w14:textFill>
        </w:rPr>
        <w:t>杭州余杭恒力混凝土有限公司</w:t>
      </w:r>
      <w:r>
        <w:rPr>
          <w:rFonts w:hint="eastAsia" w:ascii="仿宋_GB2312" w:hAnsi="仿宋" w:eastAsia="仿宋_GB2312"/>
          <w:color w:val="000000" w:themeColor="text1"/>
          <w14:textFill>
            <w14:solidFill>
              <w14:schemeClr w14:val="tx1"/>
            </w14:solidFill>
          </w14:textFill>
        </w:rPr>
        <w:t>（以下简称</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余杭恒力</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w:t>
      </w:r>
      <w:r>
        <w:rPr>
          <w:rFonts w:hint="eastAsia" w:ascii="仿宋_GB2312" w:hAnsi="仿宋" w:eastAsia="仿宋_GB2312"/>
          <w:color w:val="000000" w:themeColor="text1"/>
          <w:lang w:eastAsia="zh-CN"/>
          <w14:textFill>
            <w14:solidFill>
              <w14:schemeClr w14:val="tx1"/>
            </w14:solidFill>
          </w14:textFill>
        </w:rPr>
        <w:t>涉嫌</w:t>
      </w:r>
      <w:r>
        <w:rPr>
          <w:rFonts w:hint="eastAsia" w:ascii="仿宋_GB2312" w:hAnsi="仿宋" w:eastAsia="仿宋_GB2312"/>
          <w:color w:val="000000" w:themeColor="text1"/>
          <w14:textFill>
            <w14:solidFill>
              <w14:schemeClr w14:val="tx1"/>
            </w14:solidFill>
          </w14:textFill>
        </w:rPr>
        <w:t>参与达成垄断协议的行为进行立案调查</w:t>
      </w:r>
      <w:r>
        <w:rPr>
          <w:rFonts w:hint="eastAsia" w:ascii="仿宋_GB2312" w:hAnsi="仿宋" w:eastAsia="仿宋_GB2312"/>
          <w:color w:val="000000" w:themeColor="text1"/>
          <w:lang w:eastAsia="zh-CN"/>
          <w14:textFill>
            <w14:solidFill>
              <w14:schemeClr w14:val="tx1"/>
            </w14:solidFill>
          </w14:textFill>
        </w:rPr>
        <w:t>。机构改革后，该案的调查处理由本机关继续履行</w:t>
      </w:r>
      <w:r>
        <w:rPr>
          <w:rFonts w:hint="eastAsia" w:ascii="仿宋_GB2312" w:hAnsi="仿宋" w:eastAsia="仿宋_GB2312"/>
          <w:color w:val="000000" w:themeColor="text1"/>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本机关于2019年</w:t>
      </w:r>
      <w:r>
        <w:rPr>
          <w:rFonts w:hint="eastAsia" w:ascii="仿宋_GB2312" w:hAnsi="仿宋" w:eastAsia="仿宋_GB2312"/>
          <w:color w:val="000000" w:themeColor="text1"/>
          <w:lang w:val="en-US" w:eastAsia="zh-CN"/>
          <w14:textFill>
            <w14:solidFill>
              <w14:schemeClr w14:val="tx1"/>
            </w14:solidFill>
          </w14:textFill>
        </w:rPr>
        <w:t>12</w:t>
      </w:r>
      <w:r>
        <w:rPr>
          <w:rFonts w:hint="eastAsia" w:ascii="仿宋_GB2312" w:hAnsi="仿宋" w:eastAsia="仿宋_GB2312"/>
          <w:color w:val="000000" w:themeColor="text1"/>
          <w14:textFill>
            <w14:solidFill>
              <w14:schemeClr w14:val="tx1"/>
            </w14:solidFill>
          </w14:textFill>
        </w:rPr>
        <w:t>月</w:t>
      </w:r>
      <w:r>
        <w:rPr>
          <w:rFonts w:hint="eastAsia" w:ascii="仿宋_GB2312" w:hAnsi="仿宋" w:eastAsia="仿宋_GB2312"/>
          <w:color w:val="000000" w:themeColor="text1"/>
          <w:lang w:val="en-US" w:eastAsia="zh-CN"/>
          <w14:textFill>
            <w14:solidFill>
              <w14:schemeClr w14:val="tx1"/>
            </w14:solidFill>
          </w14:textFill>
        </w:rPr>
        <w:t>17</w:t>
      </w:r>
      <w:r>
        <w:rPr>
          <w:rFonts w:hint="eastAsia" w:ascii="仿宋_GB2312" w:hAnsi="仿宋" w:eastAsia="仿宋_GB2312"/>
          <w:color w:val="000000" w:themeColor="text1"/>
          <w14:textFill>
            <w14:solidFill>
              <w14:schemeClr w14:val="tx1"/>
            </w14:solidFill>
          </w14:textFill>
        </w:rPr>
        <w:t>日依法向余杭恒力送达了</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行政处罚听证告知书</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，告知其涉嫌违法的事实、拟作出的行政处罚决定、理由和依据，以及依法享有陈述、申辩或要求举行听证的权利。余杭恒力</w:t>
      </w:r>
      <w:r>
        <w:rPr>
          <w:rFonts w:hint="eastAsia" w:ascii="仿宋_GB2312" w:hAnsi="仿宋" w:eastAsia="仿宋_GB2312"/>
          <w:color w:val="000000" w:themeColor="text1"/>
          <w:lang w:eastAsia="zh-CN"/>
          <w14:textFill>
            <w14:solidFill>
              <w14:schemeClr w14:val="tx1"/>
            </w14:solidFill>
          </w14:textFill>
        </w:rPr>
        <w:t>公司</w:t>
      </w:r>
      <w:r>
        <w:rPr>
          <w:rFonts w:hint="eastAsia" w:ascii="仿宋_GB2312" w:hAnsi="仿宋" w:eastAsia="仿宋_GB2312"/>
          <w:color w:val="000000" w:themeColor="text1"/>
          <w14:textFill>
            <w14:solidFill>
              <w14:schemeClr w14:val="tx1"/>
            </w14:solidFill>
          </w14:textFill>
        </w:rPr>
        <w:t>在法定期限内没有向本机关提出陈述、申辩意见，也没有要求举行听证。</w:t>
      </w:r>
    </w:p>
    <w:p>
      <w:pPr>
        <w:keepNext w:val="0"/>
        <w:keepLines w:val="0"/>
        <w:pageBreakBefore w:val="0"/>
        <w:widowControl/>
        <w:kinsoku/>
        <w:wordWrap/>
        <w:overflowPunct/>
        <w:topLinePunct w:val="0"/>
        <w:autoSpaceDE/>
        <w:autoSpaceDN/>
        <w:bidi w:val="0"/>
        <w:adjustRightInd w:val="0"/>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三、违法事实及相关证据</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Tahoma" w:eastAsia="仿宋_GB2312"/>
          <w:color w:val="000000" w:themeColor="text1"/>
          <w:sz w:val="32"/>
          <w:szCs w:val="32"/>
          <w:u w:val="none" w:color="auto"/>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现查明</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eastAsia="仿宋_GB2312"/>
          <w:color w:val="000000" w:themeColor="text1"/>
          <w:sz w:val="32"/>
          <w:szCs w:val="32"/>
          <w:u w:val="none" w:color="auto"/>
          <w14:textFill>
            <w14:solidFill>
              <w14:schemeClr w14:val="tx1"/>
            </w14:solidFill>
          </w14:textFill>
        </w:rPr>
        <w:t>2015年7月</w:t>
      </w:r>
      <w:r>
        <w:rPr>
          <w:rFonts w:hint="eastAsia" w:ascii="仿宋_GB2312" w:hAnsi="仿宋" w:eastAsia="仿宋_GB2312"/>
          <w:color w:val="000000" w:themeColor="text1"/>
          <w14:textFill>
            <w14:solidFill>
              <w14:schemeClr w14:val="tx1"/>
            </w14:solidFill>
          </w14:textFill>
        </w:rPr>
        <w:t>余杭恒力</w:t>
      </w:r>
      <w:r>
        <w:rPr>
          <w:rFonts w:hint="eastAsia" w:ascii="仿宋_GB2312" w:hAnsi="仿宋_GB2312" w:eastAsia="仿宋_GB2312" w:cs="仿宋_GB2312"/>
          <w:color w:val="000000" w:themeColor="text1"/>
          <w:sz w:val="32"/>
          <w:szCs w:val="32"/>
          <w:u w:val="none" w:color="auto"/>
          <w14:textFill>
            <w14:solidFill>
              <w14:schemeClr w14:val="tx1"/>
            </w14:solidFill>
          </w14:textFill>
        </w:rPr>
        <w:t>与</w:t>
      </w:r>
      <w:r>
        <w:rPr>
          <w:rFonts w:hint="eastAsia" w:ascii="仿宋_GB2312" w:eastAsia="仿宋_GB2312"/>
          <w:color w:val="000000" w:themeColor="text1"/>
          <w:sz w:val="32"/>
          <w:szCs w:val="32"/>
          <w:u w:val="none" w:color="auto"/>
          <w14:textFill>
            <w14:solidFill>
              <w14:schemeClr w14:val="tx1"/>
            </w14:solidFill>
          </w14:textFill>
        </w:rPr>
        <w:t>杭州西联物流有限公司、海宁市中胜建材有限公司、杭州鼎源建材有限公司、杭州五友建材有限公司、</w:t>
      </w:r>
      <w:r>
        <w:rPr>
          <w:rFonts w:hint="eastAsia" w:ascii="仿宋_GB2312" w:hAnsi="Tahoma" w:eastAsia="仿宋_GB2312"/>
          <w:color w:val="000000" w:themeColor="text1"/>
          <w:sz w:val="32"/>
          <w:szCs w:val="32"/>
          <w:u w:val="none" w:color="auto"/>
          <w14:textFill>
            <w14:solidFill>
              <w14:schemeClr w14:val="tx1"/>
            </w14:solidFill>
          </w14:textFill>
        </w:rPr>
        <w:t>杭州瑞鼎建材有限公司</w:t>
      </w:r>
      <w:r>
        <w:rPr>
          <w:rFonts w:hint="eastAsia" w:ascii="仿宋_GB2312" w:hAnsi="Tahoma" w:eastAsia="仿宋_GB2312"/>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、杭州瑞鑫混凝土有限公司、杭州建工建材有限公司、杭州华江建材有限公司</w:t>
      </w:r>
      <w:r>
        <w:rPr>
          <w:rFonts w:hint="eastAsia" w:ascii="仿宋_GB2312" w:eastAsia="仿宋_GB2312"/>
          <w:color w:val="000000" w:themeColor="text1"/>
          <w:sz w:val="32"/>
          <w:szCs w:val="32"/>
          <w:u w:val="none" w:color="auto"/>
          <w:lang w:eastAsia="zh-CN"/>
          <w14:textFill>
            <w14:solidFill>
              <w14:schemeClr w14:val="tx1"/>
            </w14:solidFill>
          </w14:textFill>
        </w:rPr>
        <w:t>、杭州亿方混凝土有限公司</w:t>
      </w:r>
      <w:r>
        <w:rPr>
          <w:rFonts w:hint="eastAsia" w:ascii="仿宋_GB2312" w:eastAsia="仿宋_GB2312"/>
          <w:color w:val="000000" w:themeColor="text1"/>
          <w:sz w:val="32"/>
          <w:szCs w:val="32"/>
          <w:u w:val="none" w:color="auto"/>
          <w14:textFill>
            <w14:solidFill>
              <w14:schemeClr w14:val="tx1"/>
            </w14:solidFill>
          </w14:textFill>
        </w:rPr>
        <w:t>等1</w:t>
      </w:r>
      <w:r>
        <w:rPr>
          <w:rFonts w:hint="eastAsia" w:ascii="仿宋_GB2312" w:eastAsia="仿宋_GB2312"/>
          <w:color w:val="000000" w:themeColor="text1"/>
          <w:sz w:val="32"/>
          <w:szCs w:val="32"/>
          <w:u w:val="none" w:color="auto"/>
          <w:lang w:val="en-US" w:eastAsia="zh-CN"/>
          <w14:textFill>
            <w14:solidFill>
              <w14:schemeClr w14:val="tx1"/>
            </w14:solidFill>
          </w14:textFill>
        </w:rPr>
        <w:t>1</w:t>
      </w:r>
      <w:r>
        <w:rPr>
          <w:rFonts w:hint="eastAsia" w:ascii="仿宋_GB2312" w:eastAsia="仿宋_GB2312"/>
          <w:color w:val="000000" w:themeColor="text1"/>
          <w:sz w:val="32"/>
          <w:szCs w:val="32"/>
          <w:u w:val="none" w:color="auto"/>
          <w14:textFill>
            <w14:solidFill>
              <w14:schemeClr w14:val="tx1"/>
            </w14:solidFill>
          </w14:textFill>
        </w:rPr>
        <w:t>家具有横向竞争关系的混凝土生产企业</w:t>
      </w:r>
      <w:r>
        <w:rPr>
          <w:rFonts w:hint="eastAsia" w:ascii="仿宋_GB2312" w:hAnsi="仿宋_GB2312" w:eastAsia="仿宋_GB2312" w:cs="仿宋_GB2312"/>
          <w:color w:val="000000" w:themeColor="text1"/>
          <w:sz w:val="32"/>
          <w:szCs w:val="32"/>
          <w:u w:val="none" w:color="auto"/>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千岛湖绿城度假酒店</w:t>
      </w:r>
      <w:r>
        <w:rPr>
          <w:rFonts w:hint="eastAsia" w:ascii="仿宋_GB2312" w:hAnsi="仿宋_GB2312" w:eastAsia="仿宋_GB2312" w:cs="仿宋_GB2312"/>
          <w:color w:val="000000" w:themeColor="text1"/>
          <w:sz w:val="32"/>
          <w:szCs w:val="32"/>
          <w:u w:val="none" w:color="auto"/>
          <w14:textFill>
            <w14:solidFill>
              <w14:schemeClr w14:val="tx1"/>
            </w14:solidFill>
          </w14:textFill>
        </w:rPr>
        <w:t>召开所谓“片区”全体会议。在会议上讨论</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u w:val="none" w:color="auto"/>
          <w14:textFill>
            <w14:solidFill>
              <w14:schemeClr w14:val="tx1"/>
            </w14:solidFill>
          </w14:textFill>
        </w:rPr>
        <w:t>由第三方公司以统一价格承接混凝土供应业务后“推荐”至各企业，并由相关企业上缴利润作为共享金，在年底按各企业基数比例分配共享金，同时要求各公司每家交纳50万诚信金用于违约扣罚</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余杭恒力</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因产量限额、违约金缴纳等问题与其它公司</w:t>
      </w:r>
      <w:r>
        <w:rPr>
          <w:rFonts w:hint="eastAsia" w:ascii="仿宋_GB2312" w:hAnsi="仿宋_GB2312" w:eastAsia="仿宋_GB2312" w:cs="仿宋_GB2312"/>
          <w:color w:val="000000" w:themeColor="text1"/>
          <w:sz w:val="32"/>
          <w:szCs w:val="32"/>
          <w:u w:val="none" w:color="auto"/>
          <w14:textFill>
            <w14:solidFill>
              <w14:schemeClr w14:val="tx1"/>
            </w14:solidFill>
          </w14:textFill>
        </w:rPr>
        <w:t>存在矛盾，随</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后</w:t>
      </w:r>
      <w:r>
        <w:rPr>
          <w:rFonts w:hint="eastAsia" w:ascii="仿宋_GB2312" w:hAnsi="仿宋_GB2312" w:eastAsia="仿宋_GB2312" w:cs="仿宋_GB2312"/>
          <w:color w:val="000000" w:themeColor="text1"/>
          <w:sz w:val="32"/>
          <w:szCs w:val="32"/>
          <w:u w:val="none" w:color="auto"/>
          <w14:textFill>
            <w14:solidFill>
              <w14:schemeClr w14:val="tx1"/>
            </w14:solidFill>
          </w14:textFill>
        </w:rPr>
        <w:t>退出协议</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约定</w:t>
      </w:r>
      <w:r>
        <w:rPr>
          <w:rFonts w:hint="eastAsia" w:ascii="仿宋_GB2312" w:hAnsi="仿宋_GB2312" w:eastAsia="仿宋_GB2312" w:cs="仿宋_GB2312"/>
          <w:color w:val="000000" w:themeColor="text1"/>
          <w:sz w:val="32"/>
          <w:szCs w:val="32"/>
          <w:u w:val="none" w:color="auto"/>
          <w14:textFill>
            <w14:solidFill>
              <w14:schemeClr w14:val="tx1"/>
            </w14:solidFill>
          </w14:textFill>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宋体" w:hAnsi="宋体" w:eastAsia="仿宋_GB2312" w:cs="宋体"/>
          <w:color w:val="000000" w:themeColor="text1"/>
          <w14:textFill>
            <w14:solidFill>
              <w14:schemeClr w14:val="tx1"/>
            </w14:solidFill>
          </w14:textFill>
        </w:rPr>
      </w:pPr>
      <w:r>
        <w:rPr>
          <w:rFonts w:hint="eastAsia" w:ascii="宋体" w:hAnsi="宋体" w:eastAsia="仿宋_GB2312" w:cs="宋体"/>
          <w:color w:val="000000" w:themeColor="text1"/>
          <w14:textFill>
            <w14:solidFill>
              <w14:schemeClr w14:val="tx1"/>
            </w14:solidFill>
          </w14:textFill>
        </w:rPr>
        <w:t>上述事实有以下证据证实：</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第</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u w:val="none" w:color="auto"/>
          <w14:textFill>
            <w14:solidFill>
              <w14:schemeClr w14:val="tx1"/>
            </w14:solidFill>
          </w14:textFill>
        </w:rPr>
        <w:t>组证据：余杭恒力等</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u w:val="none" w:color="auto"/>
          <w14:textFill>
            <w14:solidFill>
              <w14:schemeClr w14:val="tx1"/>
            </w14:solidFill>
          </w14:textFill>
        </w:rPr>
        <w:t>家混凝土生产企业的营业执照，证明相关混凝土生产企业主体资格及横向竞争关系；</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第</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二组</w:t>
      </w:r>
      <w:r>
        <w:rPr>
          <w:rFonts w:hint="eastAsia" w:ascii="仿宋_GB2312" w:hAnsi="仿宋_GB2312" w:eastAsia="仿宋_GB2312" w:cs="仿宋_GB2312"/>
          <w:color w:val="000000" w:themeColor="text1"/>
          <w:sz w:val="32"/>
          <w:szCs w:val="32"/>
          <w:u w:val="none" w:color="auto"/>
          <w14:textFill>
            <w14:solidFill>
              <w14:schemeClr w14:val="tx1"/>
            </w14:solidFill>
          </w14:textFill>
        </w:rPr>
        <w:t>证据：2015年7月11日千岛湖会议纪要、当事企业现场检查笔录、询问笔录等，证明当事人与其他具有竞争关系的混凝土企业</w:t>
      </w:r>
      <w:r>
        <w:rPr>
          <w:rFonts w:ascii="仿宋_GB2312" w:hAnsi="仿宋_GB2312" w:eastAsia="仿宋_GB2312" w:cs="仿宋_GB2312"/>
          <w:color w:val="000000" w:themeColor="text1"/>
          <w:sz w:val="32"/>
          <w:szCs w:val="32"/>
          <w:u w:val="none" w:color="auto"/>
          <w14:textFill>
            <w14:solidFill>
              <w14:schemeClr w14:val="tx1"/>
            </w14:solidFill>
          </w14:textFill>
        </w:rPr>
        <w:t>协商</w:t>
      </w:r>
      <w:r>
        <w:rPr>
          <w:rFonts w:hint="eastAsia" w:ascii="仿宋_GB2312" w:hAnsi="仿宋_GB2312" w:eastAsia="仿宋_GB2312" w:cs="仿宋_GB2312"/>
          <w:color w:val="000000" w:themeColor="text1"/>
          <w:sz w:val="32"/>
          <w:szCs w:val="32"/>
          <w:u w:val="none" w:color="auto"/>
          <w14:textFill>
            <w14:solidFill>
              <w14:schemeClr w14:val="tx1"/>
            </w14:solidFill>
          </w14:textFill>
        </w:rPr>
        <w:t>分割市场、限制商品生产销售数量、固定商品</w:t>
      </w:r>
      <w:r>
        <w:rPr>
          <w:rFonts w:ascii="仿宋_GB2312" w:hAnsi="仿宋_GB2312" w:eastAsia="仿宋_GB2312" w:cs="仿宋_GB2312"/>
          <w:color w:val="000000" w:themeColor="text1"/>
          <w:sz w:val="32"/>
          <w:szCs w:val="32"/>
          <w:u w:val="none" w:color="auto"/>
          <w14:textFill>
            <w14:solidFill>
              <w14:schemeClr w14:val="tx1"/>
            </w14:solidFill>
          </w14:textFill>
        </w:rPr>
        <w:t>价格的垄断协议</w:t>
      </w:r>
      <w:r>
        <w:rPr>
          <w:rFonts w:hint="eastAsia" w:ascii="仿宋_GB2312" w:hAnsi="仿宋_GB2312" w:eastAsia="仿宋_GB2312" w:cs="仿宋_GB2312"/>
          <w:color w:val="000000" w:themeColor="text1"/>
          <w:sz w:val="32"/>
          <w:szCs w:val="32"/>
          <w:u w:val="none" w:color="auto"/>
          <w14:textFill>
            <w14:solidFill>
              <w14:schemeClr w14:val="tx1"/>
            </w14:solidFill>
          </w14:textFill>
        </w:rPr>
        <w:t>；</w:t>
      </w:r>
    </w:p>
    <w:p>
      <w:pPr>
        <w:keepNext w:val="0"/>
        <w:keepLines w:val="0"/>
        <w:pageBreakBefore w:val="0"/>
        <w:widowControl/>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第</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u w:val="none" w:color="auto"/>
          <w14:textFill>
            <w14:solidFill>
              <w14:schemeClr w14:val="tx1"/>
            </w14:solidFill>
          </w14:textFill>
        </w:rPr>
        <w:t>组证据：浙江贝利建设集团有限公司等五家混凝土使用企业调查笔录及相关商品混凝土销售协议等，证明2015年至2017年期间相关地区混凝土市场竞争充分，价格及供应稳定，没有出现限制排除竞争的情况。</w:t>
      </w:r>
    </w:p>
    <w:p>
      <w:pPr>
        <w:keepNext w:val="0"/>
        <w:keepLines w:val="0"/>
        <w:pageBreakBefore w:val="0"/>
        <w:widowControl/>
        <w:kinsoku/>
        <w:wordWrap/>
        <w:overflowPunct/>
        <w:topLinePunct w:val="0"/>
        <w:autoSpaceDE/>
        <w:autoSpaceDN/>
        <w:bidi w:val="0"/>
        <w:adjustRightInd w:val="0"/>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四、行政处罚依据和决定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themeColor="text1"/>
          <w:lang w:eastAsia="zh-CN"/>
          <w14:textFill>
            <w14:solidFill>
              <w14:schemeClr w14:val="tx1"/>
            </w14:solidFill>
          </w14:textFill>
        </w:rPr>
      </w:pPr>
      <w:r>
        <w:rPr>
          <w:rFonts w:hint="eastAsia" w:ascii="仿宋_GB2312" w:eastAsia="仿宋_GB2312"/>
          <w:color w:val="000000" w:themeColor="text1"/>
          <w14:textFill>
            <w14:solidFill>
              <w14:schemeClr w14:val="tx1"/>
            </w14:solidFill>
          </w14:textFill>
        </w:rPr>
        <w:t>余杭恒力</w:t>
      </w:r>
      <w:r>
        <w:rPr>
          <w:rFonts w:hint="eastAsia" w:ascii="仿宋_GB2312" w:hAnsi="仿宋" w:eastAsia="仿宋_GB2312"/>
          <w:color w:val="000000" w:themeColor="text1"/>
          <w14:textFill>
            <w14:solidFill>
              <w14:schemeClr w14:val="tx1"/>
            </w14:solidFill>
          </w14:textFill>
        </w:rPr>
        <w:t>的</w:t>
      </w:r>
      <w:r>
        <w:rPr>
          <w:rFonts w:hint="eastAsia" w:ascii="仿宋_GB2312" w:eastAsia="仿宋_GB2312"/>
          <w:color w:val="000000" w:themeColor="text1"/>
          <w:sz w:val="32"/>
          <w:szCs w:val="32"/>
          <w:u w:val="none" w:color="auto"/>
          <w14:textFill>
            <w14:solidFill>
              <w14:schemeClr w14:val="tx1"/>
            </w14:solidFill>
          </w14:textFill>
        </w:rPr>
        <w:t>上述行为违反了《中华人民共和国反垄断法》第十三条“禁止具有竞争关系的经营者达成下列垄断协议：（一）固定或者变更商品价格；（三）分割销售市场或者原材料采购市场；”的规定，属于《反垄断法》第十三条所禁止的达成垄断协议行为。</w:t>
      </w:r>
      <w:r>
        <w:rPr>
          <w:rFonts w:hint="eastAsia" w:ascii="仿宋_GB2312" w:hAnsi="仿宋" w:eastAsia="仿宋_GB2312"/>
          <w:color w:val="000000" w:themeColor="text1"/>
          <w:lang w:eastAsia="zh-CN"/>
          <w14:textFill>
            <w14:solidFill>
              <w14:schemeClr w14:val="tx1"/>
            </w14:solidFill>
          </w14:textFill>
        </w:rPr>
        <w:t>但</w:t>
      </w:r>
      <w:r>
        <w:rPr>
          <w:rFonts w:hint="eastAsia" w:ascii="仿宋_GB2312" w:hAnsi="仿宋" w:eastAsia="仿宋_GB2312" w:cs="Times New Roman"/>
          <w:color w:val="000000" w:themeColor="text1"/>
          <w14:textFill>
            <w14:solidFill>
              <w14:schemeClr w14:val="tx1"/>
            </w14:solidFill>
          </w14:textFill>
        </w:rPr>
        <w:t>考虑到</w:t>
      </w:r>
      <w:r>
        <w:rPr>
          <w:rFonts w:hint="eastAsia" w:ascii="仿宋_GB2312" w:eastAsia="仿宋_GB2312"/>
          <w:color w:val="000000" w:themeColor="text1"/>
          <w14:textFill>
            <w14:solidFill>
              <w14:schemeClr w14:val="tx1"/>
            </w14:solidFill>
          </w14:textFill>
        </w:rPr>
        <w:t>余杭恒力在垄断协议达成</w:t>
      </w:r>
      <w:r>
        <w:rPr>
          <w:rFonts w:hint="eastAsia" w:ascii="仿宋_GB2312" w:eastAsia="仿宋_GB2312"/>
          <w:color w:val="000000" w:themeColor="text1"/>
          <w:lang w:eastAsia="zh-CN"/>
          <w14:textFill>
            <w14:solidFill>
              <w14:schemeClr w14:val="tx1"/>
            </w14:solidFill>
          </w14:textFill>
        </w:rPr>
        <w:t>后主动</w:t>
      </w:r>
      <w:r>
        <w:rPr>
          <w:rFonts w:hint="eastAsia" w:ascii="仿宋_GB2312" w:eastAsia="仿宋_GB2312"/>
          <w:color w:val="000000" w:themeColor="text1"/>
          <w14:textFill>
            <w14:solidFill>
              <w14:schemeClr w14:val="tx1"/>
            </w14:solidFill>
          </w14:textFill>
        </w:rPr>
        <w:t>退出</w:t>
      </w:r>
      <w:r>
        <w:rPr>
          <w:rFonts w:hint="eastAsia" w:ascii="仿宋_GB2312" w:eastAsia="仿宋_GB2312"/>
          <w:color w:val="000000" w:themeColor="text1"/>
          <w:lang w:eastAsia="zh-CN"/>
          <w14:textFill>
            <w14:solidFill>
              <w14:schemeClr w14:val="tx1"/>
            </w14:solidFill>
          </w14:textFill>
        </w:rPr>
        <w:t>，</w:t>
      </w:r>
      <w:r>
        <w:rPr>
          <w:rFonts w:hint="eastAsia" w:ascii="仿宋_GB2312" w:eastAsia="仿宋_GB2312"/>
          <w:color w:val="000000" w:themeColor="text1"/>
          <w14:textFill>
            <w14:solidFill>
              <w14:schemeClr w14:val="tx1"/>
            </w14:solidFill>
          </w14:textFill>
        </w:rPr>
        <w:t>并</w:t>
      </w:r>
      <w:r>
        <w:rPr>
          <w:rFonts w:hint="eastAsia" w:ascii="仿宋_GB2312" w:eastAsia="仿宋_GB2312"/>
          <w:color w:val="000000" w:themeColor="text1"/>
          <w:lang w:eastAsia="zh-CN"/>
          <w14:textFill>
            <w14:solidFill>
              <w14:schemeClr w14:val="tx1"/>
            </w14:solidFill>
          </w14:textFill>
        </w:rPr>
        <w:t>且</w:t>
      </w:r>
      <w:r>
        <w:rPr>
          <w:rFonts w:hint="eastAsia" w:ascii="仿宋_GB2312" w:hAnsi="仿宋" w:eastAsia="仿宋_GB2312" w:cs="Times New Roman"/>
          <w:color w:val="000000" w:themeColor="text1"/>
          <w14:textFill>
            <w14:solidFill>
              <w14:schemeClr w14:val="tx1"/>
            </w14:solidFill>
          </w14:textFill>
        </w:rPr>
        <w:t>在调查过程中能够积极配合，如实陈述相关</w:t>
      </w:r>
      <w:r>
        <w:rPr>
          <w:rFonts w:hint="eastAsia" w:ascii="仿宋_GB2312" w:hAnsi="仿宋" w:eastAsia="仿宋_GB2312" w:cs="Times New Roman"/>
          <w:color w:val="000000" w:themeColor="text1"/>
          <w:lang w:eastAsia="zh-CN"/>
          <w14:textFill>
            <w14:solidFill>
              <w14:schemeClr w14:val="tx1"/>
            </w14:solidFill>
          </w14:textFill>
        </w:rPr>
        <w:t>情况的</w:t>
      </w:r>
      <w:r>
        <w:rPr>
          <w:rFonts w:hint="eastAsia" w:ascii="仿宋_GB2312" w:hAnsi="仿宋" w:eastAsia="仿宋_GB2312" w:cs="Times New Roman"/>
          <w:color w:val="000000" w:themeColor="text1"/>
          <w14:textFill>
            <w14:solidFill>
              <w14:schemeClr w14:val="tx1"/>
            </w14:solidFill>
          </w14:textFill>
        </w:rPr>
        <w:t>事实，</w:t>
      </w:r>
      <w:r>
        <w:rPr>
          <w:rFonts w:hint="eastAsia" w:ascii="仿宋_GB2312" w:hAnsi="仿宋" w:eastAsia="仿宋_GB2312" w:cs="Times New Roman"/>
          <w:color w:val="000000" w:themeColor="text1"/>
          <w:lang w:eastAsia="zh-CN"/>
          <w14:textFill>
            <w14:solidFill>
              <w14:schemeClr w14:val="tx1"/>
            </w14:solidFill>
          </w14:textFill>
        </w:rPr>
        <w:t>依法从轻处理。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Times New Roman"/>
          <w:color w:val="000000" w:themeColor="text1"/>
          <w14:textFill>
            <w14:solidFill>
              <w14:schemeClr w14:val="tx1"/>
            </w14:solidFill>
          </w14:textFill>
        </w:rPr>
      </w:pPr>
      <w:r>
        <w:rPr>
          <w:rFonts w:hint="eastAsia" w:ascii="仿宋_GB2312" w:hAnsi="仿宋" w:eastAsia="仿宋_GB2312" w:cs="Times New Roman"/>
          <w:color w:val="000000" w:themeColor="text1"/>
          <w:lang w:eastAsia="zh-CN"/>
          <w14:textFill>
            <w14:solidFill>
              <w14:schemeClr w14:val="tx1"/>
            </w14:solidFill>
          </w14:textFill>
        </w:rPr>
        <w:t>根据</w:t>
      </w:r>
      <w:r>
        <w:rPr>
          <w:rFonts w:hint="eastAsia" w:ascii="仿宋_GB2312" w:hAnsi="仿宋" w:eastAsia="仿宋_GB2312" w:cs="Times New Roman"/>
          <w:color w:val="000000" w:themeColor="text1"/>
          <w14:textFill>
            <w14:solidFill>
              <w14:schemeClr w14:val="tx1"/>
            </w14:solidFill>
          </w14:textFill>
        </w:rPr>
        <w:t>《中华人民共和国反垄断法》第四十六条第一款的规定，</w:t>
      </w:r>
      <w:r>
        <w:rPr>
          <w:rFonts w:hint="eastAsia" w:ascii="仿宋_GB2312" w:eastAsia="仿宋_GB2312"/>
          <w:color w:val="000000" w:themeColor="text1"/>
          <w:sz w:val="32"/>
          <w:szCs w:val="32"/>
          <w14:textFill>
            <w14:solidFill>
              <w14:schemeClr w14:val="tx1"/>
            </w14:solidFill>
          </w14:textFill>
        </w:rPr>
        <w:t>对</w:t>
      </w:r>
      <w:r>
        <w:rPr>
          <w:rFonts w:hint="eastAsia" w:ascii="仿宋_GB2312" w:eastAsia="仿宋_GB2312"/>
          <w:color w:val="000000" w:themeColor="text1"/>
          <w14:textFill>
            <w14:solidFill>
              <w14:schemeClr w14:val="tx1"/>
            </w14:solidFill>
          </w14:textFill>
        </w:rPr>
        <w:t>余杭恒力</w:t>
      </w:r>
      <w:r>
        <w:rPr>
          <w:rFonts w:hint="eastAsia" w:ascii="仿宋_GB2312" w:eastAsia="仿宋_GB2312"/>
          <w:color w:val="000000" w:themeColor="text1"/>
          <w:lang w:eastAsia="zh-CN"/>
          <w14:textFill>
            <w14:solidFill>
              <w14:schemeClr w14:val="tx1"/>
            </w14:solidFill>
          </w14:textFill>
        </w:rPr>
        <w:t>作</w:t>
      </w:r>
      <w:r>
        <w:rPr>
          <w:rFonts w:hint="eastAsia" w:ascii="仿宋_GB2312" w:eastAsia="仿宋_GB2312"/>
          <w:color w:val="000000" w:themeColor="text1"/>
          <w:sz w:val="32"/>
          <w:szCs w:val="32"/>
          <w14:textFill>
            <w14:solidFill>
              <w14:schemeClr w14:val="tx1"/>
            </w14:solidFill>
          </w14:textFill>
        </w:rPr>
        <w:t>出如下行政处罚</w:t>
      </w:r>
      <w:r>
        <w:rPr>
          <w:rFonts w:hint="eastAsia" w:ascii="仿宋_GB2312" w:hAnsi="仿宋" w:eastAsia="仿宋_GB2312" w:cs="Times New Roman"/>
          <w:color w:val="000000" w:themeColor="text1"/>
          <w:lang w:val="en-US" w:eastAsia="zh-CN"/>
          <w14:textFill>
            <w14:solidFill>
              <w14:schemeClr w14:val="tx1"/>
            </w14:solidFill>
          </w14:textFill>
        </w:rPr>
        <w:t>:1、责令停止违法行为；2、</w:t>
      </w:r>
      <w:r>
        <w:rPr>
          <w:rFonts w:hint="eastAsia" w:ascii="仿宋_GB2312" w:hAnsi="仿宋" w:eastAsia="仿宋_GB2312" w:cs="Times New Roman"/>
          <w:color w:val="000000" w:themeColor="text1"/>
          <w14:textFill>
            <w14:solidFill>
              <w14:schemeClr w14:val="tx1"/>
            </w14:solidFill>
          </w14:textFill>
        </w:rPr>
        <w:t>处罚款</w:t>
      </w:r>
      <w:r>
        <w:rPr>
          <w:rFonts w:hint="eastAsia" w:ascii="仿宋_GB2312" w:hAnsi="仿宋" w:eastAsia="仿宋_GB2312" w:cs="Times New Roman"/>
          <w:color w:val="000000" w:themeColor="text1"/>
          <w:lang w:eastAsia="zh-CN"/>
          <w14:textFill>
            <w14:solidFill>
              <w14:schemeClr w14:val="tx1"/>
            </w14:solidFill>
          </w14:textFill>
        </w:rPr>
        <w:t>人民币</w:t>
      </w:r>
      <w:r>
        <w:rPr>
          <w:rFonts w:hint="eastAsia" w:ascii="仿宋_GB2312" w:hAnsi="仿宋" w:eastAsia="仿宋_GB2312" w:cs="Times New Roman"/>
          <w:color w:val="000000" w:themeColor="text1"/>
          <w14:textFill>
            <w14:solidFill>
              <w14:schemeClr w14:val="tx1"/>
            </w14:solidFill>
          </w14:textFill>
        </w:rPr>
        <w:t>十万元。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如不服本处罚规定，可在收到本处罚决定书之日起</w:t>
      </w:r>
      <w:bookmarkStart w:id="1" w:name="fyqx"/>
      <w:r>
        <w:rPr>
          <w:rFonts w:hint="eastAsia" w:ascii="仿宋_GB2312" w:hAnsi="仿宋" w:eastAsia="仿宋_GB2312" w:cs="Times New Roman"/>
          <w:color w:val="000000" w:themeColor="text1"/>
          <w:kern w:val="0"/>
          <w14:textFill>
            <w14:solidFill>
              <w14:schemeClr w14:val="tx1"/>
            </w14:solidFill>
          </w14:textFill>
        </w:rPr>
        <w:t>六十日</w:t>
      </w:r>
      <w:bookmarkEnd w:id="1"/>
      <w:r>
        <w:rPr>
          <w:rFonts w:hint="eastAsia" w:ascii="仿宋_GB2312" w:hAnsi="仿宋" w:eastAsia="仿宋_GB2312" w:cs="Times New Roman"/>
          <w:color w:val="000000" w:themeColor="text1"/>
          <w:kern w:val="0"/>
          <w14:textFill>
            <w14:solidFill>
              <w14:schemeClr w14:val="tx1"/>
            </w14:solidFill>
          </w14:textFill>
        </w:rPr>
        <w:t>内向</w:t>
      </w:r>
      <w:bookmarkStart w:id="2" w:name="fydw"/>
      <w:r>
        <w:rPr>
          <w:rFonts w:hint="eastAsia" w:ascii="仿宋_GB2312" w:hAnsi="仿宋" w:eastAsia="仿宋_GB2312" w:cs="Times New Roman"/>
          <w:color w:val="000000" w:themeColor="text1"/>
          <w:kern w:val="0"/>
          <w14:textFill>
            <w14:solidFill>
              <w14:schemeClr w14:val="tx1"/>
            </w14:solidFill>
          </w14:textFill>
        </w:rPr>
        <w:t>国家市场监督管理总局或浙江省人民政府</w:t>
      </w:r>
      <w:bookmarkEnd w:id="2"/>
      <w:r>
        <w:rPr>
          <w:rFonts w:hint="eastAsia" w:ascii="仿宋_GB2312" w:hAnsi="仿宋" w:eastAsia="仿宋_GB2312" w:cs="Times New Roman"/>
          <w:color w:val="000000" w:themeColor="text1"/>
          <w:kern w:val="0"/>
          <w14:textFill>
            <w14:solidFill>
              <w14:schemeClr w14:val="tx1"/>
            </w14:solidFill>
          </w14:textFill>
        </w:rPr>
        <w:t>申请复议；也可以在</w:t>
      </w:r>
      <w:bookmarkStart w:id="3" w:name="ssqx"/>
      <w:r>
        <w:rPr>
          <w:rFonts w:hint="eastAsia" w:ascii="仿宋_GB2312" w:hAnsi="仿宋" w:eastAsia="仿宋_GB2312" w:cs="Times New Roman"/>
          <w:color w:val="000000" w:themeColor="text1"/>
          <w:kern w:val="0"/>
          <w14:textFill>
            <w14:solidFill>
              <w14:schemeClr w14:val="tx1"/>
            </w14:solidFill>
          </w14:textFill>
        </w:rPr>
        <w:t>六个月</w:t>
      </w:r>
      <w:bookmarkEnd w:id="3"/>
      <w:r>
        <w:rPr>
          <w:rFonts w:hint="eastAsia" w:ascii="仿宋_GB2312" w:hAnsi="仿宋" w:eastAsia="仿宋_GB2312" w:cs="Times New Roman"/>
          <w:color w:val="000000" w:themeColor="text1"/>
          <w:kern w:val="0"/>
          <w14:textFill>
            <w14:solidFill>
              <w14:schemeClr w14:val="tx1"/>
            </w14:solidFill>
          </w14:textFill>
        </w:rPr>
        <w:t>内直接向</w:t>
      </w:r>
      <w:bookmarkStart w:id="4" w:name="ssdw"/>
      <w:r>
        <w:rPr>
          <w:rFonts w:hint="eastAsia" w:ascii="仿宋_GB2312" w:hAnsi="仿宋" w:eastAsia="仿宋_GB2312" w:cs="Times New Roman"/>
          <w:color w:val="000000" w:themeColor="text1"/>
          <w:kern w:val="0"/>
          <w:lang w:eastAsia="zh-CN"/>
          <w14:textFill>
            <w14:solidFill>
              <w14:schemeClr w14:val="tx1"/>
            </w14:solidFill>
          </w14:textFill>
        </w:rPr>
        <w:t>杭州市</w:t>
      </w:r>
      <w:r>
        <w:rPr>
          <w:rFonts w:hint="eastAsia" w:ascii="仿宋_GB2312" w:hAnsi="仿宋" w:eastAsia="仿宋_GB2312" w:cs="Times New Roman"/>
          <w:color w:val="000000" w:themeColor="text1"/>
          <w:kern w:val="0"/>
          <w14:textFill>
            <w14:solidFill>
              <w14:schemeClr w14:val="tx1"/>
            </w14:solidFill>
          </w14:textFill>
        </w:rPr>
        <w:t>西湖区人民法院</w:t>
      </w:r>
      <w:bookmarkEnd w:id="4"/>
      <w:r>
        <w:rPr>
          <w:rFonts w:hint="eastAsia" w:ascii="仿宋_GB2312" w:hAnsi="仿宋" w:eastAsia="仿宋_GB2312" w:cs="Times New Roman"/>
          <w:color w:val="000000" w:themeColor="text1"/>
          <w:kern w:val="0"/>
          <w14:textFill>
            <w14:solidFill>
              <w14:schemeClr w14:val="tx1"/>
            </w14:solidFill>
          </w14:textFill>
        </w:rPr>
        <w:t>起诉。当事人对行政处罚决定不服申请行政复议或者提起行政诉讼的，行政处罚不停止执行。</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根据《企业信息公示暂行条例》等有关规定，本</w:t>
      </w:r>
      <w:r>
        <w:rPr>
          <w:rFonts w:hint="eastAsia" w:ascii="仿宋_GB2312" w:hAnsi="仿宋" w:eastAsia="仿宋_GB2312" w:cs="仿宋"/>
          <w:color w:val="000000" w:themeColor="text1"/>
          <w:sz w:val="32"/>
          <w:szCs w:val="32"/>
          <w:lang w:eastAsia="zh-CN"/>
          <w14:textFill>
            <w14:solidFill>
              <w14:schemeClr w14:val="tx1"/>
            </w14:solidFill>
          </w14:textFill>
        </w:rPr>
        <w:t>机关</w:t>
      </w:r>
      <w:r>
        <w:rPr>
          <w:rFonts w:hint="eastAsia" w:ascii="仿宋_GB2312" w:hAnsi="仿宋" w:eastAsia="仿宋_GB2312" w:cs="仿宋"/>
          <w:color w:val="000000" w:themeColor="text1"/>
          <w:sz w:val="32"/>
          <w:szCs w:val="32"/>
          <w14:textFill>
            <w14:solidFill>
              <w14:schemeClr w14:val="tx1"/>
            </w14:solidFill>
          </w14:textFill>
        </w:rPr>
        <w:t>将通过企业信用信息公示系统、门户网站、专业网站等公示行政处罚信息。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Times New Roman"/>
          <w:color w:val="000000" w:themeColor="text1"/>
          <w:kern w:val="0"/>
          <w14:textFill>
            <w14:solidFill>
              <w14:schemeClr w14:val="tx1"/>
            </w14:solidFill>
          </w14:textFill>
        </w:rPr>
      </w:pPr>
    </w:p>
    <w:p>
      <w:pPr>
        <w:keepNext w:val="0"/>
        <w:keepLines w:val="0"/>
        <w:pageBreakBefore w:val="0"/>
        <w:kinsoku/>
        <w:wordWrap/>
        <w:overflowPunct/>
        <w:topLinePunct w:val="0"/>
        <w:autoSpaceDE/>
        <w:autoSpaceDN/>
        <w:bidi w:val="0"/>
        <w:snapToGrid/>
        <w:spacing w:line="580" w:lineRule="exact"/>
        <w:ind w:firstLine="4800" w:firstLineChars="1500"/>
        <w:textAlignment w:val="auto"/>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浙江省市场监督管理局</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default" w:ascii="仿宋_GB2312" w:hAnsi="仿宋" w:eastAsia="仿宋_GB2312" w:cs="Times New Roman"/>
          <w:color w:val="000000" w:themeColor="text1"/>
          <w:kern w:val="0"/>
          <w:lang w:val="en-US" w:eastAsia="zh-CN"/>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 xml:space="preserve">                          </w:t>
      </w:r>
      <w:r>
        <w:rPr>
          <w:rFonts w:hint="eastAsia" w:ascii="仿宋_GB2312" w:hAnsi="仿宋" w:eastAsia="仿宋_GB2312" w:cs="Times New Roman"/>
          <w:color w:val="000000" w:themeColor="text1"/>
          <w:kern w:val="0"/>
          <w:lang w:val="en-US" w:eastAsia="zh-CN"/>
          <w14:textFill>
            <w14:solidFill>
              <w14:schemeClr w14:val="tx1"/>
            </w14:solidFill>
          </w14:textFill>
        </w:rPr>
        <w:t xml:space="preserve">  2019年12月23日</w:t>
      </w:r>
    </w:p>
    <w:p>
      <w:pPr>
        <w:spacing w:line="540" w:lineRule="exact"/>
        <w:ind w:firstLine="640" w:firstLineChars="200"/>
        <w:rPr>
          <w:rFonts w:ascii="仿宋_GB2312" w:hAnsi="仿宋" w:eastAsia="仿宋_GB2312" w:cs="Times New Roman"/>
          <w:color w:val="000000" w:themeColor="text1"/>
          <w:kern w:val="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Uighursoft 3L Song">
    <w:altName w:val="Times New Roman"/>
    <w:panose1 w:val="00000000000000000000"/>
    <w:charset w:val="00"/>
    <w:family w:val="roman"/>
    <w:pitch w:val="default"/>
    <w:sig w:usb0="00000000" w:usb1="00000000" w:usb2="00000008" w:usb3="00000000" w:csb0="000000D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F2"/>
    <w:rsid w:val="0006221B"/>
    <w:rsid w:val="000D1742"/>
    <w:rsid w:val="00120212"/>
    <w:rsid w:val="00153F62"/>
    <w:rsid w:val="00167B0B"/>
    <w:rsid w:val="001B29AD"/>
    <w:rsid w:val="001C2CF2"/>
    <w:rsid w:val="001D09A3"/>
    <w:rsid w:val="00207DCA"/>
    <w:rsid w:val="00275F3A"/>
    <w:rsid w:val="00304C77"/>
    <w:rsid w:val="00416FAB"/>
    <w:rsid w:val="005849AC"/>
    <w:rsid w:val="005D523B"/>
    <w:rsid w:val="007036FB"/>
    <w:rsid w:val="00791B21"/>
    <w:rsid w:val="00801047"/>
    <w:rsid w:val="00854174"/>
    <w:rsid w:val="008941B5"/>
    <w:rsid w:val="008D2A63"/>
    <w:rsid w:val="00967067"/>
    <w:rsid w:val="00A4475A"/>
    <w:rsid w:val="00A53B7A"/>
    <w:rsid w:val="00A77A24"/>
    <w:rsid w:val="00B36444"/>
    <w:rsid w:val="00BE5364"/>
    <w:rsid w:val="00C42F5E"/>
    <w:rsid w:val="00C83D12"/>
    <w:rsid w:val="00CF2E18"/>
    <w:rsid w:val="00DB1484"/>
    <w:rsid w:val="00F24635"/>
    <w:rsid w:val="00F41A18"/>
    <w:rsid w:val="04C83AB8"/>
    <w:rsid w:val="0CFE2737"/>
    <w:rsid w:val="0D3064E5"/>
    <w:rsid w:val="102F42CE"/>
    <w:rsid w:val="2D4D7604"/>
    <w:rsid w:val="2E7D2573"/>
    <w:rsid w:val="301C2AF5"/>
    <w:rsid w:val="30F12700"/>
    <w:rsid w:val="44414139"/>
    <w:rsid w:val="481A18C8"/>
    <w:rsid w:val="56FA3C42"/>
    <w:rsid w:val="67EB6EED"/>
    <w:rsid w:val="76A37585"/>
    <w:rsid w:val="76EE66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Uighursoft 3L Song"/>
      <w:kern w:val="2"/>
      <w:sz w:val="32"/>
      <w:szCs w:val="32"/>
      <w:lang w:val="en-US" w:eastAsia="zh-CN" w:bidi="ar-SA"/>
    </w:rPr>
  </w:style>
  <w:style w:type="paragraph" w:styleId="2">
    <w:name w:val="heading 1"/>
    <w:basedOn w:val="3"/>
    <w:next w:val="1"/>
    <w:qFormat/>
    <w:uiPriority w:val="0"/>
    <w:pPr>
      <w:spacing w:afterLines="50" w:line="640" w:lineRule="exact"/>
      <w:outlineLvl w:val="0"/>
    </w:pPr>
    <w:rPr>
      <w:rFonts w:ascii="方正小标宋简体" w:eastAsia="方正小标宋简体"/>
      <w:sz w:val="44"/>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名称2"/>
    <w:basedOn w:val="4"/>
    <w:qFormat/>
    <w:uiPriority w:val="0"/>
    <w:pPr>
      <w:spacing w:afterLines="100"/>
    </w:pPr>
    <w:rPr>
      <w:b w:val="0"/>
      <w:sz w:val="20"/>
    </w:rPr>
  </w:style>
  <w:style w:type="paragraph" w:customStyle="1" w:styleId="4">
    <w:name w:val="名称"/>
    <w:basedOn w:val="1"/>
    <w:link w:val="12"/>
    <w:qFormat/>
    <w:uiPriority w:val="0"/>
    <w:pPr>
      <w:jc w:val="center"/>
    </w:pPr>
    <w:rPr>
      <w:b/>
      <w:kern w:val="0"/>
      <w:sz w:val="44"/>
      <w:szCs w:val="20"/>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trs_preappen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8"/>
    <w:link w:val="6"/>
    <w:semiHidden/>
    <w:qFormat/>
    <w:uiPriority w:val="99"/>
    <w:rPr>
      <w:rFonts w:ascii="Times New Roman" w:hAnsi="Times New Roman" w:eastAsia="宋体" w:cs="Uighursoft 3L Song"/>
      <w:sz w:val="18"/>
      <w:szCs w:val="18"/>
    </w:rPr>
  </w:style>
  <w:style w:type="character" w:customStyle="1" w:styleId="11">
    <w:name w:val="页脚 Char"/>
    <w:basedOn w:val="8"/>
    <w:link w:val="5"/>
    <w:semiHidden/>
    <w:qFormat/>
    <w:uiPriority w:val="99"/>
    <w:rPr>
      <w:rFonts w:ascii="Times New Roman" w:hAnsi="Times New Roman" w:eastAsia="宋体" w:cs="Uighursoft 3L Song"/>
      <w:sz w:val="18"/>
      <w:szCs w:val="18"/>
    </w:rPr>
  </w:style>
  <w:style w:type="character" w:customStyle="1" w:styleId="12">
    <w:name w:val="名称 Char"/>
    <w:link w:val="4"/>
    <w:qFormat/>
    <w:uiPriority w:val="0"/>
    <w:rPr>
      <w:b/>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4</Pages>
  <Words>296</Words>
  <Characters>1689</Characters>
  <Lines>14</Lines>
  <Paragraphs>3</Paragraphs>
  <TotalTime>0</TotalTime>
  <ScaleCrop>false</ScaleCrop>
  <LinksUpToDate>false</LinksUpToDate>
  <CharactersWithSpaces>1982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2018-09-27T00:55:00Z</dcterms:created>
  <dc:creator>fdee</dc:creator>
  <cp:lastModifiedBy>Administrator</cp:lastModifiedBy>
  <dcterms:modified xsi:type="dcterms:W3CDTF">2020-01-19T07:27:53Z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