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bookmarkStart w:id="5" w:name="_GoBack"/>
      <w:bookmarkEnd w:id="5"/>
    </w:p>
    <w:p>
      <w:pPr>
        <w:ind w:firstLine="2560" w:firstLineChars="8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w:t>
      </w:r>
      <w:r>
        <w:rPr>
          <w:rFonts w:hint="eastAsia" w:ascii="仿宋_GB2312" w:eastAsia="仿宋_GB2312"/>
          <w:color w:val="000000" w:themeColor="text1"/>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当事人：杭州西联物流有限公司；</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法定代表人姓名：龙曦；</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15988893108；</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w:t>
      </w:r>
      <w:r>
        <w:rPr>
          <w:rFonts w:hint="eastAsia" w:ascii="仿宋_GB2312" w:eastAsia="仿宋_GB2312"/>
          <w:color w:val="000000" w:themeColor="text1"/>
          <w:lang w:eastAsia="zh-CN"/>
          <w14:textFill>
            <w14:solidFill>
              <w14:schemeClr w14:val="tx1"/>
            </w14:solidFill>
          </w14:textFill>
        </w:rPr>
        <w:t>浙江省</w:t>
      </w:r>
      <w:r>
        <w:rPr>
          <w:rFonts w:hint="eastAsia" w:ascii="仿宋_GB2312" w:eastAsia="仿宋_GB2312"/>
          <w:color w:val="000000" w:themeColor="text1"/>
          <w14:textFill>
            <w14:solidFill>
              <w14:schemeClr w14:val="tx1"/>
            </w14:solidFill>
          </w14:textFill>
        </w:rPr>
        <w:t>杭州</w:t>
      </w:r>
      <w:r>
        <w:rPr>
          <w:rFonts w:hint="eastAsia" w:ascii="仿宋_GB2312" w:eastAsia="仿宋_GB2312"/>
          <w:color w:val="000000" w:themeColor="text1"/>
          <w:lang w:eastAsia="zh-CN"/>
          <w14:textFill>
            <w14:solidFill>
              <w14:schemeClr w14:val="tx1"/>
            </w14:solidFill>
          </w14:textFill>
        </w:rPr>
        <w:t>市</w:t>
      </w:r>
      <w:r>
        <w:rPr>
          <w:rFonts w:hint="eastAsia" w:ascii="仿宋_GB2312" w:eastAsia="仿宋_GB2312"/>
          <w:color w:val="000000" w:themeColor="text1"/>
          <w14:textFill>
            <w14:solidFill>
              <w14:schemeClr w14:val="tx1"/>
            </w14:solidFill>
          </w14:textFill>
        </w:rPr>
        <w:t>余杭区崇贤街道运河路5-1号；公司形式：有限责任公司(自然人投资或控股)；</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成立时间：2006年8月3日；</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经营范围：货运:普通货运、货物专用运输(罐式);商品混凝土生产;(上述经营范围中涉及前置审批项目的,在批准的有效期内方可经营) 机械设备租赁;物流信息咨询服务;销售:建筑材料、五金交电、日用百货、日用杂品、机械设备、商品混凝土;货物装卸服务；</w:t>
      </w:r>
    </w:p>
    <w:p>
      <w:pPr>
        <w:keepNext w:val="0"/>
        <w:keepLines w:val="0"/>
        <w:pageBreakBefore w:val="0"/>
        <w:kinsoku/>
        <w:wordWrap/>
        <w:overflowPunct/>
        <w:topLinePunct w:val="0"/>
        <w:autoSpaceDE/>
        <w:autoSpaceDN/>
        <w:bidi w:val="0"/>
        <w:snapToGrid/>
        <w:spacing w:line="580" w:lineRule="exact"/>
        <w:ind w:firstLine="64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91330110790920572B</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根据原国家工商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hAnsi="仿宋" w:eastAsia="仿宋_GB2312"/>
          <w:color w:val="000000" w:themeColor="text1"/>
          <w14:textFill>
            <w14:solidFill>
              <w14:schemeClr w14:val="tx1"/>
            </w14:solidFill>
          </w14:textFill>
        </w:rPr>
        <w:t>杭州西联物流有限公司(下简称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杭州西联</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w:t>
      </w:r>
      <w:r>
        <w:rPr>
          <w:rFonts w:hint="eastAsia" w:ascii="仿宋_GB2312" w:hAnsi="仿宋" w:eastAsia="仿宋_GB2312"/>
          <w:color w:val="000000" w:themeColor="text1"/>
          <w14:textFill>
            <w14:solidFill>
              <w14:schemeClr w14:val="tx1"/>
            </w14:solidFill>
          </w14:textFill>
        </w:rPr>
        <w:t>杭州西联</w:t>
      </w:r>
      <w:r>
        <w:rPr>
          <w:rFonts w:hint="eastAsia" w:ascii="仿宋_GB2312" w:hAnsi="仿宋" w:eastAsia="仿宋_GB2312"/>
          <w:color w:val="000000" w:themeColor="text1"/>
          <w14:textFill>
            <w14:solidFill>
              <w14:schemeClr w14:val="tx1"/>
            </w14:solidFill>
          </w14:textFill>
        </w:rPr>
        <w:t>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w:t>
      </w:r>
      <w:r>
        <w:rPr>
          <w:rFonts w:hint="eastAsia" w:ascii="仿宋_GB2312" w:hAnsi="仿宋" w:eastAsia="仿宋_GB2312"/>
          <w:color w:val="000000" w:themeColor="text1"/>
          <w14:textFill>
            <w14:solidFill>
              <w14:schemeClr w14:val="tx1"/>
            </w14:solidFill>
          </w14:textFill>
        </w:rPr>
        <w:t>杭州西联</w:t>
      </w:r>
      <w:r>
        <w:rPr>
          <w:rFonts w:hint="eastAsia" w:ascii="仿宋_GB2312" w:hAnsi="仿宋" w:eastAsia="仿宋_GB2312"/>
          <w:color w:val="000000" w:themeColor="text1"/>
          <w14:textFill>
            <w14:solidFill>
              <w14:schemeClr w14:val="tx1"/>
            </w14:solidFill>
          </w14:textFill>
        </w:rPr>
        <w:t>在法定期限内没有向本机关提出陈述、申辩意见，也没有要求举行听证。</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napToGrid/>
        <w:spacing w:line="58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eastAsia="仿宋_GB2312"/>
          <w:color w:val="000000" w:themeColor="text1"/>
          <w:sz w:val="32"/>
          <w:szCs w:val="32"/>
          <w:u w:val="none" w:color="auto"/>
          <w14:textFill>
            <w14:solidFill>
              <w14:schemeClr w14:val="tx1"/>
            </w14:solidFill>
          </w14:textFill>
        </w:rPr>
        <w:t>自2015年7月以来,</w:t>
      </w:r>
      <w:r>
        <w:rPr>
          <w:rFonts w:hint="eastAsia" w:ascii="仿宋_GB2312" w:hAnsi="仿宋" w:eastAsia="仿宋_GB2312"/>
          <w:color w:val="000000" w:themeColor="text1"/>
          <w14:textFill>
            <w14:solidFill>
              <w14:schemeClr w14:val="tx1"/>
            </w14:solidFill>
          </w14:textFill>
        </w:rPr>
        <w:t>杭州西联</w:t>
      </w:r>
      <w:r>
        <w:rPr>
          <w:rFonts w:hint="eastAsia" w:ascii="仿宋_GB2312" w:eastAsia="仿宋_GB2312"/>
          <w:color w:val="000000" w:themeColor="text1"/>
          <w:sz w:val="32"/>
          <w:szCs w:val="32"/>
          <w:u w:val="none" w:color="auto"/>
          <w14:textFill>
            <w14:solidFill>
              <w14:schemeClr w14:val="tx1"/>
            </w14:solidFill>
          </w14:textFill>
        </w:rPr>
        <w:t>与海宁市中胜建材有限公司、杭州鼎源建材有限公司、杭州五友建材有限公司、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、杭州瑞鑫混凝土有限公司、杭州瑞鼎建材有限公司、杭州余杭恒力混凝土有限公司、杭州建工建材有限公司、杭州华江建材有限公司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具有横向竞争关系的混凝土生产企业多次在塘栖、衢州、千岛湖、临平等地召开所谓“片区”全体会议、例会。在相关会议中自行划定经营边界，要求成员企业报送所有混凝土供应合同、并成立第三方公司杭州聚同企业事务代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（以下简称“杭州聚同”）</w:t>
      </w:r>
      <w:r>
        <w:rPr>
          <w:rFonts w:hint="eastAsia" w:ascii="仿宋_GB2312" w:eastAsia="仿宋_GB2312"/>
          <w:color w:val="000000" w:themeColor="text1"/>
          <w:sz w:val="32"/>
          <w:szCs w:val="32"/>
          <w:u w:val="none" w:color="auto"/>
          <w14:textFill>
            <w14:solidFill>
              <w14:schemeClr w14:val="tx1"/>
            </w14:solidFill>
          </w14:textFill>
        </w:rPr>
        <w:t>，意图由第三方公司</w:t>
      </w:r>
      <w:r>
        <w:rPr>
          <w:rFonts w:hint="eastAsia" w:ascii="仿宋_GB2312" w:eastAsia="仿宋_GB2312"/>
          <w:color w:val="000000" w:themeColor="text1"/>
          <w:sz w:val="32"/>
          <w:szCs w:val="32"/>
          <w:u w:val="none" w:color="auto"/>
          <w:lang w:eastAsia="zh-CN"/>
          <w14:textFill>
            <w14:solidFill>
              <w14:schemeClr w14:val="tx1"/>
            </w14:solidFill>
          </w14:textFill>
        </w:rPr>
        <w:t>杭州</w:t>
      </w:r>
      <w:r>
        <w:rPr>
          <w:rFonts w:hint="eastAsia" w:ascii="仿宋_GB2312" w:eastAsia="仿宋_GB2312"/>
          <w:color w:val="000000" w:themeColor="text1"/>
          <w:sz w:val="32"/>
          <w:szCs w:val="32"/>
          <w:u w:val="none" w:color="auto"/>
          <w14:textFill>
            <w14:solidFill>
              <w14:schemeClr w14:val="tx1"/>
            </w14:solidFill>
          </w14:textFill>
        </w:rPr>
        <w:t>聚同统一承接混凝土供应业务后“推荐”至各企业，并由相关企业上缴利润作为共享金，在年底按各企业基数比例分配，同时要求各公司每家交纳50万诚信金用于违约扣罚，</w:t>
      </w: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val="en-US" w:eastAsia="zh-CN"/>
          <w14:textFill>
            <w14:solidFill>
              <w14:schemeClr w14:val="tx1"/>
            </w14:solidFill>
          </w14:textFill>
        </w:rPr>
        <w:t>退出及部分企业在缴纳保证金问题上出现矛盾，垄断协议未能实施。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baseline"/>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杭州西联</w:t>
      </w:r>
      <w:r>
        <w:rPr>
          <w:rFonts w:hint="eastAsia" w:ascii="仿宋_GB2312" w:eastAsia="仿宋_GB2312"/>
          <w:color w:val="000000" w:themeColor="text1"/>
          <w:sz w:val="32"/>
          <w:szCs w:val="32"/>
          <w:u w:val="none" w:color="auto"/>
          <w14:textFill>
            <w14:solidFill>
              <w14:schemeClr w14:val="tx1"/>
            </w14:solidFill>
          </w14:textFill>
        </w:rPr>
        <w:t>与海宁市中胜建材有限公司、杭州鼎源建材有限公司、杭州五友建材有限公司、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湖州三中混凝土有限公司、杭州建工建材有限公司、杭州华江建材有限公司等11家具有横向竞争关系的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u w:val="none" w:color="auto"/>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达成的垄断协议仍然</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baseline"/>
        <w:rPr>
          <w:rFonts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上述事实有以下证据证实：</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hAnsi="Tahoma" w:eastAsia="仿宋_GB2312"/>
          <w:color w:val="000000" w:themeColor="text1"/>
          <w:sz w:val="32"/>
          <w:szCs w:val="32"/>
          <w:u w:val="none" w:color="auto"/>
          <w14:textFill>
            <w14:solidFill>
              <w14:schemeClr w14:val="tx1"/>
            </w14:solidFill>
          </w14:textFill>
        </w:rPr>
        <w:t>杭州西联</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第三组证据：2015年7月11日千岛湖会议纪要、衢州会议纪要、片区协会2016-9-24号会议纪要、2015年10月10日会议纪要、2015年12月3日会议纪要、2015年12月24日聚同公司工作人员会议笔记、企业年生产基数计划表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hAnsi="Tahoma" w:eastAsia="仿宋_GB2312"/>
          <w:color w:val="000000" w:themeColor="text1"/>
          <w:sz w:val="32"/>
          <w:szCs w:val="32"/>
          <w:u w:val="none" w:color="auto"/>
          <w14:textFill>
            <w14:solidFill>
              <w14:schemeClr w14:val="tx1"/>
            </w14:solidFill>
          </w14:textFill>
        </w:rPr>
        <w:t>杭州西联</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法定代表人委托人的询问笔录，以及</w:t>
      </w:r>
      <w:r>
        <w:rPr>
          <w:rFonts w:hint="eastAsia" w:ascii="仿宋_GB2312" w:eastAsia="仿宋_GB2312"/>
          <w:color w:val="000000" w:themeColor="text1"/>
          <w:sz w:val="32"/>
          <w:szCs w:val="32"/>
          <w14:textFill>
            <w14:solidFill>
              <w14:schemeClr w14:val="tx1"/>
            </w14:solidFill>
          </w14:textFill>
        </w:rPr>
        <w:t>杭州</w:t>
      </w:r>
      <w:r>
        <w:rPr>
          <w:rFonts w:hint="eastAsia" w:ascii="仿宋_GB2312" w:eastAsia="仿宋_GB2312"/>
          <w:color w:val="000000" w:themeColor="text1"/>
          <w:sz w:val="32"/>
          <w:szCs w:val="32"/>
          <w:lang w:eastAsia="zh-CN"/>
          <w14:textFill>
            <w14:solidFill>
              <w14:schemeClr w14:val="tx1"/>
            </w14:solidFill>
          </w14:textFill>
        </w:rPr>
        <w:t>聚同法定代表人的询问笔录，证明</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退出协议约定以及协议各方因</w:t>
      </w:r>
      <w:r>
        <w:rPr>
          <w:rFonts w:hint="eastAsia" w:ascii="仿宋_GB2312" w:eastAsia="仿宋_GB2312"/>
          <w:color w:val="000000" w:themeColor="text1"/>
          <w:sz w:val="32"/>
          <w:szCs w:val="32"/>
          <w:lang w:val="en-US" w:eastAsia="zh-CN"/>
          <w14:textFill>
            <w14:solidFill>
              <w14:schemeClr w14:val="tx1"/>
            </w14:solidFill>
          </w14:textFill>
        </w:rPr>
        <w:t>在缴纳保证金问题上出现矛盾，造成2015年达成协议未实施的情况；</w:t>
      </w:r>
      <w:r>
        <w:rPr>
          <w:rFonts w:hint="eastAsia" w:ascii="仿宋_GB2312" w:hAnsi="仿宋" w:eastAsia="仿宋_GB2312"/>
          <w:color w:val="000000" w:themeColor="text1"/>
          <w14:textFill>
            <w14:solidFill>
              <w14:schemeClr w14:val="tx1"/>
            </w14:solidFill>
          </w14:textFill>
        </w:rPr>
        <w:t>杭州西联</w:t>
      </w:r>
      <w:r>
        <w:rPr>
          <w:rFonts w:hint="eastAsia" w:ascii="仿宋_GB2312" w:eastAsia="仿宋_GB2312"/>
          <w:color w:val="000000" w:themeColor="text1"/>
          <w:sz w:val="32"/>
          <w:szCs w:val="32"/>
          <w:u w:val="none" w:color="auto"/>
          <w14:textFill>
            <w14:solidFill>
              <w14:schemeClr w14:val="tx1"/>
            </w14:solidFill>
          </w14:textFill>
        </w:rPr>
        <w:t>与海宁市中胜建材有限公司、杭州鼎源建材有限公司、杭州五友建材有限公司、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、杭州瑞鑫混凝土有限公司、杭州瑞鼎建材有限公司、浙江瑞鑫建材有限公司、湖州三中混凝土有限公司、杭州建工建材有限公司、杭州华江建材有限公司等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组证据：余杭区人民法院民事裁定书，证明杭州亿方混凝土有限公司已</w:t>
      </w:r>
      <w:r>
        <w:rPr>
          <w:rFonts w:hint="eastAsia" w:ascii="仿宋_GB2312" w:eastAsia="仿宋_GB2312"/>
          <w:color w:val="000000" w:themeColor="text1"/>
          <w:sz w:val="32"/>
          <w:szCs w:val="32"/>
          <w:lang w:eastAsia="zh-CN"/>
          <w14:textFill>
            <w14:solidFill>
              <w14:schemeClr w14:val="tx1"/>
            </w14:solidFill>
          </w14:textFill>
        </w:rPr>
        <w:t>进入</w:t>
      </w:r>
      <w:r>
        <w:rPr>
          <w:rFonts w:hint="eastAsia" w:ascii="仿宋_GB2312" w:eastAsia="仿宋_GB2312"/>
          <w:color w:val="000000" w:themeColor="text1"/>
          <w:sz w:val="32"/>
          <w:szCs w:val="32"/>
          <w14:textFill>
            <w14:solidFill>
              <w14:schemeClr w14:val="tx1"/>
            </w14:solidFill>
          </w14:textFill>
        </w:rPr>
        <w:t>破产清算</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14:textFill>
            <w14:solidFill>
              <w14:schemeClr w14:val="tx1"/>
            </w14:solidFill>
          </w14:textFill>
        </w:rPr>
        <w:t>杭州西联</w:t>
      </w:r>
      <w:r>
        <w:rPr>
          <w:rFonts w:hint="eastAsia" w:ascii="仿宋_GB2312" w:eastAsia="仿宋_GB2312"/>
          <w:color w:val="000000" w:themeColor="text1"/>
          <w:sz w:val="32"/>
          <w:szCs w:val="32"/>
          <w14:textFill>
            <w14:solidFill>
              <w14:schemeClr w14:val="tx1"/>
            </w14:solidFill>
          </w14:textFill>
        </w:rPr>
        <w:t>的上述行为违反了《中华人民共和国反垄断法》第十三条“禁止具有竞争关系的经营者达成下列垄断协议：（一）固定或者变更商品价格；（二）限制商品的生产数量或者销售数量；（三）分割销售市场或者原材料采购市场；”的规定，属于《反垄断法》第十三条所禁止的达成垄断协议行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根据《中华人民共和国反垄断法》第四十六条第一款之规定，对</w:t>
      </w:r>
      <w:r>
        <w:rPr>
          <w:rFonts w:hint="eastAsia" w:ascii="仿宋_GB2312" w:eastAsia="仿宋_GB2312"/>
          <w:color w:val="000000" w:themeColor="text1"/>
          <w14:textFill>
            <w14:solidFill>
              <w14:schemeClr w14:val="tx1"/>
            </w14:solidFill>
          </w14:textFill>
        </w:rPr>
        <w:t>杭州西联</w:t>
      </w:r>
      <w:r>
        <w:rPr>
          <w:rFonts w:hint="eastAsia" w:ascii="仿宋_GB2312"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14:textFill>
            <w14:solidFill>
              <w14:schemeClr w14:val="tx1"/>
            </w14:solidFill>
          </w14:textFill>
        </w:rPr>
        <w:t>出如下行政处罚：1、责令停止违法行为；</w:t>
      </w:r>
      <w:r>
        <w:rPr>
          <w:rFonts w:hint="eastAsia" w:ascii="仿宋_GB2312" w:eastAsia="仿宋_GB2312"/>
          <w:color w:val="000000" w:themeColor="text1"/>
          <w:sz w:val="32"/>
          <w:szCs w:val="32"/>
          <w:u w:val="none" w:color="auto"/>
          <w14:textFill>
            <w14:solidFill>
              <w14:schemeClr w14:val="tx1"/>
            </w14:solidFill>
          </w14:textFill>
        </w:rPr>
        <w:t>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三十五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w:t>
      </w:r>
      <w:bookmarkStart w:id="1" w:name="fyqx"/>
      <w:r>
        <w:rPr>
          <w:rFonts w:hint="eastAsia" w:ascii="仿宋_GB2312" w:hAnsi="仿宋" w:eastAsia="仿宋_GB2312" w:cs="Times New Roman"/>
          <w:color w:val="000000" w:themeColor="text1"/>
          <w:kern w:val="0"/>
          <w14:textFill>
            <w14:solidFill>
              <w14:schemeClr w14:val="tx1"/>
            </w14:solidFill>
          </w14:textFill>
        </w:rPr>
        <w:t>六十日</w:t>
      </w:r>
      <w:bookmarkEnd w:id="1"/>
      <w:r>
        <w:rPr>
          <w:rFonts w:hint="eastAsia" w:ascii="仿宋_GB2312" w:hAnsi="仿宋" w:eastAsia="仿宋_GB2312" w:cs="Times New Roman"/>
          <w:color w:val="000000" w:themeColor="text1"/>
          <w:kern w:val="0"/>
          <w14:textFill>
            <w14:solidFill>
              <w14:schemeClr w14:val="tx1"/>
            </w14:solidFill>
          </w14:textFill>
        </w:rPr>
        <w:t>内向</w:t>
      </w:r>
      <w:bookmarkStart w:id="2" w:name="fydw"/>
      <w:r>
        <w:rPr>
          <w:rFonts w:hint="eastAsia" w:ascii="仿宋_GB2312" w:hAnsi="仿宋" w:eastAsia="仿宋_GB2312" w:cs="Times New Roman"/>
          <w:color w:val="000000" w:themeColor="text1"/>
          <w:kern w:val="0"/>
          <w14:textFill>
            <w14:solidFill>
              <w14:schemeClr w14:val="tx1"/>
            </w14:solidFill>
          </w14:textFill>
        </w:rPr>
        <w:t>国家市场监督管理总局或浙江省人民政府</w:t>
      </w:r>
      <w:bookmarkEnd w:id="2"/>
      <w:r>
        <w:rPr>
          <w:rFonts w:hint="eastAsia" w:ascii="仿宋_GB2312" w:hAnsi="仿宋" w:eastAsia="仿宋_GB2312" w:cs="Times New Roman"/>
          <w:color w:val="000000" w:themeColor="text1"/>
          <w:kern w:val="0"/>
          <w14:textFill>
            <w14:solidFill>
              <w14:schemeClr w14:val="tx1"/>
            </w14:solidFill>
          </w14:textFill>
        </w:rPr>
        <w:t>申请复议；也可以在</w:t>
      </w:r>
      <w:bookmarkStart w:id="3" w:name="ssqx"/>
      <w:r>
        <w:rPr>
          <w:rFonts w:hint="eastAsia" w:ascii="仿宋_GB2312" w:hAnsi="仿宋" w:eastAsia="仿宋_GB2312" w:cs="Times New Roman"/>
          <w:color w:val="000000" w:themeColor="text1"/>
          <w:kern w:val="0"/>
          <w14:textFill>
            <w14:solidFill>
              <w14:schemeClr w14:val="tx1"/>
            </w14:solidFill>
          </w14:textFill>
        </w:rPr>
        <w:t>六个月</w:t>
      </w:r>
      <w:bookmarkEnd w:id="3"/>
      <w:r>
        <w:rPr>
          <w:rFonts w:hint="eastAsia" w:ascii="仿宋_GB2312" w:hAnsi="仿宋" w:eastAsia="仿宋_GB2312" w:cs="Times New Roman"/>
          <w:color w:val="000000" w:themeColor="text1"/>
          <w:kern w:val="0"/>
          <w14:textFill>
            <w14:solidFill>
              <w14:schemeClr w14:val="tx1"/>
            </w14:solidFill>
          </w14:textFill>
        </w:rPr>
        <w:t>内直接向</w:t>
      </w:r>
      <w:bookmarkStart w:id="4" w:name="ssdw"/>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w:t>
      </w:r>
      <w:bookmarkEnd w:id="4"/>
      <w:r>
        <w:rPr>
          <w:rFonts w:hint="eastAsia" w:ascii="仿宋_GB2312" w:hAnsi="仿宋" w:eastAsia="仿宋_GB2312" w:cs="Times New Roman"/>
          <w:color w:val="000000" w:themeColor="text1"/>
          <w:kern w:val="0"/>
          <w14:textFill>
            <w14:solidFill>
              <w14:schemeClr w14:val="tx1"/>
            </w14:solidFill>
          </w14:textFill>
        </w:rPr>
        <w:t>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根据《企业信息公示暂行条例》等有关规定，本</w:t>
      </w:r>
      <w:r>
        <w:rPr>
          <w:rFonts w:hint="eastAsia" w:ascii="仿宋_GB2312" w:hAnsi="仿宋" w:eastAsia="仿宋_GB2312" w:cs="仿宋"/>
          <w:color w:val="000000" w:themeColor="text1"/>
          <w:sz w:val="32"/>
          <w:szCs w:val="32"/>
          <w:lang w:eastAsia="zh-CN"/>
          <w14:textFill>
            <w14:solidFill>
              <w14:schemeClr w14:val="tx1"/>
            </w14:solidFill>
          </w14:textFill>
        </w:rPr>
        <w:t>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ind w:firstLine="4800" w:firstLineChars="15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2019</w:t>
      </w:r>
      <w:r>
        <w:rPr>
          <w:rFonts w:hint="eastAsia" w:ascii="仿宋_GB2312" w:hAnsi="仿宋" w:eastAsia="仿宋_GB2312" w:cs="Times New Roman"/>
          <w:color w:val="000000" w:themeColor="text1"/>
          <w:kern w:val="0"/>
          <w14:textFill>
            <w14:solidFill>
              <w14:schemeClr w14:val="tx1"/>
            </w14:solidFill>
          </w14:textFill>
        </w:rPr>
        <w:t>年</w:t>
      </w:r>
      <w:r>
        <w:rPr>
          <w:rFonts w:hint="eastAsia" w:ascii="仿宋_GB2312" w:hAnsi="仿宋" w:eastAsia="仿宋_GB2312" w:cs="Times New Roman"/>
          <w:color w:val="000000" w:themeColor="text1"/>
          <w:kern w:val="0"/>
          <w:lang w:val="en-US" w:eastAsia="zh-CN"/>
          <w14:textFill>
            <w14:solidFill>
              <w14:schemeClr w14:val="tx1"/>
            </w14:solidFill>
          </w14:textFill>
        </w:rPr>
        <w:t>12</w:t>
      </w:r>
      <w:r>
        <w:rPr>
          <w:rFonts w:hint="eastAsia" w:ascii="仿宋_GB2312" w:hAnsi="仿宋" w:eastAsia="仿宋_GB2312" w:cs="Times New Roman"/>
          <w:color w:val="000000" w:themeColor="text1"/>
          <w:kern w:val="0"/>
          <w14:textFill>
            <w14:solidFill>
              <w14:schemeClr w14:val="tx1"/>
            </w14:solidFill>
          </w14:textFill>
        </w:rPr>
        <w:t>月</w:t>
      </w:r>
      <w:r>
        <w:rPr>
          <w:rFonts w:hint="eastAsia" w:ascii="仿宋_GB2312" w:hAnsi="仿宋" w:eastAsia="仿宋_GB2312" w:cs="Times New Roman"/>
          <w:color w:val="000000" w:themeColor="text1"/>
          <w:kern w:val="0"/>
          <w:lang w:val="en-US" w:eastAsia="zh-CN"/>
          <w14:textFill>
            <w14:solidFill>
              <w14:schemeClr w14:val="tx1"/>
            </w14:solidFill>
          </w14:textFill>
        </w:rPr>
        <w:t>23</w:t>
      </w:r>
      <w:r>
        <w:rPr>
          <w:rFonts w:hint="eastAsia" w:ascii="仿宋_GB2312" w:hAnsi="仿宋" w:eastAsia="仿宋_GB2312" w:cs="Times New Roman"/>
          <w:color w:val="000000" w:themeColor="text1"/>
          <w:kern w:val="0"/>
          <w14:textFill>
            <w14:solidFill>
              <w14:schemeClr w14:val="tx1"/>
            </w14:solidFill>
          </w14:textFill>
        </w:rPr>
        <w:t>日</w:t>
      </w:r>
    </w:p>
    <w:p>
      <w:pPr>
        <w:keepNext w:val="0"/>
        <w:keepLines w:val="0"/>
        <w:pageBreakBefore w:val="0"/>
        <w:kinsoku/>
        <w:wordWrap/>
        <w:overflowPunct/>
        <w:topLinePunct w:val="0"/>
        <w:autoSpaceDE/>
        <w:autoSpaceDN/>
        <w:bidi w:val="0"/>
        <w:snapToGrid/>
        <w:spacing w:line="580" w:lineRule="exact"/>
        <w:ind w:firstLine="640" w:firstLineChars="200"/>
        <w:rPr>
          <w:rFonts w:ascii="仿宋_GB2312" w:hAnsi="仿宋" w:eastAsia="仿宋_GB2312" w:cs="Times New Roman"/>
          <w:color w:val="000000" w:themeColor="text1"/>
          <w:kern w:val="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31C65"/>
    <w:rsid w:val="000D1742"/>
    <w:rsid w:val="00120212"/>
    <w:rsid w:val="00153F62"/>
    <w:rsid w:val="00167B0B"/>
    <w:rsid w:val="001B29AD"/>
    <w:rsid w:val="001C2CF2"/>
    <w:rsid w:val="001D09A3"/>
    <w:rsid w:val="001E01EE"/>
    <w:rsid w:val="00207DCA"/>
    <w:rsid w:val="00275F3A"/>
    <w:rsid w:val="00304C77"/>
    <w:rsid w:val="00416FAB"/>
    <w:rsid w:val="0051548D"/>
    <w:rsid w:val="005849AC"/>
    <w:rsid w:val="00585CA4"/>
    <w:rsid w:val="005D523B"/>
    <w:rsid w:val="007036FB"/>
    <w:rsid w:val="00791B21"/>
    <w:rsid w:val="00801047"/>
    <w:rsid w:val="00854174"/>
    <w:rsid w:val="008941B5"/>
    <w:rsid w:val="00967067"/>
    <w:rsid w:val="00A4475A"/>
    <w:rsid w:val="00A77A24"/>
    <w:rsid w:val="00A9730F"/>
    <w:rsid w:val="00B36444"/>
    <w:rsid w:val="00BE5364"/>
    <w:rsid w:val="00C42F5E"/>
    <w:rsid w:val="00C83D12"/>
    <w:rsid w:val="00DB1484"/>
    <w:rsid w:val="00F24635"/>
    <w:rsid w:val="00F41A18"/>
    <w:rsid w:val="0D3064E5"/>
    <w:rsid w:val="102F42CE"/>
    <w:rsid w:val="14E12AFD"/>
    <w:rsid w:val="31A9393F"/>
    <w:rsid w:val="441C4B0D"/>
    <w:rsid w:val="44414139"/>
    <w:rsid w:val="57C373B1"/>
    <w:rsid w:val="5E6828AF"/>
    <w:rsid w:val="66B44A47"/>
    <w:rsid w:val="67EB6EED"/>
    <w:rsid w:val="6CB7540C"/>
    <w:rsid w:val="7579139B"/>
    <w:rsid w:val="784E2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389</Words>
  <Characters>2218</Characters>
  <Lines>18</Lines>
  <Paragraphs>5</Paragraphs>
  <TotalTime>0</TotalTime>
  <ScaleCrop>false</ScaleCrop>
  <LinksUpToDate>false</LinksUpToDate>
  <CharactersWithSpaces>2602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2020-01-19T07:26:59Z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