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17</w:t>
      </w:r>
      <w:r>
        <w:rPr>
          <w:rFonts w:hint="eastAsia" w:ascii="仿宋_GB2312" w:eastAsia="仿宋_GB2312"/>
          <w:color w:val="000000" w:themeColor="text1"/>
          <w14:textFill>
            <w14:solidFill>
              <w14:schemeClr w14:val="tx1"/>
            </w14:solidFill>
          </w14:textFill>
        </w:rPr>
        <w:t>号</w:t>
      </w:r>
      <w:bookmarkStart w:id="1" w:name="_GoBack"/>
      <w:bookmarkEnd w:id="1"/>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当事人：杭州瑞鑫混凝土有限公司；</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法定代表人姓名：张钦；</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18857233931；</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地址：余杭区运河街道唐公村；</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公司形式：有限责任公司（非自然人投资或控股的法人独资）；</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成立时间：2006年1月4日；</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 商品混凝土生产;商品混凝土、建筑材料销售;</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91330110782379632F</w:t>
      </w:r>
      <w:r>
        <w:rPr>
          <w:rFonts w:hint="eastAsia" w:ascii="仿宋_GB2312"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根据原国家工商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杭州瑞鑫混凝土有限公司(</w:t>
      </w:r>
      <w:r>
        <w:rPr>
          <w:rFonts w:hint="eastAsia" w:ascii="仿宋_GB2312" w:hAnsi="仿宋" w:eastAsia="仿宋_GB2312"/>
          <w:color w:val="000000" w:themeColor="text1"/>
          <w:lang w:eastAsia="zh-CN"/>
          <w14:textFill>
            <w14:solidFill>
              <w14:schemeClr w14:val="tx1"/>
            </w14:solidFill>
          </w14:textFill>
        </w:rPr>
        <w:t>以</w:t>
      </w:r>
      <w:r>
        <w:rPr>
          <w:rFonts w:hint="eastAsia" w:ascii="仿宋_GB2312" w:hAnsi="仿宋" w:eastAsia="仿宋_GB2312"/>
          <w:color w:val="000000" w:themeColor="text1"/>
          <w14:textFill>
            <w14:solidFill>
              <w14:schemeClr w14:val="tx1"/>
            </w14:solidFill>
          </w14:textFill>
        </w:rPr>
        <w:t>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杭州瑞鑫</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w:t>
      </w:r>
      <w:r>
        <w:rPr>
          <w:rFonts w:hint="eastAsia" w:ascii="仿宋_GB2312" w:hAnsi="仿宋" w:eastAsia="仿宋_GB2312"/>
          <w:color w:val="000000" w:themeColor="text1"/>
          <w14:textFill>
            <w14:solidFill>
              <w14:schemeClr w14:val="tx1"/>
            </w14:solidFill>
          </w14:textFill>
        </w:rPr>
        <w:t>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w:t>
      </w:r>
      <w:r>
        <w:rPr>
          <w:rFonts w:hint="eastAsia" w:ascii="仿宋_GB2312" w:hAnsi="仿宋" w:eastAsia="仿宋_GB2312"/>
          <w:color w:val="000000" w:themeColor="text1"/>
          <w14:textFill>
            <w14:solidFill>
              <w14:schemeClr w14:val="tx1"/>
            </w14:solidFill>
          </w14:textFill>
        </w:rPr>
        <w:t>杭州瑞鑫</w:t>
      </w:r>
      <w:r>
        <w:rPr>
          <w:rFonts w:hint="eastAsia" w:ascii="仿宋_GB2312" w:hAnsi="仿宋" w:eastAsia="仿宋_GB2312"/>
          <w:color w:val="000000" w:themeColor="text1"/>
          <w14:textFill>
            <w14:solidFill>
              <w14:schemeClr w14:val="tx1"/>
            </w14:solidFill>
          </w14:textFill>
        </w:rPr>
        <w:t>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w:t>
      </w:r>
      <w:r>
        <w:rPr>
          <w:rFonts w:hint="eastAsia" w:ascii="仿宋_GB2312" w:hAnsi="仿宋" w:eastAsia="仿宋_GB2312"/>
          <w:color w:val="000000" w:themeColor="text1"/>
          <w14:textFill>
            <w14:solidFill>
              <w14:schemeClr w14:val="tx1"/>
            </w14:solidFill>
          </w14:textFill>
        </w:rPr>
        <w:t>杭州瑞鑫</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 xml:space="preserve">自2015年7月以来, </w:t>
      </w:r>
      <w:r>
        <w:rPr>
          <w:rFonts w:hint="eastAsia" w:ascii="仿宋_GB2312" w:hAnsi="仿宋" w:eastAsia="仿宋_GB2312"/>
          <w:color w:val="000000" w:themeColor="text1"/>
          <w14:textFill>
            <w14:solidFill>
              <w14:schemeClr w14:val="tx1"/>
            </w14:solidFill>
          </w14:textFill>
        </w:rPr>
        <w:t>杭州瑞鑫</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杭州三中新型建材科技有限公司、杭州瑞鼎建材有限公司、杭州余杭恒力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多次在塘栖、衢州、千岛湖、临平等地召开所谓“片区”全体会议、例会。在相关会议中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eastAsia="仿宋_GB2312"/>
          <w:color w:val="000000" w:themeColor="text1"/>
          <w:sz w:val="32"/>
          <w:szCs w:val="32"/>
          <w:u w:val="none" w:color="auto"/>
          <w14:textFill>
            <w14:solidFill>
              <w14:schemeClr w14:val="tx1"/>
            </w14:solidFill>
          </w14:textFill>
        </w:rPr>
        <w:t>，意图由第三方公司</w:t>
      </w:r>
      <w:r>
        <w:rPr>
          <w:rFonts w:hint="eastAsia" w:ascii="仿宋_GB2312" w:eastAsia="仿宋_GB2312"/>
          <w:color w:val="000000" w:themeColor="text1"/>
          <w:sz w:val="32"/>
          <w:szCs w:val="32"/>
          <w:u w:val="none" w:color="auto"/>
          <w:lang w:eastAsia="zh-CN"/>
          <w14:textFill>
            <w14:solidFill>
              <w14:schemeClr w14:val="tx1"/>
            </w14:solidFill>
          </w14:textFill>
        </w:rPr>
        <w:t>杭州</w:t>
      </w:r>
      <w:r>
        <w:rPr>
          <w:rFonts w:hint="eastAsia" w:ascii="仿宋_GB2312" w:eastAsia="仿宋_GB2312"/>
          <w:color w:val="000000" w:themeColor="text1"/>
          <w:sz w:val="32"/>
          <w:szCs w:val="32"/>
          <w:u w:val="none" w:color="auto"/>
          <w14:textFill>
            <w14:solidFill>
              <w14:schemeClr w14:val="tx1"/>
            </w14:solidFill>
          </w14:textFill>
        </w:rPr>
        <w:t>聚同以统一价格承接混凝土供应业务后“推荐”至各企业，并由相关企业上缴利润作为共享金，在年底按各企业基数比例分配，同时要求各公司每家交纳50万诚信金用于违约扣罚，</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杭州瑞鑫</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杭州三中新型建材科技有限公司、杭州瑞鼎建材有限公司、浙江瑞鑫建材有限公司、湖州三中混凝土有限公司、杭州建工建材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证明上述事实的证据有：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Tahoma" w:eastAsia="仿宋_GB2312"/>
          <w:color w:val="000000" w:themeColor="text1"/>
          <w:sz w:val="32"/>
          <w:szCs w:val="32"/>
          <w:u w:val="none" w:color="auto"/>
          <w14:textFill>
            <w14:solidFill>
              <w14:schemeClr w14:val="tx1"/>
            </w14:solidFill>
          </w14:textFill>
        </w:rPr>
        <w:t>杭州瑞鑫</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Tahoma" w:eastAsia="仿宋_GB2312"/>
          <w:color w:val="000000" w:themeColor="text1"/>
          <w:sz w:val="32"/>
          <w:szCs w:val="32"/>
          <w:u w:val="none" w:color="auto"/>
          <w14:textFill>
            <w14:solidFill>
              <w14:schemeClr w14:val="tx1"/>
            </w14:solidFill>
          </w14:textFill>
        </w:rPr>
        <w:t>杭州瑞鑫</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hAnsi="Tahoma" w:eastAsia="仿宋_GB2312"/>
          <w:color w:val="000000" w:themeColor="text1"/>
          <w:sz w:val="32"/>
          <w:szCs w:val="32"/>
          <w:u w:val="none" w:color="auto"/>
          <w14:textFill>
            <w14:solidFill>
              <w14:schemeClr w14:val="tx1"/>
            </w14:solidFill>
          </w14:textFill>
        </w:rPr>
        <w:t>杭州瑞鑫</w:t>
      </w:r>
      <w:r>
        <w:rPr>
          <w:rFonts w:hint="eastAsia" w:ascii="仿宋_GB2312" w:eastAsia="仿宋_GB2312"/>
          <w:color w:val="000000" w:themeColor="text1"/>
          <w:sz w:val="32"/>
          <w:szCs w:val="32"/>
          <w:lang w:eastAsia="zh-CN"/>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海宁市中胜建材有限公司、杭州鼎源建材有限公司、杭州五友建材有限公司、杭州三中新型建材科技有限公司、杭州瑞鼎建材有限公司、浙江瑞鑫建材有限公司、湖州三中混凝土有限公司、杭州建工建材有限公司、杭州华江建材有限公司</w:t>
      </w:r>
      <w:r>
        <w:rPr>
          <w:rFonts w:hint="eastAsia" w:ascii="仿宋_GB2312" w:eastAsia="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14:textFill>
            <w14:solidFill>
              <w14:schemeClr w14:val="tx1"/>
            </w14:solidFill>
          </w14:textFill>
        </w:rPr>
        <w:t>杭州瑞鑫</w:t>
      </w:r>
      <w:r>
        <w:rPr>
          <w:rFonts w:hint="eastAsia" w:ascii="仿宋_GB2312" w:hAnsi="仿宋" w:eastAsia="仿宋_GB2312"/>
          <w:color w:val="000000" w:themeColor="text1"/>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上述行为违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根据《中华人民共和国反垄断法》第四十六条第一款之规定，对</w:t>
      </w:r>
      <w:r>
        <w:rPr>
          <w:rFonts w:hint="eastAsia" w:ascii="仿宋_GB2312" w:eastAsia="仿宋_GB2312"/>
          <w:color w:val="000000" w:themeColor="text1"/>
          <w14:textFill>
            <w14:solidFill>
              <w14:schemeClr w14:val="tx1"/>
            </w14:solidFill>
          </w14:textFill>
        </w:rPr>
        <w:t>杭州瑞鑫</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14:textFill>
            <w14:solidFill>
              <w14:schemeClr w14:val="tx1"/>
            </w14:solidFill>
          </w14:textFill>
        </w:rPr>
        <w:t>出如下行政处罚：1、责令停止违法行为；</w:t>
      </w:r>
      <w:r>
        <w:rPr>
          <w:rFonts w:hint="eastAsia" w:ascii="仿宋_GB2312" w:eastAsia="仿宋_GB2312"/>
          <w:color w:val="000000" w:themeColor="text1"/>
          <w:sz w:val="32"/>
          <w:szCs w:val="32"/>
          <w:u w:val="none" w:color="auto"/>
          <w14:textFill>
            <w14:solidFill>
              <w14:schemeClr w14:val="tx1"/>
            </w14:solidFill>
          </w14:textFill>
        </w:rPr>
        <w:t>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，可在收到本处罚决定书之日起六十日内向国家市场监督管理总局或浙江省人民政府申请复议；也可以在六个月内直接向</w:t>
      </w:r>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w:t>
      </w:r>
      <w:r>
        <w:rPr>
          <w:rFonts w:hint="eastAsia" w:ascii="仿宋_GB2312" w:hAnsi="仿宋" w:eastAsia="仿宋_GB2312" w:cs="仿宋"/>
          <w:color w:val="000000" w:themeColor="text1"/>
          <w:sz w:val="32"/>
          <w:szCs w:val="32"/>
          <w:lang w:eastAsia="zh-CN"/>
          <w14:textFill>
            <w14:solidFill>
              <w14:schemeClr w14:val="tx1"/>
            </w14:solidFill>
          </w14:textFill>
        </w:rPr>
        <w:t>本机关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spacing w:line="360" w:lineRule="auto"/>
        <w:ind w:firstLine="4800" w:firstLineChars="15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20DF3"/>
    <w:rsid w:val="00052B71"/>
    <w:rsid w:val="000D1742"/>
    <w:rsid w:val="00120212"/>
    <w:rsid w:val="00153F62"/>
    <w:rsid w:val="00167B0B"/>
    <w:rsid w:val="001B29AD"/>
    <w:rsid w:val="001C2CF2"/>
    <w:rsid w:val="001D09A3"/>
    <w:rsid w:val="00207DCA"/>
    <w:rsid w:val="00275F3A"/>
    <w:rsid w:val="00304C77"/>
    <w:rsid w:val="00416FAB"/>
    <w:rsid w:val="005849AC"/>
    <w:rsid w:val="005B706A"/>
    <w:rsid w:val="005D523B"/>
    <w:rsid w:val="006C4EE3"/>
    <w:rsid w:val="007036FB"/>
    <w:rsid w:val="00791B21"/>
    <w:rsid w:val="00801047"/>
    <w:rsid w:val="008049CB"/>
    <w:rsid w:val="00854174"/>
    <w:rsid w:val="008941B5"/>
    <w:rsid w:val="00967067"/>
    <w:rsid w:val="00A4475A"/>
    <w:rsid w:val="00A77A24"/>
    <w:rsid w:val="00B36444"/>
    <w:rsid w:val="00BE5364"/>
    <w:rsid w:val="00C42F5E"/>
    <w:rsid w:val="00C83D12"/>
    <w:rsid w:val="00DB1484"/>
    <w:rsid w:val="00F24635"/>
    <w:rsid w:val="00F41A18"/>
    <w:rsid w:val="03DA6F2A"/>
    <w:rsid w:val="0D3064E5"/>
    <w:rsid w:val="102F42CE"/>
    <w:rsid w:val="197F20F8"/>
    <w:rsid w:val="1BF763D5"/>
    <w:rsid w:val="329B5E15"/>
    <w:rsid w:val="360F4EA1"/>
    <w:rsid w:val="362915BE"/>
    <w:rsid w:val="3ACD4AA4"/>
    <w:rsid w:val="44414139"/>
    <w:rsid w:val="4C3D0428"/>
    <w:rsid w:val="67EB6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375</Words>
  <Characters>2141</Characters>
  <Lines>17</Lines>
  <Paragraphs>5</Paragraphs>
  <TotalTime>0</TotalTime>
  <ScaleCrop>false</ScaleCrop>
  <LinksUpToDate>false</LinksUpToDate>
  <CharactersWithSpaces>2511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2020-01-19T07:25:42Z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