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DF" w:rsidRPr="00CE046C" w:rsidRDefault="00CB00DF" w:rsidP="00CE046C">
      <w:pPr>
        <w:snapToGrid w:val="0"/>
        <w:spacing w:before="100" w:beforeAutospacing="1" w:after="100" w:afterAutospacing="1" w:line="240" w:lineRule="atLeast"/>
        <w:jc w:val="left"/>
        <w:rPr>
          <w:rFonts w:ascii="仿宋" w:eastAsia="仿宋" w:hAnsi="仿宋"/>
          <w:b/>
          <w:szCs w:val="21"/>
        </w:rPr>
      </w:pPr>
    </w:p>
    <w:p w:rsidR="00CB00DF" w:rsidRPr="00CE046C" w:rsidRDefault="00CB00DF" w:rsidP="00CE046C">
      <w:pPr>
        <w:spacing w:line="24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CE046C">
        <w:rPr>
          <w:rFonts w:ascii="仿宋" w:eastAsia="仿宋" w:hAnsi="仿宋" w:hint="eastAsia"/>
          <w:b/>
          <w:sz w:val="28"/>
          <w:szCs w:val="28"/>
        </w:rPr>
        <w:t>经营者集中简易案件公示表</w:t>
      </w:r>
    </w:p>
    <w:p w:rsidR="00CB00DF" w:rsidRPr="00CE046C" w:rsidRDefault="00CB00DF" w:rsidP="00CE046C">
      <w:pPr>
        <w:spacing w:line="240" w:lineRule="atLeast"/>
        <w:ind w:firstLineChars="302" w:firstLine="634"/>
        <w:rPr>
          <w:rFonts w:ascii="仿宋" w:eastAsia="仿宋" w:hAnsi="仿宋"/>
          <w:szCs w:val="21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759"/>
        <w:gridCol w:w="4227"/>
      </w:tblGrid>
      <w:tr w:rsidR="00572356" w:rsidRPr="00CE046C" w:rsidTr="00B24144">
        <w:tc>
          <w:tcPr>
            <w:tcW w:w="1772" w:type="dxa"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案件名称</w:t>
            </w:r>
          </w:p>
        </w:tc>
        <w:tc>
          <w:tcPr>
            <w:tcW w:w="6986" w:type="dxa"/>
            <w:gridSpan w:val="2"/>
            <w:vAlign w:val="center"/>
          </w:tcPr>
          <w:p w:rsidR="00572356" w:rsidRPr="00CE046C" w:rsidRDefault="00547015" w:rsidP="00CE046C">
            <w:pPr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/>
                <w:szCs w:val="21"/>
              </w:rPr>
              <w:t>法国投资信托局与EDF Pulse Croissance Holding等经营者新设合营企业案</w:t>
            </w:r>
          </w:p>
        </w:tc>
      </w:tr>
      <w:tr w:rsidR="00572356" w:rsidRPr="00CE046C" w:rsidTr="00B24144">
        <w:trPr>
          <w:trHeight w:val="993"/>
        </w:trPr>
        <w:tc>
          <w:tcPr>
            <w:tcW w:w="1772" w:type="dxa"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交易概况</w:t>
            </w:r>
          </w:p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（限200字内）</w:t>
            </w:r>
          </w:p>
        </w:tc>
        <w:tc>
          <w:tcPr>
            <w:tcW w:w="6986" w:type="dxa"/>
            <w:gridSpan w:val="2"/>
          </w:tcPr>
          <w:p w:rsidR="00572356" w:rsidRPr="00CE046C" w:rsidRDefault="002B1B19" w:rsidP="00CE046C">
            <w:pPr>
              <w:spacing w:line="240" w:lineRule="atLeast"/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hint="eastAsia"/>
                <w:szCs w:val="21"/>
              </w:rPr>
              <w:t>法国投资信托局</w:t>
            </w:r>
            <w:r w:rsidR="00547015" w:rsidRPr="00CE046C">
              <w:rPr>
                <w:rFonts w:ascii="仿宋" w:eastAsia="仿宋" w:hAnsi="仿宋" w:hint="eastAsia"/>
                <w:szCs w:val="21"/>
              </w:rPr>
              <w:t>，</w:t>
            </w:r>
            <w:r w:rsidR="00547015" w:rsidRPr="00CE046C">
              <w:rPr>
                <w:rFonts w:ascii="仿宋" w:eastAsia="仿宋" w:hAnsi="仿宋"/>
                <w:szCs w:val="21"/>
              </w:rPr>
              <w:t>EDF Pulse Croissance Holding</w:t>
            </w:r>
            <w:r w:rsidR="00547015" w:rsidRPr="00CE046C">
              <w:rPr>
                <w:rFonts w:ascii="仿宋" w:eastAsia="仿宋" w:hAnsi="仿宋" w:hint="eastAsia"/>
                <w:szCs w:val="21"/>
              </w:rPr>
              <w:t>，</w:t>
            </w:r>
            <w:r w:rsidR="00547015" w:rsidRPr="00CE046C">
              <w:rPr>
                <w:rFonts w:ascii="仿宋" w:eastAsia="仿宋" w:hAnsi="仿宋"/>
                <w:szCs w:val="21"/>
              </w:rPr>
              <w:t>法国ENGIE集团</w:t>
            </w:r>
            <w:r w:rsidR="00547015" w:rsidRPr="00CE046C">
              <w:rPr>
                <w:rFonts w:ascii="仿宋" w:eastAsia="仿宋" w:hAnsi="仿宋" w:hint="eastAsia"/>
                <w:szCs w:val="21"/>
              </w:rPr>
              <w:t>，</w:t>
            </w:r>
            <w:r w:rsidR="00547015" w:rsidRPr="00CE046C">
              <w:rPr>
                <w:rFonts w:ascii="仿宋" w:eastAsia="仿宋" w:hAnsi="仿宋"/>
                <w:szCs w:val="21"/>
              </w:rPr>
              <w:t>法国邮政</w:t>
            </w:r>
            <w:r w:rsidR="00547015" w:rsidRPr="00CE046C">
              <w:rPr>
                <w:rFonts w:ascii="仿宋" w:eastAsia="仿宋" w:hAnsi="仿宋" w:hint="eastAsia"/>
                <w:szCs w:val="21"/>
              </w:rPr>
              <w:t>公司</w:t>
            </w:r>
            <w:r w:rsidR="00547015" w:rsidRPr="00CE046C">
              <w:rPr>
                <w:rFonts w:ascii="仿宋" w:eastAsia="仿宋" w:hAnsi="仿宋" w:hint="eastAsia"/>
                <w:szCs w:val="21"/>
              </w:rPr>
              <w:t>新设合营企业，该合营企业主要从事基于</w:t>
            </w:r>
            <w:r w:rsidR="00547015" w:rsidRPr="00CE046C">
              <w:rPr>
                <w:rFonts w:ascii="仿宋" w:eastAsia="仿宋" w:hAnsi="仿宋"/>
                <w:szCs w:val="21"/>
              </w:rPr>
              <w:t>区块链技术</w:t>
            </w:r>
            <w:r w:rsidR="00547015" w:rsidRPr="00CE046C">
              <w:rPr>
                <w:rFonts w:ascii="仿宋" w:eastAsia="仿宋" w:hAnsi="仿宋" w:hint="eastAsia"/>
                <w:szCs w:val="21"/>
              </w:rPr>
              <w:t>的</w:t>
            </w:r>
            <w:r w:rsidR="00547015" w:rsidRPr="00CE046C">
              <w:rPr>
                <w:rFonts w:ascii="仿宋" w:eastAsia="仿宋" w:hAnsi="仿宋"/>
                <w:szCs w:val="21"/>
              </w:rPr>
              <w:t>文档</w:t>
            </w:r>
            <w:r w:rsidR="00547015" w:rsidRPr="00CE046C">
              <w:rPr>
                <w:rFonts w:ascii="仿宋" w:eastAsia="仿宋" w:hAnsi="仿宋"/>
                <w:szCs w:val="21"/>
              </w:rPr>
              <w:t>锚定、认证以及其他配套服务</w:t>
            </w:r>
            <w:r w:rsidR="00547015" w:rsidRPr="00CE046C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572356" w:rsidRPr="00CE046C" w:rsidTr="00B24144">
        <w:trPr>
          <w:trHeight w:val="468"/>
        </w:trPr>
        <w:tc>
          <w:tcPr>
            <w:tcW w:w="1772" w:type="dxa"/>
            <w:vMerge w:val="restart"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参与集中的</w:t>
            </w:r>
          </w:p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经营者简介</w:t>
            </w:r>
          </w:p>
        </w:tc>
        <w:tc>
          <w:tcPr>
            <w:tcW w:w="2759" w:type="dxa"/>
          </w:tcPr>
          <w:p w:rsidR="00572356" w:rsidRPr="00CE046C" w:rsidRDefault="00572356" w:rsidP="00CE046C">
            <w:pPr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1、</w:t>
            </w:r>
            <w:r w:rsidR="002B1B19" w:rsidRPr="00CE046C">
              <w:rPr>
                <w:rFonts w:ascii="仿宋" w:eastAsia="仿宋" w:hAnsi="仿宋" w:hint="eastAsia"/>
                <w:szCs w:val="21"/>
              </w:rPr>
              <w:t>法国投资信托局（“CDC”）</w:t>
            </w:r>
          </w:p>
        </w:tc>
        <w:tc>
          <w:tcPr>
            <w:tcW w:w="4227" w:type="dxa"/>
          </w:tcPr>
          <w:p w:rsidR="00B24144" w:rsidRPr="00CE046C" w:rsidRDefault="00B24144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CDC</w:t>
            </w:r>
            <w:r w:rsidRPr="00CE046C">
              <w:rPr>
                <w:rFonts w:ascii="仿宋" w:eastAsia="仿宋" w:hAnsi="仿宋" w:hint="eastAsia"/>
                <w:szCs w:val="21"/>
              </w:rPr>
              <w:t>在中国的业务包括以下方面</w:t>
            </w:r>
            <w:r w:rsidRPr="00CE046C">
              <w:rPr>
                <w:rFonts w:ascii="仿宋" w:eastAsia="仿宋" w:hAnsi="仿宋"/>
                <w:szCs w:val="21"/>
              </w:rPr>
              <w:t xml:space="preserve">： </w:t>
            </w:r>
          </w:p>
          <w:p w:rsidR="00B24144" w:rsidRPr="00CE046C" w:rsidRDefault="00B24144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-设计、运营山地度假村、休闲公园、室内娱乐项目管理；</w:t>
            </w:r>
          </w:p>
          <w:p w:rsidR="00B24144" w:rsidRPr="00CE046C" w:rsidRDefault="00B24144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 xml:space="preserve">-为航空、建筑、城市交通等各行业提供基础设施工程服务； </w:t>
            </w:r>
          </w:p>
          <w:p w:rsidR="00B24144" w:rsidRPr="00CE046C" w:rsidRDefault="00B24144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-设计、开发和制造广泛应用于微电子领域的半导体集成电路和分立器件；</w:t>
            </w:r>
          </w:p>
          <w:p w:rsidR="00B24144" w:rsidRPr="00CE046C" w:rsidRDefault="00B24144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-向大公司、银行和投资基金提供市场信息和分析；</w:t>
            </w:r>
          </w:p>
          <w:p w:rsidR="00B24144" w:rsidRPr="00CE046C" w:rsidRDefault="00B24144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-电力线路运行安全设备的制造和分配；</w:t>
            </w:r>
          </w:p>
          <w:p w:rsidR="00B24144" w:rsidRPr="00CE046C" w:rsidRDefault="00B24144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-</w:t>
            </w:r>
            <w:r w:rsidR="00BF4FD2" w:rsidRPr="00CE046C">
              <w:rPr>
                <w:rFonts w:ascii="仿宋" w:eastAsia="仿宋" w:hAnsi="仿宋"/>
                <w:szCs w:val="21"/>
              </w:rPr>
              <w:t>为各行业设计、制造、加工和装配高精度零件和组件</w:t>
            </w:r>
            <w:r w:rsidR="00BF4FD2" w:rsidRPr="00CE046C">
              <w:rPr>
                <w:rFonts w:ascii="仿宋" w:eastAsia="仿宋" w:hAnsi="仿宋" w:hint="eastAsia"/>
                <w:szCs w:val="21"/>
              </w:rPr>
              <w:t>。</w:t>
            </w:r>
          </w:p>
          <w:p w:rsidR="00114FDF" w:rsidRPr="00CE046C" w:rsidRDefault="00114FDF" w:rsidP="00CE046C">
            <w:pPr>
              <w:spacing w:line="240" w:lineRule="atLeast"/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</w:tr>
      <w:tr w:rsidR="00572356" w:rsidRPr="00CE046C" w:rsidTr="00B24144">
        <w:trPr>
          <w:trHeight w:val="404"/>
        </w:trPr>
        <w:tc>
          <w:tcPr>
            <w:tcW w:w="1772" w:type="dxa"/>
            <w:vMerge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759" w:type="dxa"/>
          </w:tcPr>
          <w:p w:rsidR="00572356" w:rsidRPr="00CE046C" w:rsidRDefault="00572356" w:rsidP="00CE046C">
            <w:pPr>
              <w:spacing w:line="240" w:lineRule="atLeast"/>
              <w:jc w:val="left"/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  <w:t>2、</w:t>
            </w:r>
            <w:r w:rsidR="00547015" w:rsidRPr="00CE046C">
              <w:rPr>
                <w:rFonts w:ascii="仿宋" w:eastAsia="仿宋" w:hAnsi="仿宋"/>
                <w:szCs w:val="21"/>
              </w:rPr>
              <w:t>EDF Pulse Croissance Holding</w:t>
            </w:r>
          </w:p>
        </w:tc>
        <w:tc>
          <w:tcPr>
            <w:tcW w:w="4227" w:type="dxa"/>
          </w:tcPr>
          <w:p w:rsidR="00547015" w:rsidRPr="00CE046C" w:rsidRDefault="00547015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EDF Pulse Croissance Holding</w:t>
            </w:r>
            <w:r w:rsidRPr="00CE046C">
              <w:rPr>
                <w:rFonts w:ascii="仿宋" w:eastAsia="仿宋" w:hAnsi="仿宋"/>
              </w:rPr>
              <w:t>是一家持股公司</w:t>
            </w:r>
            <w:r w:rsidR="00B24144" w:rsidRPr="00CE046C">
              <w:rPr>
                <w:rFonts w:ascii="仿宋" w:eastAsia="仿宋" w:hAnsi="仿宋" w:hint="eastAsia"/>
                <w:szCs w:val="21"/>
              </w:rPr>
              <w:t>。</w:t>
            </w:r>
            <w:r w:rsidRPr="00CE046C">
              <w:rPr>
                <w:rFonts w:ascii="仿宋" w:eastAsia="仿宋" w:hAnsi="仿宋" w:hint="eastAsia"/>
                <w:szCs w:val="21"/>
              </w:rPr>
              <w:t>其</w:t>
            </w:r>
            <w:r w:rsidRPr="00CE046C">
              <w:rPr>
                <w:rFonts w:ascii="仿宋" w:eastAsia="仿宋" w:hAnsi="仿宋"/>
                <w:szCs w:val="21"/>
              </w:rPr>
              <w:t>母公司是法国电力集团（EDF），法国电力集团主要活跃在以下市场：</w:t>
            </w:r>
          </w:p>
          <w:p w:rsidR="00547015" w:rsidRPr="00CE046C" w:rsidRDefault="00547015" w:rsidP="00CE046C">
            <w:pPr>
              <w:pStyle w:val="a7"/>
              <w:numPr>
                <w:ilvl w:val="0"/>
                <w:numId w:val="8"/>
              </w:numPr>
              <w:spacing w:line="240" w:lineRule="atLeast"/>
              <w:ind w:firstLineChars="0"/>
              <w:contextualSpacing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电力的生产、批发、交易、传输、分配和供应；</w:t>
            </w:r>
          </w:p>
          <w:p w:rsidR="00547015" w:rsidRPr="00CE046C" w:rsidRDefault="00547015" w:rsidP="00CE046C">
            <w:pPr>
              <w:pStyle w:val="a7"/>
              <w:numPr>
                <w:ilvl w:val="0"/>
                <w:numId w:val="8"/>
              </w:numPr>
              <w:spacing w:line="240" w:lineRule="atLeast"/>
              <w:ind w:firstLineChars="0"/>
              <w:contextualSpacing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发电厂和电网的建设、运行和维护；</w:t>
            </w:r>
          </w:p>
          <w:p w:rsidR="00547015" w:rsidRPr="00CE046C" w:rsidRDefault="00547015" w:rsidP="00CE046C">
            <w:pPr>
              <w:pStyle w:val="a7"/>
              <w:numPr>
                <w:ilvl w:val="0"/>
                <w:numId w:val="8"/>
              </w:numPr>
              <w:spacing w:line="240" w:lineRule="atLeast"/>
              <w:ind w:firstLineChars="0"/>
              <w:contextualSpacing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废物回收和能源服务。</w:t>
            </w:r>
          </w:p>
          <w:p w:rsidR="00B24144" w:rsidRPr="00CE046C" w:rsidRDefault="00B24144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114FDF" w:rsidRPr="00CE046C" w:rsidRDefault="00114FDF" w:rsidP="00CE046C">
            <w:pPr>
              <w:spacing w:line="240" w:lineRule="atLeast"/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</w:tr>
      <w:tr w:rsidR="002B1B19" w:rsidRPr="00CE046C" w:rsidTr="00B24144">
        <w:trPr>
          <w:trHeight w:val="404"/>
        </w:trPr>
        <w:tc>
          <w:tcPr>
            <w:tcW w:w="1772" w:type="dxa"/>
            <w:shd w:val="clear" w:color="auto" w:fill="D9D9D9"/>
            <w:vAlign w:val="center"/>
          </w:tcPr>
          <w:p w:rsidR="002B1B19" w:rsidRPr="00CE046C" w:rsidRDefault="002B1B19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759" w:type="dxa"/>
          </w:tcPr>
          <w:p w:rsidR="002B1B19" w:rsidRPr="00CE046C" w:rsidRDefault="00B24144" w:rsidP="00CE046C">
            <w:pPr>
              <w:spacing w:line="240" w:lineRule="atLeast"/>
              <w:jc w:val="left"/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hint="eastAsia"/>
                <w:color w:val="333333"/>
                <w:kern w:val="0"/>
                <w:szCs w:val="21"/>
                <w:bdr w:val="none" w:sz="0" w:space="0" w:color="auto" w:frame="1"/>
              </w:rPr>
              <w:t>3.</w:t>
            </w:r>
            <w:r w:rsidRPr="00CE046C">
              <w:rPr>
                <w:rFonts w:ascii="仿宋" w:eastAsia="仿宋" w:hAnsi="仿宋"/>
                <w:szCs w:val="21"/>
              </w:rPr>
              <w:t xml:space="preserve"> </w:t>
            </w:r>
            <w:r w:rsidR="00547015" w:rsidRPr="00CE046C">
              <w:rPr>
                <w:rFonts w:ascii="仿宋" w:eastAsia="仿宋" w:hAnsi="仿宋"/>
                <w:szCs w:val="21"/>
              </w:rPr>
              <w:t>法国ENGIE集团</w:t>
            </w:r>
          </w:p>
        </w:tc>
        <w:tc>
          <w:tcPr>
            <w:tcW w:w="4227" w:type="dxa"/>
          </w:tcPr>
          <w:p w:rsidR="002B1B19" w:rsidRPr="00CE046C" w:rsidRDefault="00547015" w:rsidP="00CE046C">
            <w:pPr>
              <w:spacing w:line="240" w:lineRule="atLeast"/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/>
                <w:szCs w:val="21"/>
              </w:rPr>
              <w:t>法国ENGIE集团</w:t>
            </w:r>
            <w:r w:rsidR="00CE046C">
              <w:rPr>
                <w:rFonts w:ascii="仿宋" w:eastAsia="仿宋" w:hAnsi="仿宋"/>
                <w:szCs w:val="21"/>
              </w:rPr>
              <w:t>是</w:t>
            </w:r>
            <w:r w:rsidR="00CE046C">
              <w:rPr>
                <w:rFonts w:ascii="仿宋" w:eastAsia="仿宋" w:hAnsi="仿宋" w:hint="eastAsia"/>
                <w:szCs w:val="21"/>
              </w:rPr>
              <w:t>一家</w:t>
            </w:r>
            <w:r w:rsidR="00CE046C" w:rsidRPr="00CE046C">
              <w:rPr>
                <w:rFonts w:ascii="仿宋" w:eastAsia="仿宋" w:hAnsi="仿宋"/>
                <w:szCs w:val="21"/>
              </w:rPr>
              <w:t>涉足</w:t>
            </w:r>
            <w:r w:rsidR="00CE046C" w:rsidRPr="00CE046C">
              <w:rPr>
                <w:rFonts w:ascii="仿宋" w:eastAsia="仿宋" w:hAnsi="仿宋"/>
                <w:szCs w:val="21"/>
              </w:rPr>
              <w:t>能源领域</w:t>
            </w:r>
            <w:r w:rsidR="00CE046C" w:rsidRPr="00CE046C">
              <w:rPr>
                <w:rFonts w:ascii="仿宋" w:eastAsia="仿宋" w:hAnsi="仿宋"/>
                <w:szCs w:val="21"/>
              </w:rPr>
              <w:t>的跨国</w:t>
            </w:r>
            <w:r w:rsidR="00CE046C" w:rsidRPr="00CE046C">
              <w:rPr>
                <w:rFonts w:ascii="仿宋" w:eastAsia="仿宋" w:hAnsi="仿宋"/>
                <w:szCs w:val="21"/>
              </w:rPr>
              <w:t>集团</w:t>
            </w:r>
            <w:r w:rsidR="00CE046C" w:rsidRPr="00CE046C">
              <w:rPr>
                <w:rFonts w:ascii="仿宋" w:eastAsia="仿宋" w:hAnsi="仿宋" w:hint="eastAsia"/>
                <w:szCs w:val="21"/>
              </w:rPr>
              <w:t>公司</w:t>
            </w:r>
            <w:r w:rsidRPr="00CE046C">
              <w:rPr>
                <w:rFonts w:ascii="仿宋" w:eastAsia="仿宋" w:hAnsi="仿宋"/>
                <w:szCs w:val="21"/>
              </w:rPr>
              <w:t>。</w:t>
            </w:r>
            <w:r w:rsidR="00CE046C">
              <w:rPr>
                <w:rFonts w:ascii="仿宋" w:eastAsia="仿宋" w:hAnsi="仿宋" w:hint="eastAsia"/>
                <w:szCs w:val="21"/>
              </w:rPr>
              <w:t>其</w:t>
            </w:r>
            <w:r w:rsidRPr="00CE046C">
              <w:rPr>
                <w:rFonts w:ascii="仿宋" w:eastAsia="仿宋" w:hAnsi="仿宋"/>
                <w:szCs w:val="21"/>
              </w:rPr>
              <w:t>主要领域包括：</w:t>
            </w:r>
            <w:r w:rsidR="00CE046C">
              <w:rPr>
                <w:rFonts w:ascii="仿宋" w:eastAsia="仿宋" w:hAnsi="仿宋" w:hint="eastAsia"/>
                <w:szCs w:val="21"/>
              </w:rPr>
              <w:t>可</w:t>
            </w:r>
            <w:r w:rsidR="00CE046C" w:rsidRPr="00CE046C">
              <w:rPr>
                <w:rFonts w:ascii="仿宋" w:eastAsia="仿宋" w:hAnsi="仿宋"/>
                <w:szCs w:val="21"/>
              </w:rPr>
              <w:t>再生能源、低碳发电、天然气供应以及技术创新和数码技术创新</w:t>
            </w:r>
            <w:r w:rsidRPr="00CE046C">
              <w:rPr>
                <w:rFonts w:ascii="仿宋" w:eastAsia="仿宋" w:hAnsi="仿宋"/>
                <w:szCs w:val="21"/>
              </w:rPr>
              <w:t>等。</w:t>
            </w:r>
          </w:p>
        </w:tc>
      </w:tr>
      <w:tr w:rsidR="002B1B19" w:rsidRPr="00CE046C" w:rsidTr="00B24144">
        <w:trPr>
          <w:trHeight w:val="404"/>
        </w:trPr>
        <w:tc>
          <w:tcPr>
            <w:tcW w:w="1772" w:type="dxa"/>
            <w:shd w:val="clear" w:color="auto" w:fill="D9D9D9"/>
            <w:vAlign w:val="center"/>
          </w:tcPr>
          <w:p w:rsidR="002B1B19" w:rsidRPr="00CE046C" w:rsidRDefault="002B1B19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759" w:type="dxa"/>
          </w:tcPr>
          <w:p w:rsidR="002B1B19" w:rsidRPr="00CE046C" w:rsidRDefault="00B24144" w:rsidP="00CE046C">
            <w:pPr>
              <w:spacing w:line="240" w:lineRule="atLeast"/>
              <w:jc w:val="left"/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hint="eastAsia"/>
                <w:szCs w:val="21"/>
              </w:rPr>
              <w:t xml:space="preserve">4. </w:t>
            </w:r>
            <w:r w:rsidR="00547015" w:rsidRPr="00CE046C">
              <w:rPr>
                <w:rFonts w:ascii="仿宋" w:eastAsia="仿宋" w:hAnsi="仿宋"/>
                <w:szCs w:val="21"/>
              </w:rPr>
              <w:t>法国邮政</w:t>
            </w:r>
            <w:r w:rsidR="00547015" w:rsidRPr="00CE046C">
              <w:rPr>
                <w:rFonts w:ascii="仿宋" w:eastAsia="仿宋" w:hAnsi="仿宋" w:hint="eastAsia"/>
                <w:szCs w:val="21"/>
              </w:rPr>
              <w:t>公司</w:t>
            </w:r>
          </w:p>
        </w:tc>
        <w:tc>
          <w:tcPr>
            <w:tcW w:w="4227" w:type="dxa"/>
          </w:tcPr>
          <w:p w:rsidR="002B1B19" w:rsidRPr="00CE046C" w:rsidRDefault="00CE046C" w:rsidP="00CE046C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CE046C">
              <w:rPr>
                <w:rFonts w:ascii="仿宋" w:eastAsia="仿宋" w:hAnsi="仿宋"/>
                <w:szCs w:val="21"/>
              </w:rPr>
              <w:t>法国邮政</w:t>
            </w:r>
            <w:r>
              <w:rPr>
                <w:rFonts w:ascii="仿宋" w:eastAsia="仿宋" w:hAnsi="仿宋" w:hint="eastAsia"/>
                <w:szCs w:val="21"/>
              </w:rPr>
              <w:t>公司的</w:t>
            </w:r>
            <w:r w:rsidRPr="00CE046C">
              <w:rPr>
                <w:rFonts w:ascii="仿宋" w:eastAsia="仿宋" w:hAnsi="仿宋"/>
                <w:szCs w:val="21"/>
              </w:rPr>
              <w:t>业务分为信函业务、包裹和物流业务、</w:t>
            </w:r>
            <w:hyperlink r:id="rId7" w:tgtFrame="_blank" w:history="1">
              <w:r w:rsidRPr="00CE046C">
                <w:rPr>
                  <w:rFonts w:ascii="仿宋" w:eastAsia="仿宋" w:hAnsi="仿宋"/>
                </w:rPr>
                <w:t>金融</w:t>
              </w:r>
            </w:hyperlink>
            <w:r w:rsidRPr="00CE046C">
              <w:rPr>
                <w:rFonts w:ascii="仿宋" w:eastAsia="仿宋" w:hAnsi="仿宋"/>
                <w:szCs w:val="21"/>
              </w:rPr>
              <w:t>业务三大部分，是欧洲邮政领域的主要企业之一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572356" w:rsidRPr="00CE046C" w:rsidTr="00B24144">
        <w:trPr>
          <w:trHeight w:val="279"/>
        </w:trPr>
        <w:tc>
          <w:tcPr>
            <w:tcW w:w="1772" w:type="dxa"/>
            <w:vMerge w:val="restart"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86" w:type="dxa"/>
            <w:gridSpan w:val="2"/>
          </w:tcPr>
          <w:p w:rsidR="00572356" w:rsidRPr="00CE046C" w:rsidRDefault="00B24144" w:rsidP="00CE046C">
            <w:pPr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□</w:t>
            </w:r>
            <w:r w:rsidR="00572356"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1.在同一相关市场，所有参与集中的经营者所占市场份额之和小于15%。</w:t>
            </w:r>
          </w:p>
        </w:tc>
      </w:tr>
      <w:tr w:rsidR="00572356" w:rsidRPr="00CE046C" w:rsidTr="00B24144">
        <w:trPr>
          <w:trHeight w:val="330"/>
        </w:trPr>
        <w:tc>
          <w:tcPr>
            <w:tcW w:w="1772" w:type="dxa"/>
            <w:vMerge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86" w:type="dxa"/>
            <w:gridSpan w:val="2"/>
          </w:tcPr>
          <w:p w:rsidR="00572356" w:rsidRPr="00CE046C" w:rsidRDefault="00B24144" w:rsidP="00CE046C">
            <w:pPr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□</w:t>
            </w:r>
            <w:r w:rsidR="00572356"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2.存在上下游关系的参与集中的经营者，在上下游市场所占的市场份额均小于25%。</w:t>
            </w:r>
          </w:p>
        </w:tc>
      </w:tr>
      <w:tr w:rsidR="00572356" w:rsidRPr="00CE046C" w:rsidTr="00B24144">
        <w:trPr>
          <w:trHeight w:val="285"/>
        </w:trPr>
        <w:tc>
          <w:tcPr>
            <w:tcW w:w="1772" w:type="dxa"/>
            <w:vMerge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86" w:type="dxa"/>
            <w:gridSpan w:val="2"/>
          </w:tcPr>
          <w:p w:rsidR="00572356" w:rsidRPr="00CE046C" w:rsidRDefault="00B24144" w:rsidP="00CE046C">
            <w:pPr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□</w:t>
            </w:r>
            <w:r w:rsidR="00572356"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3.不在同一相关市场、也不存在上下游关系的参与集中的经营者，在与交易有关的每个市场所占的份额均小于25%。</w:t>
            </w:r>
          </w:p>
        </w:tc>
      </w:tr>
      <w:tr w:rsidR="00572356" w:rsidRPr="00CE046C" w:rsidTr="00B24144">
        <w:trPr>
          <w:trHeight w:val="870"/>
        </w:trPr>
        <w:tc>
          <w:tcPr>
            <w:tcW w:w="1772" w:type="dxa"/>
            <w:vMerge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86" w:type="dxa"/>
            <w:gridSpan w:val="2"/>
          </w:tcPr>
          <w:p w:rsidR="00572356" w:rsidRPr="00CE046C" w:rsidRDefault="00CE046C" w:rsidP="00CE046C">
            <w:pPr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MS Mincho"/>
                <w:szCs w:val="21"/>
              </w:rPr>
              <w:fldChar w:fldCharType="begin"/>
            </w:r>
            <w:r w:rsidRPr="00CE046C">
              <w:rPr>
                <w:rFonts w:ascii="仿宋" w:eastAsia="仿宋" w:hAnsi="仿宋" w:cs="MS Mincho"/>
                <w:szCs w:val="21"/>
              </w:rPr>
              <w:instrText xml:space="preserve"> </w:instrText>
            </w:r>
            <w:r w:rsidRPr="00CE046C">
              <w:rPr>
                <w:rFonts w:ascii="仿宋" w:eastAsia="仿宋" w:hAnsi="仿宋" w:cs="MS Mincho" w:hint="eastAsia"/>
                <w:szCs w:val="21"/>
              </w:rPr>
              <w:instrText>eq \o\ac(□,</w:instrText>
            </w:r>
            <w:r w:rsidRPr="00CE046C">
              <w:rPr>
                <w:rFonts w:ascii="仿宋" w:eastAsia="仿宋" w:hAnsi="仿宋" w:cs="MS Mincho" w:hint="eastAsia"/>
                <w:position w:val="2"/>
                <w:szCs w:val="21"/>
              </w:rPr>
              <w:instrText>√</w:instrText>
            </w:r>
            <w:r w:rsidRPr="00CE046C">
              <w:rPr>
                <w:rFonts w:ascii="仿宋" w:eastAsia="仿宋" w:hAnsi="仿宋" w:cs="MS Mincho" w:hint="eastAsia"/>
                <w:szCs w:val="21"/>
              </w:rPr>
              <w:instrText>)</w:instrText>
            </w:r>
            <w:r w:rsidRPr="00CE046C">
              <w:rPr>
                <w:rFonts w:ascii="仿宋" w:eastAsia="仿宋" w:hAnsi="仿宋" w:cs="MS Mincho"/>
                <w:szCs w:val="21"/>
              </w:rPr>
              <w:fldChar w:fldCharType="end"/>
            </w:r>
            <w:r w:rsidR="00572356"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4.参与集中的经营者在中国境外设立合营企业，合营企业不在中国境内从事经济活动。</w:t>
            </w:r>
          </w:p>
        </w:tc>
      </w:tr>
      <w:tr w:rsidR="00572356" w:rsidRPr="00CE046C" w:rsidTr="00B24144">
        <w:trPr>
          <w:trHeight w:val="264"/>
        </w:trPr>
        <w:tc>
          <w:tcPr>
            <w:tcW w:w="1772" w:type="dxa"/>
            <w:vMerge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86" w:type="dxa"/>
            <w:gridSpan w:val="2"/>
          </w:tcPr>
          <w:p w:rsidR="00572356" w:rsidRPr="00CE046C" w:rsidRDefault="00CE046C" w:rsidP="00CE046C">
            <w:pPr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□</w:t>
            </w:r>
            <w:r w:rsidR="00572356"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5.参与集</w:t>
            </w:r>
            <w:bookmarkStart w:id="0" w:name="_GoBack"/>
            <w:bookmarkEnd w:id="0"/>
            <w:r w:rsidR="00572356"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中的经营者收购境外企业股权或资产的，该境外企业不在中国境内从事经济活动。</w:t>
            </w:r>
          </w:p>
        </w:tc>
      </w:tr>
      <w:tr w:rsidR="00572356" w:rsidRPr="00CE046C" w:rsidTr="00B24144">
        <w:trPr>
          <w:trHeight w:val="345"/>
        </w:trPr>
        <w:tc>
          <w:tcPr>
            <w:tcW w:w="1772" w:type="dxa"/>
            <w:vMerge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6986" w:type="dxa"/>
            <w:gridSpan w:val="2"/>
          </w:tcPr>
          <w:p w:rsidR="00572356" w:rsidRPr="00CE046C" w:rsidRDefault="00572356" w:rsidP="00CE046C">
            <w:pPr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□6.由两个以上的经营者共同控制的合营企业，通过集中被其中一个或一个以上经营者控制。</w:t>
            </w:r>
          </w:p>
        </w:tc>
      </w:tr>
      <w:tr w:rsidR="00572356" w:rsidRPr="00CE046C" w:rsidTr="00B24144">
        <w:tc>
          <w:tcPr>
            <w:tcW w:w="1772" w:type="dxa"/>
            <w:shd w:val="clear" w:color="auto" w:fill="D9D9D9"/>
            <w:vAlign w:val="center"/>
          </w:tcPr>
          <w:p w:rsidR="00572356" w:rsidRPr="00CE046C" w:rsidRDefault="00572356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  <w:r w:rsidRPr="00CE046C">
              <w:rPr>
                <w:rFonts w:ascii="仿宋" w:eastAsia="仿宋" w:hAnsi="仿宋" w:cs="宋体" w:hint="eastAsia"/>
                <w:color w:val="333333"/>
                <w:kern w:val="0"/>
                <w:szCs w:val="21"/>
                <w:bdr w:val="none" w:sz="0" w:space="0" w:color="auto" w:frame="1"/>
              </w:rPr>
              <w:t>备注</w:t>
            </w:r>
          </w:p>
        </w:tc>
        <w:tc>
          <w:tcPr>
            <w:tcW w:w="6986" w:type="dxa"/>
            <w:gridSpan w:val="2"/>
          </w:tcPr>
          <w:p w:rsidR="00A42CB1" w:rsidRPr="00CE046C" w:rsidRDefault="00A42CB1" w:rsidP="00CE046C">
            <w:pPr>
              <w:spacing w:line="240" w:lineRule="atLeast"/>
              <w:rPr>
                <w:rFonts w:ascii="仿宋" w:eastAsia="仿宋" w:hAnsi="仿宋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E610AD" w:rsidRPr="00CE046C" w:rsidRDefault="00E610AD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  <w:p w:rsidR="00002041" w:rsidRPr="00CE046C" w:rsidRDefault="00002041" w:rsidP="00CE046C">
            <w:pPr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  <w:bdr w:val="none" w:sz="0" w:space="0" w:color="auto" w:frame="1"/>
              </w:rPr>
            </w:pPr>
          </w:p>
        </w:tc>
      </w:tr>
    </w:tbl>
    <w:p w:rsidR="00CB00DF" w:rsidRPr="00CE046C" w:rsidRDefault="00CB00DF" w:rsidP="00CE046C">
      <w:pPr>
        <w:snapToGrid w:val="0"/>
        <w:spacing w:line="240" w:lineRule="atLeast"/>
        <w:jc w:val="left"/>
        <w:rPr>
          <w:rFonts w:ascii="仿宋" w:eastAsia="仿宋" w:hAnsi="仿宋"/>
          <w:szCs w:val="21"/>
        </w:rPr>
      </w:pPr>
    </w:p>
    <w:p w:rsidR="00CB00DF" w:rsidRPr="00CE046C" w:rsidRDefault="00CB00DF" w:rsidP="00CE046C">
      <w:pPr>
        <w:snapToGrid w:val="0"/>
        <w:spacing w:line="240" w:lineRule="atLeast"/>
        <w:jc w:val="left"/>
        <w:rPr>
          <w:rFonts w:ascii="仿宋" w:eastAsia="仿宋" w:hAnsi="仿宋"/>
          <w:szCs w:val="21"/>
        </w:rPr>
      </w:pPr>
      <w:r w:rsidRPr="00CE046C">
        <w:rPr>
          <w:rFonts w:ascii="仿宋" w:eastAsia="仿宋" w:hAnsi="仿宋" w:hint="eastAsia"/>
          <w:szCs w:val="21"/>
        </w:rPr>
        <w:t>注解：</w:t>
      </w:r>
    </w:p>
    <w:p w:rsidR="00CB00DF" w:rsidRPr="00CE046C" w:rsidRDefault="00CB00DF" w:rsidP="00CE046C">
      <w:pPr>
        <w:snapToGrid w:val="0"/>
        <w:spacing w:line="240" w:lineRule="atLeast"/>
        <w:ind w:firstLineChars="200" w:firstLine="420"/>
        <w:jc w:val="left"/>
        <w:rPr>
          <w:rFonts w:ascii="仿宋" w:eastAsia="仿宋" w:hAnsi="仿宋"/>
          <w:szCs w:val="21"/>
        </w:rPr>
      </w:pPr>
      <w:r w:rsidRPr="00CE046C">
        <w:rPr>
          <w:rFonts w:ascii="仿宋" w:eastAsia="仿宋" w:hAnsi="仿宋" w:hint="eastAsia"/>
          <w:szCs w:val="21"/>
        </w:rPr>
        <w:t>1.申报方申请简易案件的理由是基于1-3项时，须在备注中说明界定的相关商品市场和相关地域市场（无须阐述界定理由），以及相关市场份额；市场份额可以区间形式提供，区间幅度不应超过5%。1-3项可以多选，也可单选；没有勾选的，视为本集中不涉及该类型交易。</w:t>
      </w:r>
    </w:p>
    <w:p w:rsidR="00CB00DF" w:rsidRPr="00CE046C" w:rsidRDefault="00CB00DF" w:rsidP="00CE046C">
      <w:pPr>
        <w:spacing w:line="240" w:lineRule="atLeast"/>
        <w:ind w:firstLineChars="200" w:firstLine="420"/>
        <w:rPr>
          <w:rFonts w:ascii="仿宋" w:eastAsia="仿宋" w:hAnsi="仿宋"/>
          <w:szCs w:val="21"/>
        </w:rPr>
      </w:pPr>
      <w:r w:rsidRPr="00CE046C">
        <w:rPr>
          <w:rFonts w:ascii="仿宋" w:eastAsia="仿宋" w:hAnsi="仿宋" w:hint="eastAsia"/>
          <w:szCs w:val="21"/>
        </w:rPr>
        <w:t>2.申报方申请简易案件的理由是基于第4项、第5项时，无须在备注中说明相关市场和市场份额。</w:t>
      </w:r>
      <w:r w:rsidRPr="00CE046C">
        <w:rPr>
          <w:rFonts w:ascii="仿宋" w:eastAsia="仿宋" w:hAnsi="仿宋" w:hint="eastAsia"/>
          <w:szCs w:val="21"/>
        </w:rPr>
        <w:br/>
        <w:t xml:space="preserve">    3.由两个或两个以上经营者共同控制的合营企业，通过集中被其中的一个经营者控制，如果该经营者与合营企业属于同一相关市场的竞争者，则申报方在申请简易案件时，须同时勾选第1项和第6项理由，并在备注中说明界定的相关商品市场和相关地域市场（无须阐述界定理由），以及相关市场份额。市场份额可以区间形式提供，区间幅度不应超过5%。</w:t>
      </w:r>
    </w:p>
    <w:p w:rsidR="00CB00DF" w:rsidRPr="00CE046C" w:rsidRDefault="00CB00DF" w:rsidP="00CE046C">
      <w:pPr>
        <w:spacing w:line="240" w:lineRule="atLeast"/>
        <w:rPr>
          <w:rFonts w:ascii="仿宋" w:eastAsia="仿宋" w:hAnsi="仿宋"/>
          <w:szCs w:val="21"/>
        </w:rPr>
      </w:pPr>
    </w:p>
    <w:p w:rsidR="000F5E24" w:rsidRPr="00CE046C" w:rsidRDefault="00DE48F7" w:rsidP="00CE046C">
      <w:pPr>
        <w:spacing w:line="240" w:lineRule="atLeast"/>
        <w:rPr>
          <w:rFonts w:ascii="仿宋" w:eastAsia="仿宋" w:hAnsi="仿宋"/>
          <w:szCs w:val="21"/>
        </w:rPr>
      </w:pPr>
    </w:p>
    <w:sectPr w:rsidR="000F5E24" w:rsidRPr="00CE046C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F7" w:rsidRDefault="00DE48F7" w:rsidP="00572356">
      <w:r>
        <w:separator/>
      </w:r>
    </w:p>
  </w:endnote>
  <w:endnote w:type="continuationSeparator" w:id="0">
    <w:p w:rsidR="00DE48F7" w:rsidRDefault="00DE48F7" w:rsidP="005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F7" w:rsidRDefault="00DE48F7" w:rsidP="00572356">
      <w:r>
        <w:separator/>
      </w:r>
    </w:p>
  </w:footnote>
  <w:footnote w:type="continuationSeparator" w:id="0">
    <w:p w:rsidR="00DE48F7" w:rsidRDefault="00DE48F7" w:rsidP="0057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B9"/>
    <w:multiLevelType w:val="hybridMultilevel"/>
    <w:tmpl w:val="36E44C52"/>
    <w:lvl w:ilvl="0" w:tplc="94DC591A">
      <w:numFmt w:val="bullet"/>
      <w:lvlText w:val="•"/>
      <w:lvlJc w:val="left"/>
      <w:pPr>
        <w:ind w:left="420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43D9F"/>
    <w:multiLevelType w:val="hybridMultilevel"/>
    <w:tmpl w:val="3CEC81F8"/>
    <w:lvl w:ilvl="0" w:tplc="7AA6A2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F51A6"/>
    <w:multiLevelType w:val="hybridMultilevel"/>
    <w:tmpl w:val="4496971C"/>
    <w:lvl w:ilvl="0" w:tplc="C4A464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321511"/>
    <w:multiLevelType w:val="hybridMultilevel"/>
    <w:tmpl w:val="C54EB5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C14E60"/>
    <w:multiLevelType w:val="hybridMultilevel"/>
    <w:tmpl w:val="83164276"/>
    <w:lvl w:ilvl="0" w:tplc="42029A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A26E0D"/>
    <w:multiLevelType w:val="hybridMultilevel"/>
    <w:tmpl w:val="E37CC7A2"/>
    <w:lvl w:ilvl="0" w:tplc="4B0C8D52">
      <w:start w:val="5"/>
      <w:numFmt w:val="bullet"/>
      <w:lvlText w:val="·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1210B4"/>
    <w:multiLevelType w:val="hybridMultilevel"/>
    <w:tmpl w:val="07A8146A"/>
    <w:lvl w:ilvl="0" w:tplc="59185B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3E02DB"/>
    <w:multiLevelType w:val="hybridMultilevel"/>
    <w:tmpl w:val="301613EE"/>
    <w:lvl w:ilvl="0" w:tplc="B07AD6F6">
      <w:start w:val="1"/>
      <w:numFmt w:val="bullet"/>
      <w:lvlText w:val="-"/>
      <w:lvlJc w:val="left"/>
      <w:pPr>
        <w:ind w:left="360" w:hanging="360"/>
      </w:pPr>
      <w:rPr>
        <w:rFonts w:ascii="Times New Roman" w:eastAsia="仿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02041"/>
    <w:rsid w:val="00037065"/>
    <w:rsid w:val="00060E0A"/>
    <w:rsid w:val="00075FB7"/>
    <w:rsid w:val="000C0034"/>
    <w:rsid w:val="000C289D"/>
    <w:rsid w:val="000D7EBA"/>
    <w:rsid w:val="00114FDF"/>
    <w:rsid w:val="001164CD"/>
    <w:rsid w:val="00137E26"/>
    <w:rsid w:val="00155717"/>
    <w:rsid w:val="001837A3"/>
    <w:rsid w:val="002B1B19"/>
    <w:rsid w:val="002F7876"/>
    <w:rsid w:val="00315FFE"/>
    <w:rsid w:val="003C0AEB"/>
    <w:rsid w:val="004F7688"/>
    <w:rsid w:val="00547015"/>
    <w:rsid w:val="00572356"/>
    <w:rsid w:val="006163C0"/>
    <w:rsid w:val="006467D8"/>
    <w:rsid w:val="00646EBF"/>
    <w:rsid w:val="006A531B"/>
    <w:rsid w:val="006F7693"/>
    <w:rsid w:val="00710140"/>
    <w:rsid w:val="00777AEA"/>
    <w:rsid w:val="007F2275"/>
    <w:rsid w:val="00915F0F"/>
    <w:rsid w:val="009532DF"/>
    <w:rsid w:val="00997019"/>
    <w:rsid w:val="009A5029"/>
    <w:rsid w:val="009D38D5"/>
    <w:rsid w:val="00A42CB1"/>
    <w:rsid w:val="00A53F26"/>
    <w:rsid w:val="00AA0CC5"/>
    <w:rsid w:val="00B16AFE"/>
    <w:rsid w:val="00B24144"/>
    <w:rsid w:val="00B65CB1"/>
    <w:rsid w:val="00B65DD5"/>
    <w:rsid w:val="00BD10B6"/>
    <w:rsid w:val="00BF4FD2"/>
    <w:rsid w:val="00BF660E"/>
    <w:rsid w:val="00C07076"/>
    <w:rsid w:val="00CB00DF"/>
    <w:rsid w:val="00CE046C"/>
    <w:rsid w:val="00D73C72"/>
    <w:rsid w:val="00DE48F7"/>
    <w:rsid w:val="00E0592B"/>
    <w:rsid w:val="00E31738"/>
    <w:rsid w:val="00E610AD"/>
    <w:rsid w:val="00E86786"/>
    <w:rsid w:val="00ED2F80"/>
    <w:rsid w:val="00F1624E"/>
    <w:rsid w:val="00F32F8A"/>
    <w:rsid w:val="00F810AA"/>
    <w:rsid w:val="00FB43EC"/>
    <w:rsid w:val="00FB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F62E4"/>
  <w15:docId w15:val="{A99481E7-0624-49D9-90AD-BEFD5096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35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356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114FDF"/>
    <w:pPr>
      <w:ind w:firstLineChars="200" w:firstLine="420"/>
    </w:pPr>
  </w:style>
  <w:style w:type="character" w:customStyle="1" w:styleId="a8">
    <w:name w:val="列出段落 字符"/>
    <w:link w:val="a7"/>
    <w:uiPriority w:val="34"/>
    <w:locked/>
    <w:rsid w:val="00547015"/>
    <w:rPr>
      <w:rFonts w:ascii="Calibri" w:eastAsia="宋体" w:hAnsi="Calibri" w:cs="Times New Roman"/>
    </w:rPr>
  </w:style>
  <w:style w:type="character" w:styleId="a9">
    <w:name w:val="Emphasis"/>
    <w:basedOn w:val="a0"/>
    <w:uiPriority w:val="20"/>
    <w:qFormat/>
    <w:rsid w:val="00CE046C"/>
    <w:rPr>
      <w:i/>
      <w:iCs/>
    </w:rPr>
  </w:style>
  <w:style w:type="character" w:styleId="aa">
    <w:name w:val="Hyperlink"/>
    <w:basedOn w:val="a0"/>
    <w:uiPriority w:val="99"/>
    <w:semiHidden/>
    <w:unhideWhenUsed/>
    <w:rsid w:val="00CE0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9%87%91%E8%9E%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&amp; Wood Mallesons</dc:creator>
  <cp:lastModifiedBy>King &amp; Wood Mallesons</cp:lastModifiedBy>
  <cp:revision>2</cp:revision>
  <dcterms:created xsi:type="dcterms:W3CDTF">2019-11-29T04:11:00Z</dcterms:created>
  <dcterms:modified xsi:type="dcterms:W3CDTF">2019-11-29T04:11:00Z</dcterms:modified>
</cp:coreProperties>
</file>