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2019年度广东省涂料产品质量监督抽查</w:t>
      </w:r>
    </w:p>
    <w:p>
      <w:pPr>
        <w:spacing w:line="600" w:lineRule="exact"/>
        <w:jc w:val="center"/>
        <w:rPr>
          <w:rFonts w:ascii="方正小标宋简体" w:hAnsi="方正小标宋简体" w:eastAsia="方正小标宋简体" w:cs="方正小标宋简体"/>
          <w:bCs/>
          <w:sz w:val="36"/>
          <w:szCs w:val="44"/>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b/>
          <w:bCs/>
          <w:sz w:val="30"/>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szCs w:val="32"/>
        </w:rPr>
      </w:pPr>
      <w:r>
        <w:rPr>
          <w:szCs w:val="32"/>
        </w:rPr>
        <w:t>本方案由广东省市场监督管理局制定，适用于2019年度广东省市场监督管理局组织的</w:t>
      </w:r>
      <w:r>
        <w:rPr>
          <w:rFonts w:hint="eastAsia"/>
          <w:szCs w:val="32"/>
        </w:rPr>
        <w:t>涂料</w:t>
      </w:r>
      <w:r>
        <w:rPr>
          <w:szCs w:val="32"/>
        </w:rPr>
        <w:t>产品质量监督抽查的抽样、检验工作。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eastAsia="黑体"/>
          <w:szCs w:val="32"/>
        </w:rPr>
      </w:pPr>
      <w:r>
        <w:rPr>
          <w:rFonts w:eastAsia="黑体"/>
          <w:szCs w:val="32"/>
        </w:rPr>
        <w:t>一、</w:t>
      </w:r>
      <w:r>
        <w:rPr>
          <w:rFonts w:hint="eastAsia" w:eastAsia="黑体"/>
          <w:szCs w:val="32"/>
        </w:rPr>
        <w:t>监督抽查</w:t>
      </w:r>
      <w:r>
        <w:rPr>
          <w:rFonts w:eastAsia="黑体"/>
          <w:szCs w:val="32"/>
        </w:rPr>
        <w:t>的产品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szCs w:val="32"/>
        </w:rPr>
      </w:pPr>
      <w:r>
        <w:rPr>
          <w:rFonts w:hint="eastAsia"/>
          <w:szCs w:val="32"/>
        </w:rPr>
        <w:t>（一）</w:t>
      </w:r>
      <w:r>
        <w:rPr>
          <w:szCs w:val="32"/>
        </w:rPr>
        <w:t>抽查产品品种：</w:t>
      </w:r>
      <w:r>
        <w:rPr>
          <w:rFonts w:hint="eastAsia"/>
          <w:szCs w:val="32"/>
        </w:rPr>
        <w:t>涂料，包括溶剂型木器涂料、合成树脂乳液内墙涂料（面漆）、建筑用外墙涂料（水性，面漆）、建筑用防水涂料以及水性木器涂料</w:t>
      </w:r>
      <w:r>
        <w:rPr>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szCs w:val="32"/>
        </w:rPr>
      </w:pPr>
      <w:r>
        <w:rPr>
          <w:rFonts w:hint="eastAsia"/>
          <w:szCs w:val="32"/>
        </w:rPr>
        <w:t>（二）</w:t>
      </w:r>
      <w:r>
        <w:rPr>
          <w:szCs w:val="32"/>
        </w:rPr>
        <w:t>本次抽查的监督总体确定为：广东省生产和流通领域</w:t>
      </w:r>
      <w:r>
        <w:rPr>
          <w:rFonts w:hint="eastAsia"/>
          <w:szCs w:val="32"/>
        </w:rPr>
        <w:t>与</w:t>
      </w:r>
      <w:r>
        <w:rPr>
          <w:szCs w:val="32"/>
        </w:rPr>
        <w:t>抽检的样本标称同一商标（或标称同一生产者）同一型号的产品集合。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30"/>
        <w:jc w:val="both"/>
        <w:textAlignment w:val="auto"/>
        <w:outlineLvl w:val="9"/>
        <w:rPr>
          <w:szCs w:val="32"/>
        </w:rPr>
      </w:pPr>
      <w:r>
        <w:rPr>
          <w:rFonts w:hint="eastAsia"/>
          <w:szCs w:val="32"/>
        </w:rPr>
        <w:t>（三）</w:t>
      </w:r>
      <w:r>
        <w:rPr>
          <w:szCs w:val="32"/>
        </w:rPr>
        <w:t>需抽取样品的数量如下：</w:t>
      </w:r>
    </w:p>
    <w:tbl>
      <w:tblPr>
        <w:tblStyle w:val="3"/>
        <w:tblpPr w:leftFromText="180" w:rightFromText="180" w:vertAnchor="text" w:horzAnchor="page" w:tblpX="1561" w:tblpY="57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4169"/>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2512" w:type="dxa"/>
            <w:vAlign w:val="center"/>
          </w:tcPr>
          <w:p>
            <w:pPr>
              <w:spacing w:line="52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被抽查的产品品种</w:t>
            </w:r>
          </w:p>
        </w:tc>
        <w:tc>
          <w:tcPr>
            <w:tcW w:w="4169" w:type="dxa"/>
            <w:vAlign w:val="center"/>
          </w:tcPr>
          <w:p>
            <w:pPr>
              <w:spacing w:line="520" w:lineRule="exact"/>
              <w:jc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第1组数量</w:t>
            </w:r>
            <w:r>
              <w:rPr>
                <w:rFonts w:hint="default" w:ascii="Times New Roman" w:hAnsi="Times New Roman" w:cs="Times New Roman"/>
                <w:b/>
                <w:bCs/>
                <w:sz w:val="21"/>
                <w:szCs w:val="21"/>
              </w:rPr>
              <w:t>（款）</w:t>
            </w:r>
          </w:p>
        </w:tc>
        <w:tc>
          <w:tcPr>
            <w:tcW w:w="2499" w:type="dxa"/>
            <w:vAlign w:val="center"/>
          </w:tcPr>
          <w:p>
            <w:pPr>
              <w:spacing w:line="520" w:lineRule="exact"/>
              <w:jc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第2组数量</w:t>
            </w:r>
            <w:r>
              <w:rPr>
                <w:rFonts w:hint="default" w:ascii="Times New Roman" w:hAnsi="Times New Roman" w:cs="Times New Roman"/>
                <w:b/>
                <w:bCs/>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512" w:type="dxa"/>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溶剂型木器涂料</w:t>
            </w:r>
          </w:p>
        </w:tc>
        <w:tc>
          <w:tcPr>
            <w:tcW w:w="416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主剂≥1 kg，配套产品按配比抽取适量样品。</w:t>
            </w:r>
          </w:p>
        </w:tc>
        <w:tc>
          <w:tcPr>
            <w:tcW w:w="249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主剂≥1 kg，配套产品按配比抽取适量样品。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512" w:type="dxa"/>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水性木器涂料</w:t>
            </w:r>
          </w:p>
        </w:tc>
        <w:tc>
          <w:tcPr>
            <w:tcW w:w="416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主漆≥1 kg，配套产品按配比抽取适量样品。</w:t>
            </w:r>
          </w:p>
        </w:tc>
        <w:tc>
          <w:tcPr>
            <w:tcW w:w="249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主漆≥1 kg，配套产品按配比抽取适量样品。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512" w:type="dxa"/>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合成树脂乳液内墙涂料（面漆）</w:t>
            </w:r>
          </w:p>
        </w:tc>
        <w:tc>
          <w:tcPr>
            <w:tcW w:w="416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主漆≥3kg(L), 配套产品按配比抽取适量样品。</w:t>
            </w:r>
          </w:p>
        </w:tc>
        <w:tc>
          <w:tcPr>
            <w:tcW w:w="249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主漆≥3kg(L), 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512" w:type="dxa"/>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建筑用外墙涂料（水性，面漆）</w:t>
            </w:r>
          </w:p>
        </w:tc>
        <w:tc>
          <w:tcPr>
            <w:tcW w:w="416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主漆≥3kg(L), 配套产品按配比抽取适量样品。</w:t>
            </w:r>
          </w:p>
        </w:tc>
        <w:tc>
          <w:tcPr>
            <w:tcW w:w="249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主漆≥3kg(L), 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512" w:type="dxa"/>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建筑用防水涂料</w:t>
            </w:r>
          </w:p>
        </w:tc>
        <w:tc>
          <w:tcPr>
            <w:tcW w:w="416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主剂≥1 kg(L) ，配套产品按配比抽取适量样品。</w:t>
            </w:r>
          </w:p>
        </w:tc>
        <w:tc>
          <w:tcPr>
            <w:tcW w:w="2499" w:type="dxa"/>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主剂≥1kg(L) ，配套产品按配比抽取适量样品。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180" w:type="dxa"/>
            <w:gridSpan w:val="3"/>
            <w:vAlign w:val="center"/>
          </w:tcPr>
          <w:p>
            <w:pPr>
              <w:spacing w:line="5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注：当独立包装产品重量（体积）低于抽样数量要求时，应尽量整包装抽取，避免分装。</w:t>
            </w:r>
          </w:p>
        </w:tc>
      </w:tr>
    </w:tbl>
    <w:p>
      <w:pPr>
        <w:spacing w:line="560" w:lineRule="exact"/>
        <w:ind w:firstLine="640" w:firstLineChars="200"/>
        <w:rPr>
          <w:rFonts w:eastAsia="楷体_GB2312"/>
          <w:szCs w:val="32"/>
        </w:rPr>
      </w:pPr>
      <w:r>
        <w:rPr>
          <w:rFonts w:hint="eastAsia" w:eastAsia="黑体"/>
          <w:szCs w:val="32"/>
        </w:rPr>
        <w:t>二、</w:t>
      </w:r>
      <w:r>
        <w:rPr>
          <w:rFonts w:eastAsia="黑体"/>
          <w:szCs w:val="32"/>
        </w:rPr>
        <w:t>监督抽样检验程序</w:t>
      </w:r>
    </w:p>
    <w:p>
      <w:pPr>
        <w:spacing w:line="560" w:lineRule="exact"/>
        <w:ind w:firstLine="640" w:firstLineChars="200"/>
        <w:rPr>
          <w:rFonts w:eastAsia="楷体_GB2312"/>
          <w:szCs w:val="32"/>
        </w:rPr>
      </w:pPr>
      <w:r>
        <w:rPr>
          <w:rFonts w:eastAsia="楷体_GB2312"/>
          <w:szCs w:val="32"/>
        </w:rPr>
        <w:t>（一）抽样及复检程序依据</w:t>
      </w:r>
    </w:p>
    <w:p>
      <w:pPr>
        <w:spacing w:line="560" w:lineRule="exact"/>
        <w:ind w:firstLine="640" w:firstLineChars="200"/>
        <w:rPr>
          <w:szCs w:val="32"/>
        </w:rPr>
      </w:pPr>
      <w:r>
        <w:rPr>
          <w:rFonts w:eastAsia="楷体_GB2312"/>
          <w:szCs w:val="32"/>
        </w:rPr>
        <w:t>1</w:t>
      </w:r>
      <w:r>
        <w:rPr>
          <w:rFonts w:hint="eastAsia"/>
          <w:szCs w:val="32"/>
        </w:rPr>
        <w:t>．</w:t>
      </w:r>
      <w:r>
        <w:rPr>
          <w:szCs w:val="32"/>
        </w:rPr>
        <w:t>GB/T 28863-2012《产品质量监督抽样检验程序 具有先验质量信息的情形》</w:t>
      </w:r>
    </w:p>
    <w:p>
      <w:pPr>
        <w:spacing w:line="560" w:lineRule="exact"/>
        <w:ind w:firstLine="640" w:firstLineChars="200"/>
        <w:rPr>
          <w:szCs w:val="32"/>
        </w:rPr>
      </w:pPr>
      <w:r>
        <w:rPr>
          <w:szCs w:val="32"/>
        </w:rPr>
        <w:t>2</w:t>
      </w:r>
      <w:r>
        <w:rPr>
          <w:rFonts w:hint="eastAsia"/>
          <w:szCs w:val="32"/>
        </w:rPr>
        <w:t>．</w:t>
      </w:r>
      <w:r>
        <w:rPr>
          <w:szCs w:val="32"/>
        </w:rPr>
        <w:t>GB/T 2828.4-2008《计数抽样检验程序 第4部分：声称质量水平的评定程序》</w:t>
      </w:r>
    </w:p>
    <w:p>
      <w:pPr>
        <w:spacing w:line="560" w:lineRule="exact"/>
        <w:ind w:firstLine="640" w:firstLineChars="200"/>
        <w:rPr>
          <w:szCs w:val="32"/>
        </w:rPr>
      </w:pPr>
      <w:r>
        <w:rPr>
          <w:rFonts w:hint="eastAsia"/>
          <w:szCs w:val="32"/>
        </w:rPr>
        <w:t>3．</w:t>
      </w:r>
      <w:r>
        <w:rPr>
          <w:szCs w:val="32"/>
        </w:rPr>
        <w:t>GB/T 16306-2008 《声称质量水平复检与复验的评定程序》</w:t>
      </w:r>
    </w:p>
    <w:p>
      <w:pPr>
        <w:spacing w:line="560" w:lineRule="exact"/>
        <w:ind w:firstLine="640" w:firstLineChars="200"/>
        <w:rPr>
          <w:szCs w:val="32"/>
        </w:rPr>
      </w:pPr>
      <w:r>
        <w:rPr>
          <w:rFonts w:hint="eastAsia"/>
          <w:szCs w:val="32"/>
        </w:rPr>
        <w:t>4．</w:t>
      </w:r>
      <w:r>
        <w:rPr>
          <w:szCs w:val="32"/>
        </w:rPr>
        <w:t>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eastAsia" w:ascii="楷体_GB2312" w:hAnsi="楷体_GB2312" w:eastAsia="楷体_GB2312" w:cs="楷体_GB2312"/>
          <w:szCs w:val="32"/>
        </w:rPr>
        <w:t>（二）抽样</w:t>
      </w:r>
      <w:r>
        <w:rPr>
          <w:rFonts w:hint="default" w:ascii="Times New Roman" w:hAnsi="Times New Roman" w:eastAsia="楷体_GB2312" w:cs="Times New Roman"/>
          <w:szCs w:val="32"/>
        </w:rPr>
        <w:t>方案。</w:t>
      </w:r>
      <w:r>
        <w:rPr>
          <w:rFonts w:hint="default" w:ascii="Times New Roman" w:hAnsi="Times New Roman" w:cs="Times New Roman"/>
          <w:szCs w:val="32"/>
        </w:rPr>
        <w:t>涂料属于具有先验质量信息的情形，适用GB/T 28863-2012进行抽样及判定。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val="en-US" w:eastAsia="zh-CN"/>
        </w:rPr>
        <w:t>．</w:t>
      </w:r>
      <w:r>
        <w:rPr>
          <w:rFonts w:hint="default" w:ascii="Times New Roman" w:hAnsi="Times New Roman" w:eastAsia="仿宋" w:cs="Times New Roman"/>
          <w:szCs w:val="32"/>
        </w:rPr>
        <w:t>各领域抽样按照先生产企业、后线下销售者的顺序执行。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在线下销售者处抽样时，被抽查市场主体由抽样所在地市场监管部门确定，应综合考虑城市、城乡结合部、农村等区域因素。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在生产企业处抽样时，随机抽取2组样品，经征得企业同意后由企业无偿提供，全部带回检验机构。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在线下销售者处抽样时，随机抽取2组样品。其中，第1组购买，用于检验；第2组封存在销售者处作备样。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（一）本类产品的强制性国家标准、行业标准: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1</w:t>
      </w:r>
      <w:r>
        <w:rPr>
          <w:rFonts w:hint="eastAsia" w:ascii="Times New Roman" w:hAnsi="Times New Roman" w:cs="Times New Roman"/>
          <w:szCs w:val="30"/>
          <w:lang w:eastAsia="zh-CN"/>
        </w:rPr>
        <w:t>．</w:t>
      </w:r>
      <w:r>
        <w:rPr>
          <w:rFonts w:hint="default" w:ascii="Times New Roman" w:hAnsi="Times New Roman" w:cs="Times New Roman"/>
          <w:szCs w:val="30"/>
        </w:rPr>
        <w:t>GB 18581-2009《室内装饰装修材料溶剂型木器涂料中有害物质限量》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2</w:t>
      </w:r>
      <w:r>
        <w:rPr>
          <w:rFonts w:hint="eastAsia" w:ascii="Times New Roman" w:hAnsi="Times New Roman" w:cs="Times New Roman"/>
          <w:szCs w:val="30"/>
          <w:lang w:eastAsia="zh-CN"/>
        </w:rPr>
        <w:t>．</w:t>
      </w:r>
      <w:r>
        <w:rPr>
          <w:rFonts w:hint="default" w:ascii="Times New Roman" w:hAnsi="Times New Roman" w:cs="Times New Roman"/>
          <w:szCs w:val="30"/>
        </w:rPr>
        <w:t>GB 18582-2008《室内装饰装修材料内墙涂料中有害物质限量》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textAlignment w:val="auto"/>
        <w:outlineLvl w:val="9"/>
        <w:rPr>
          <w:rFonts w:hint="default" w:ascii="Times New Roman" w:hAnsi="Times New Roman" w:cs="Times New Roman"/>
          <w:szCs w:val="30"/>
        </w:rPr>
      </w:pPr>
      <w:r>
        <w:rPr>
          <w:rFonts w:hint="default" w:ascii="Times New Roman" w:hAnsi="Times New Roman" w:cs="Times New Roman"/>
          <w:szCs w:val="30"/>
        </w:rPr>
        <w:t>3</w:t>
      </w:r>
      <w:r>
        <w:rPr>
          <w:rFonts w:hint="eastAsia" w:ascii="Times New Roman" w:hAnsi="Times New Roman" w:cs="Times New Roman"/>
          <w:szCs w:val="30"/>
          <w:lang w:eastAsia="zh-CN"/>
        </w:rPr>
        <w:t>．</w:t>
      </w:r>
      <w:r>
        <w:rPr>
          <w:rFonts w:hint="default" w:ascii="Times New Roman" w:hAnsi="Times New Roman" w:cs="Times New Roman"/>
          <w:szCs w:val="30"/>
        </w:rPr>
        <w:t>GB 24408-2009《建筑用外墙涂料中有害物质限量》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4</w:t>
      </w:r>
      <w:r>
        <w:rPr>
          <w:rFonts w:hint="eastAsia" w:ascii="Times New Roman" w:hAnsi="Times New Roman" w:cs="Times New Roman"/>
          <w:szCs w:val="30"/>
          <w:lang w:eastAsia="zh-CN"/>
        </w:rPr>
        <w:t>．</w:t>
      </w:r>
      <w:r>
        <w:rPr>
          <w:rFonts w:hint="default" w:ascii="Times New Roman" w:hAnsi="Times New Roman" w:cs="Times New Roman"/>
          <w:szCs w:val="30"/>
        </w:rPr>
        <w:t>JC 1066-2008《建筑防水涂料中有害物质限量》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5</w:t>
      </w:r>
      <w:r>
        <w:rPr>
          <w:rFonts w:hint="eastAsia" w:ascii="Times New Roman" w:hAnsi="Times New Roman" w:cs="Times New Roman"/>
          <w:szCs w:val="30"/>
          <w:lang w:eastAsia="zh-CN"/>
        </w:rPr>
        <w:t>．</w:t>
      </w:r>
      <w:r>
        <w:rPr>
          <w:rFonts w:hint="default" w:ascii="Times New Roman" w:hAnsi="Times New Roman" w:cs="Times New Roman"/>
          <w:szCs w:val="30"/>
        </w:rPr>
        <w:t>GB 24410-2009《室内装饰装修材料水性木器涂料中有害物质限量》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二）产品标示执行的标准或产品明示指标。产品标示执行的标准或产品明示指标劣于相关强制性标准的，以相关强制性标准作为依据；被抽样产品未能提供有效企业标准的，按相关国家或行业推荐性标准进行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本类产品推荐性标准如下：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1</w:t>
      </w:r>
      <w:r>
        <w:rPr>
          <w:rFonts w:hint="eastAsia" w:ascii="Times New Roman" w:hAnsi="Times New Roman" w:cs="Times New Roman"/>
          <w:szCs w:val="30"/>
          <w:lang w:eastAsia="zh-CN"/>
        </w:rPr>
        <w:t>．</w:t>
      </w:r>
      <w:r>
        <w:rPr>
          <w:rFonts w:hint="default" w:ascii="Times New Roman" w:hAnsi="Times New Roman" w:cs="Times New Roman"/>
          <w:szCs w:val="30"/>
        </w:rPr>
        <w:t>GB/T 9756-2018《合成树脂乳液内墙涂料》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firstLineChars="185"/>
        <w:jc w:val="left"/>
        <w:textAlignment w:val="auto"/>
        <w:outlineLvl w:val="9"/>
        <w:rPr>
          <w:rFonts w:hint="default" w:ascii="Times New Roman" w:hAnsi="Times New Roman" w:cs="Times New Roman"/>
          <w:szCs w:val="30"/>
        </w:rPr>
      </w:pPr>
      <w:r>
        <w:rPr>
          <w:rFonts w:hint="default" w:ascii="Times New Roman" w:hAnsi="Times New Roman" w:cs="Times New Roman"/>
          <w:szCs w:val="30"/>
        </w:rPr>
        <w:t>2</w:t>
      </w:r>
      <w:r>
        <w:rPr>
          <w:rFonts w:hint="eastAsia" w:ascii="Times New Roman" w:hAnsi="Times New Roman" w:cs="Times New Roman"/>
          <w:szCs w:val="30"/>
          <w:lang w:eastAsia="zh-CN"/>
        </w:rPr>
        <w:t>．</w:t>
      </w:r>
      <w:r>
        <w:rPr>
          <w:rFonts w:hint="default" w:ascii="Times New Roman" w:hAnsi="Times New Roman" w:cs="Times New Roman"/>
          <w:szCs w:val="30"/>
        </w:rPr>
        <w:t>GB/T 9755-2014《合成树脂乳液外墙涂料》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pacing w:val="-4"/>
          <w:szCs w:val="32"/>
        </w:rPr>
      </w:pPr>
      <w:r>
        <w:rPr>
          <w:rFonts w:hint="default" w:ascii="Times New Roman" w:hAnsi="Times New Roman" w:eastAsia="楷体_GB2312" w:cs="Times New Roman"/>
          <w:szCs w:val="32"/>
        </w:rPr>
        <w:t>（三）涉及本类产品质量判定相关法律法规、国家有关规定。</w:t>
      </w:r>
      <w:r>
        <w:rPr>
          <w:rFonts w:hint="default" w:ascii="Times New Roman" w:hAnsi="Times New Roman" w:cs="Times New Roman"/>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、主要检验项目及不合格类别的划分指标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（一）内在质量检验项目及其重要性划分表。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eastAsia="楷体_GB2312"/>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eastAsia="zh-CN"/>
        </w:rPr>
        <w:t>．</w:t>
      </w:r>
      <w:r>
        <w:rPr>
          <w:rFonts w:hint="default" w:ascii="Times New Roman" w:hAnsi="Times New Roman" w:eastAsia="楷体_GB2312" w:cs="Times New Roman"/>
          <w:szCs w:val="32"/>
        </w:rPr>
        <w:t>溶剂型木器涂</w:t>
      </w:r>
      <w:r>
        <w:rPr>
          <w:rFonts w:hint="eastAsia" w:eastAsia="楷体_GB2312"/>
          <w:szCs w:val="32"/>
        </w:rPr>
        <w:t>料</w:t>
      </w:r>
    </w:p>
    <w:tbl>
      <w:tblPr>
        <w:tblStyle w:val="3"/>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较重要项</w:t>
            </w:r>
          </w:p>
        </w:tc>
        <w:tc>
          <w:tcPr>
            <w:tcW w:w="601"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1</w:t>
            </w:r>
          </w:p>
        </w:tc>
        <w:tc>
          <w:tcPr>
            <w:tcW w:w="2706" w:type="dxa"/>
            <w:vAlign w:val="center"/>
          </w:tcPr>
          <w:p>
            <w:pPr>
              <w:spacing w:line="240" w:lineRule="atLeast"/>
              <w:jc w:val="center"/>
              <w:rPr>
                <w:sz w:val="18"/>
                <w:szCs w:val="18"/>
              </w:rPr>
            </w:pPr>
            <w:r>
              <w:rPr>
                <w:sz w:val="18"/>
                <w:szCs w:val="18"/>
              </w:rPr>
              <w:t>挥发性有机化合物</w:t>
            </w:r>
            <w:r>
              <w:rPr>
                <w:rFonts w:hint="eastAsia"/>
                <w:sz w:val="18"/>
                <w:szCs w:val="18"/>
              </w:rPr>
              <w:t>（VOC）含量</w:t>
            </w:r>
          </w:p>
        </w:tc>
        <w:tc>
          <w:tcPr>
            <w:tcW w:w="2457" w:type="dxa"/>
            <w:vAlign w:val="center"/>
          </w:tcPr>
          <w:p>
            <w:pPr>
              <w:spacing w:line="240" w:lineRule="atLeast"/>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2</w:t>
            </w:r>
          </w:p>
        </w:tc>
        <w:tc>
          <w:tcPr>
            <w:tcW w:w="2706" w:type="dxa"/>
            <w:vAlign w:val="center"/>
          </w:tcPr>
          <w:p>
            <w:pPr>
              <w:spacing w:line="240" w:lineRule="atLeast"/>
              <w:jc w:val="center"/>
              <w:rPr>
                <w:sz w:val="18"/>
                <w:szCs w:val="18"/>
              </w:rPr>
            </w:pPr>
            <w:r>
              <w:rPr>
                <w:sz w:val="18"/>
                <w:szCs w:val="18"/>
              </w:rPr>
              <w:t>苯</w:t>
            </w:r>
            <w:r>
              <w:rPr>
                <w:rFonts w:hint="eastAsia"/>
                <w:sz w:val="18"/>
                <w:szCs w:val="18"/>
              </w:rPr>
              <w:t>含量</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3</w:t>
            </w:r>
          </w:p>
        </w:tc>
        <w:tc>
          <w:tcPr>
            <w:tcW w:w="2706" w:type="dxa"/>
            <w:vAlign w:val="center"/>
          </w:tcPr>
          <w:p>
            <w:pPr>
              <w:spacing w:line="240" w:lineRule="atLeast"/>
              <w:jc w:val="center"/>
              <w:rPr>
                <w:sz w:val="18"/>
                <w:szCs w:val="18"/>
              </w:rPr>
            </w:pPr>
            <w:r>
              <w:rPr>
                <w:sz w:val="18"/>
                <w:szCs w:val="18"/>
              </w:rPr>
              <w:t>甲苯、乙苯</w:t>
            </w:r>
            <w:r>
              <w:rPr>
                <w:rFonts w:hint="eastAsia"/>
                <w:sz w:val="18"/>
                <w:szCs w:val="18"/>
              </w:rPr>
              <w:t>、</w:t>
            </w:r>
            <w:r>
              <w:rPr>
                <w:sz w:val="18"/>
                <w:szCs w:val="18"/>
              </w:rPr>
              <w:t>二甲苯</w:t>
            </w:r>
            <w:r>
              <w:rPr>
                <w:rFonts w:hint="eastAsia"/>
                <w:sz w:val="18"/>
                <w:szCs w:val="18"/>
              </w:rPr>
              <w:t>含量</w:t>
            </w:r>
            <w:r>
              <w:rPr>
                <w:sz w:val="18"/>
                <w:szCs w:val="18"/>
              </w:rPr>
              <w:t>总和</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4</w:t>
            </w:r>
          </w:p>
        </w:tc>
        <w:tc>
          <w:tcPr>
            <w:tcW w:w="2706" w:type="dxa"/>
            <w:vAlign w:val="center"/>
          </w:tcPr>
          <w:p>
            <w:pPr>
              <w:spacing w:line="240" w:lineRule="atLeast"/>
              <w:jc w:val="center"/>
              <w:rPr>
                <w:sz w:val="18"/>
                <w:szCs w:val="18"/>
              </w:rPr>
            </w:pPr>
            <w:r>
              <w:rPr>
                <w:sz w:val="18"/>
                <w:szCs w:val="18"/>
              </w:rPr>
              <w:t>游离二异氰酸酯(TDI、HDI)含量</w:t>
            </w:r>
            <w:r>
              <w:rPr>
                <w:rFonts w:hint="eastAsia"/>
                <w:sz w:val="18"/>
                <w:szCs w:val="18"/>
              </w:rPr>
              <w:t>总和</w:t>
            </w:r>
            <w:r>
              <w:rPr>
                <w:sz w:val="18"/>
                <w:szCs w:val="18"/>
              </w:rPr>
              <w:t>（</w:t>
            </w:r>
            <w:r>
              <w:rPr>
                <w:rFonts w:hint="eastAsia"/>
                <w:sz w:val="18"/>
                <w:szCs w:val="18"/>
              </w:rPr>
              <w:t>限</w:t>
            </w:r>
            <w:r>
              <w:rPr>
                <w:sz w:val="18"/>
                <w:szCs w:val="18"/>
              </w:rPr>
              <w:t>聚氨酯</w:t>
            </w:r>
            <w:r>
              <w:rPr>
                <w:rFonts w:hint="eastAsia"/>
                <w:sz w:val="18"/>
                <w:szCs w:val="18"/>
              </w:rPr>
              <w:t>类</w:t>
            </w:r>
            <w:r>
              <w:rPr>
                <w:sz w:val="18"/>
                <w:szCs w:val="18"/>
              </w:rPr>
              <w:t>）</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5</w:t>
            </w:r>
          </w:p>
        </w:tc>
        <w:tc>
          <w:tcPr>
            <w:tcW w:w="2706" w:type="dxa"/>
            <w:vAlign w:val="center"/>
          </w:tcPr>
          <w:p>
            <w:pPr>
              <w:spacing w:line="240" w:lineRule="atLeast"/>
              <w:jc w:val="center"/>
              <w:rPr>
                <w:sz w:val="18"/>
                <w:szCs w:val="18"/>
              </w:rPr>
            </w:pPr>
            <w:r>
              <w:rPr>
                <w:sz w:val="18"/>
                <w:szCs w:val="18"/>
              </w:rPr>
              <w:t>甲醇含量（</w:t>
            </w:r>
            <w:r>
              <w:rPr>
                <w:rFonts w:hint="eastAsia"/>
                <w:sz w:val="18"/>
                <w:szCs w:val="18"/>
              </w:rPr>
              <w:t>限</w:t>
            </w:r>
            <w:r>
              <w:rPr>
                <w:sz w:val="18"/>
                <w:szCs w:val="18"/>
              </w:rPr>
              <w:t>硝基</w:t>
            </w:r>
            <w:r>
              <w:rPr>
                <w:rFonts w:hint="eastAsia"/>
                <w:sz w:val="18"/>
                <w:szCs w:val="18"/>
              </w:rPr>
              <w:t>类</w:t>
            </w:r>
            <w:r>
              <w:rPr>
                <w:sz w:val="18"/>
                <w:szCs w:val="18"/>
              </w:rPr>
              <w:t>）</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6</w:t>
            </w:r>
          </w:p>
        </w:tc>
        <w:tc>
          <w:tcPr>
            <w:tcW w:w="2706" w:type="dxa"/>
            <w:vAlign w:val="center"/>
          </w:tcPr>
          <w:p>
            <w:pPr>
              <w:spacing w:line="240" w:lineRule="atLeast"/>
              <w:jc w:val="center"/>
              <w:rPr>
                <w:sz w:val="18"/>
                <w:szCs w:val="18"/>
              </w:rPr>
            </w:pPr>
            <w:r>
              <w:rPr>
                <w:sz w:val="18"/>
                <w:szCs w:val="18"/>
              </w:rPr>
              <w:t>卤代烃含量</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7</w:t>
            </w:r>
          </w:p>
        </w:tc>
        <w:tc>
          <w:tcPr>
            <w:tcW w:w="2706" w:type="dxa"/>
            <w:vAlign w:val="center"/>
          </w:tcPr>
          <w:p>
            <w:pPr>
              <w:spacing w:line="240" w:lineRule="atLeast"/>
              <w:jc w:val="center"/>
              <w:rPr>
                <w:sz w:val="18"/>
                <w:szCs w:val="18"/>
              </w:rPr>
            </w:pPr>
            <w:r>
              <w:rPr>
                <w:sz w:val="18"/>
                <w:szCs w:val="18"/>
              </w:rPr>
              <w:t>可溶性铅</w:t>
            </w:r>
            <w:r>
              <w:rPr>
                <w:rFonts w:hint="eastAsia" w:ascii="宋体" w:hAnsi="宋体"/>
                <w:sz w:val="18"/>
                <w:szCs w:val="18"/>
              </w:rPr>
              <w:t>（限色漆）</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8</w:t>
            </w:r>
          </w:p>
        </w:tc>
        <w:tc>
          <w:tcPr>
            <w:tcW w:w="2706" w:type="dxa"/>
            <w:vAlign w:val="center"/>
          </w:tcPr>
          <w:p>
            <w:pPr>
              <w:spacing w:line="240" w:lineRule="atLeast"/>
              <w:jc w:val="center"/>
              <w:rPr>
                <w:sz w:val="18"/>
                <w:szCs w:val="18"/>
              </w:rPr>
            </w:pPr>
            <w:r>
              <w:rPr>
                <w:sz w:val="18"/>
                <w:szCs w:val="18"/>
              </w:rPr>
              <w:t>可溶性镉</w:t>
            </w:r>
            <w:r>
              <w:rPr>
                <w:rFonts w:hint="eastAsia" w:ascii="宋体" w:hAnsi="宋体"/>
                <w:sz w:val="18"/>
                <w:szCs w:val="18"/>
              </w:rPr>
              <w:t>（限色漆）</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9</w:t>
            </w:r>
          </w:p>
        </w:tc>
        <w:tc>
          <w:tcPr>
            <w:tcW w:w="2706" w:type="dxa"/>
            <w:vAlign w:val="center"/>
          </w:tcPr>
          <w:p>
            <w:pPr>
              <w:spacing w:line="240" w:lineRule="atLeast"/>
              <w:jc w:val="center"/>
              <w:rPr>
                <w:sz w:val="18"/>
                <w:szCs w:val="18"/>
              </w:rPr>
            </w:pPr>
            <w:r>
              <w:rPr>
                <w:sz w:val="18"/>
                <w:szCs w:val="18"/>
              </w:rPr>
              <w:t>可溶性铬</w:t>
            </w:r>
            <w:r>
              <w:rPr>
                <w:rFonts w:hint="eastAsia" w:ascii="宋体" w:hAnsi="宋体"/>
                <w:sz w:val="18"/>
                <w:szCs w:val="18"/>
              </w:rPr>
              <w:t>（限色漆）</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10</w:t>
            </w:r>
          </w:p>
        </w:tc>
        <w:tc>
          <w:tcPr>
            <w:tcW w:w="2706" w:type="dxa"/>
            <w:vAlign w:val="center"/>
          </w:tcPr>
          <w:p>
            <w:pPr>
              <w:spacing w:line="240" w:lineRule="atLeast"/>
              <w:jc w:val="center"/>
              <w:rPr>
                <w:sz w:val="18"/>
                <w:szCs w:val="18"/>
              </w:rPr>
            </w:pPr>
            <w:r>
              <w:rPr>
                <w:sz w:val="18"/>
                <w:szCs w:val="18"/>
              </w:rPr>
              <w:t>可溶性汞</w:t>
            </w:r>
            <w:r>
              <w:rPr>
                <w:rFonts w:hint="eastAsia" w:ascii="宋体" w:hAnsi="宋体"/>
                <w:sz w:val="18"/>
                <w:szCs w:val="18"/>
              </w:rPr>
              <w:t>（限色漆）</w:t>
            </w:r>
          </w:p>
        </w:tc>
        <w:tc>
          <w:tcPr>
            <w:tcW w:w="2457" w:type="dxa"/>
            <w:vAlign w:val="center"/>
          </w:tcPr>
          <w:p>
            <w:pPr>
              <w:jc w:val="center"/>
              <w:rPr>
                <w:sz w:val="18"/>
                <w:szCs w:val="18"/>
              </w:rPr>
            </w:pPr>
            <w:r>
              <w:rPr>
                <w:sz w:val="18"/>
                <w:szCs w:val="18"/>
              </w:rPr>
              <w:t>GB 18581-2009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bl>
    <w:p>
      <w:pPr>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合成树脂乳液内墙涂料（面漆）</w:t>
      </w:r>
    </w:p>
    <w:tbl>
      <w:tblPr>
        <w:tblStyle w:val="3"/>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较重要项</w:t>
            </w:r>
          </w:p>
        </w:tc>
        <w:tc>
          <w:tcPr>
            <w:tcW w:w="601"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1</w:t>
            </w:r>
          </w:p>
        </w:tc>
        <w:tc>
          <w:tcPr>
            <w:tcW w:w="2706" w:type="dxa"/>
            <w:vAlign w:val="center"/>
          </w:tcPr>
          <w:p>
            <w:pPr>
              <w:spacing w:line="240" w:lineRule="atLeast"/>
              <w:jc w:val="center"/>
              <w:rPr>
                <w:sz w:val="18"/>
                <w:szCs w:val="18"/>
              </w:rPr>
            </w:pPr>
            <w:r>
              <w:rPr>
                <w:sz w:val="18"/>
                <w:szCs w:val="18"/>
              </w:rPr>
              <w:t>挥发性有机化合物（VOC）</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2</w:t>
            </w:r>
          </w:p>
        </w:tc>
        <w:tc>
          <w:tcPr>
            <w:tcW w:w="2706" w:type="dxa"/>
            <w:vAlign w:val="center"/>
          </w:tcPr>
          <w:p>
            <w:pPr>
              <w:spacing w:line="240" w:lineRule="atLeast"/>
              <w:jc w:val="center"/>
              <w:rPr>
                <w:sz w:val="18"/>
                <w:szCs w:val="18"/>
              </w:rPr>
            </w:pPr>
            <w:r>
              <w:rPr>
                <w:sz w:val="18"/>
                <w:szCs w:val="18"/>
              </w:rPr>
              <w:t>苯、甲苯、乙苯、二甲苯总和</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3</w:t>
            </w:r>
          </w:p>
        </w:tc>
        <w:tc>
          <w:tcPr>
            <w:tcW w:w="2706" w:type="dxa"/>
            <w:vAlign w:val="center"/>
          </w:tcPr>
          <w:p>
            <w:pPr>
              <w:spacing w:line="240" w:lineRule="atLeast"/>
              <w:jc w:val="center"/>
              <w:rPr>
                <w:sz w:val="18"/>
                <w:szCs w:val="18"/>
              </w:rPr>
            </w:pPr>
            <w:r>
              <w:rPr>
                <w:sz w:val="18"/>
                <w:szCs w:val="18"/>
              </w:rPr>
              <w:t>游离甲醛</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4</w:t>
            </w:r>
          </w:p>
        </w:tc>
        <w:tc>
          <w:tcPr>
            <w:tcW w:w="2706" w:type="dxa"/>
            <w:vAlign w:val="center"/>
          </w:tcPr>
          <w:p>
            <w:pPr>
              <w:spacing w:line="240" w:lineRule="atLeast"/>
              <w:jc w:val="center"/>
              <w:rPr>
                <w:sz w:val="18"/>
                <w:szCs w:val="18"/>
              </w:rPr>
            </w:pPr>
            <w:r>
              <w:rPr>
                <w:sz w:val="18"/>
                <w:szCs w:val="18"/>
              </w:rPr>
              <w:t>可溶性铅</w:t>
            </w:r>
          </w:p>
        </w:tc>
        <w:tc>
          <w:tcPr>
            <w:tcW w:w="2457" w:type="dxa"/>
            <w:vAlign w:val="center"/>
          </w:tcPr>
          <w:p>
            <w:pPr>
              <w:snapToGrid w:val="0"/>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5</w:t>
            </w:r>
          </w:p>
        </w:tc>
        <w:tc>
          <w:tcPr>
            <w:tcW w:w="2706" w:type="dxa"/>
            <w:vAlign w:val="center"/>
          </w:tcPr>
          <w:p>
            <w:pPr>
              <w:spacing w:line="240" w:lineRule="atLeast"/>
              <w:jc w:val="center"/>
              <w:rPr>
                <w:sz w:val="18"/>
                <w:szCs w:val="18"/>
              </w:rPr>
            </w:pPr>
            <w:r>
              <w:rPr>
                <w:sz w:val="18"/>
                <w:szCs w:val="18"/>
              </w:rPr>
              <w:t>可溶性镉</w:t>
            </w:r>
          </w:p>
        </w:tc>
        <w:tc>
          <w:tcPr>
            <w:tcW w:w="2457" w:type="dxa"/>
            <w:vAlign w:val="center"/>
          </w:tcPr>
          <w:p>
            <w:pPr>
              <w:snapToGrid w:val="0"/>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6</w:t>
            </w:r>
          </w:p>
        </w:tc>
        <w:tc>
          <w:tcPr>
            <w:tcW w:w="2706" w:type="dxa"/>
            <w:vAlign w:val="center"/>
          </w:tcPr>
          <w:p>
            <w:pPr>
              <w:spacing w:line="240" w:lineRule="atLeast"/>
              <w:jc w:val="center"/>
              <w:rPr>
                <w:sz w:val="18"/>
                <w:szCs w:val="18"/>
              </w:rPr>
            </w:pPr>
            <w:r>
              <w:rPr>
                <w:sz w:val="18"/>
                <w:szCs w:val="18"/>
              </w:rPr>
              <w:t>可溶性铬</w:t>
            </w:r>
          </w:p>
        </w:tc>
        <w:tc>
          <w:tcPr>
            <w:tcW w:w="2457" w:type="dxa"/>
            <w:vAlign w:val="center"/>
          </w:tcPr>
          <w:p>
            <w:pPr>
              <w:snapToGrid w:val="0"/>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7</w:t>
            </w:r>
          </w:p>
        </w:tc>
        <w:tc>
          <w:tcPr>
            <w:tcW w:w="2706" w:type="dxa"/>
            <w:vAlign w:val="center"/>
          </w:tcPr>
          <w:p>
            <w:pPr>
              <w:spacing w:line="240" w:lineRule="atLeast"/>
              <w:jc w:val="center"/>
              <w:rPr>
                <w:sz w:val="18"/>
                <w:szCs w:val="18"/>
              </w:rPr>
            </w:pPr>
            <w:r>
              <w:rPr>
                <w:sz w:val="18"/>
                <w:szCs w:val="18"/>
              </w:rPr>
              <w:t>可溶性汞</w:t>
            </w:r>
          </w:p>
        </w:tc>
        <w:tc>
          <w:tcPr>
            <w:tcW w:w="2457" w:type="dxa"/>
            <w:vAlign w:val="center"/>
          </w:tcPr>
          <w:p>
            <w:pPr>
              <w:snapToGrid w:val="0"/>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8</w:t>
            </w:r>
          </w:p>
        </w:tc>
        <w:tc>
          <w:tcPr>
            <w:tcW w:w="2706" w:type="dxa"/>
            <w:vAlign w:val="center"/>
          </w:tcPr>
          <w:p>
            <w:pPr>
              <w:spacing w:line="240" w:lineRule="atLeast"/>
              <w:jc w:val="center"/>
              <w:rPr>
                <w:sz w:val="18"/>
                <w:szCs w:val="18"/>
              </w:rPr>
            </w:pPr>
            <w:r>
              <w:rPr>
                <w:sz w:val="18"/>
                <w:szCs w:val="18"/>
              </w:rPr>
              <w:t>干燥时间</w:t>
            </w:r>
          </w:p>
        </w:tc>
        <w:tc>
          <w:tcPr>
            <w:tcW w:w="2457" w:type="dxa"/>
            <w:vAlign w:val="center"/>
          </w:tcPr>
          <w:p>
            <w:pPr>
              <w:spacing w:line="240" w:lineRule="atLeast"/>
              <w:jc w:val="center"/>
              <w:rPr>
                <w:sz w:val="18"/>
                <w:szCs w:val="18"/>
              </w:rPr>
            </w:pPr>
            <w:r>
              <w:rPr>
                <w:sz w:val="18"/>
                <w:szCs w:val="18"/>
              </w:rPr>
              <w:t>GB/T 9756</w:t>
            </w:r>
            <w:r>
              <w:rPr>
                <w:rFonts w:hint="eastAsia"/>
                <w:sz w:val="18"/>
                <w:szCs w:val="18"/>
              </w:rPr>
              <w:t>-2018</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9</w:t>
            </w:r>
          </w:p>
        </w:tc>
        <w:tc>
          <w:tcPr>
            <w:tcW w:w="2706" w:type="dxa"/>
            <w:vAlign w:val="center"/>
          </w:tcPr>
          <w:p>
            <w:pPr>
              <w:spacing w:line="240" w:lineRule="atLeast"/>
              <w:jc w:val="center"/>
              <w:rPr>
                <w:sz w:val="18"/>
                <w:szCs w:val="18"/>
              </w:rPr>
            </w:pPr>
            <w:r>
              <w:rPr>
                <w:sz w:val="18"/>
                <w:szCs w:val="18"/>
              </w:rPr>
              <w:t>耐洗刷性</w:t>
            </w:r>
          </w:p>
        </w:tc>
        <w:tc>
          <w:tcPr>
            <w:tcW w:w="2457" w:type="dxa"/>
            <w:vAlign w:val="center"/>
          </w:tcPr>
          <w:p>
            <w:pPr>
              <w:spacing w:line="240" w:lineRule="atLeast"/>
              <w:jc w:val="center"/>
              <w:rPr>
                <w:sz w:val="18"/>
                <w:szCs w:val="18"/>
              </w:rPr>
            </w:pPr>
            <w:r>
              <w:rPr>
                <w:sz w:val="18"/>
                <w:szCs w:val="18"/>
              </w:rPr>
              <w:t>GB/T 9756</w:t>
            </w:r>
            <w:r>
              <w:rPr>
                <w:rFonts w:hint="eastAsia"/>
                <w:sz w:val="18"/>
                <w:szCs w:val="18"/>
              </w:rPr>
              <w:t>-2018</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r>
    </w:tbl>
    <w:p>
      <w:pPr>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建筑用外墙涂料（水性，面漆）</w:t>
      </w:r>
    </w:p>
    <w:tbl>
      <w:tblPr>
        <w:tblStyle w:val="3"/>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较重要项</w:t>
            </w:r>
          </w:p>
        </w:tc>
        <w:tc>
          <w:tcPr>
            <w:tcW w:w="601"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1</w:t>
            </w:r>
          </w:p>
        </w:tc>
        <w:tc>
          <w:tcPr>
            <w:tcW w:w="2706" w:type="dxa"/>
            <w:vAlign w:val="center"/>
          </w:tcPr>
          <w:p>
            <w:pPr>
              <w:spacing w:line="240" w:lineRule="atLeast"/>
              <w:jc w:val="center"/>
              <w:rPr>
                <w:sz w:val="18"/>
                <w:szCs w:val="18"/>
              </w:rPr>
            </w:pPr>
            <w:r>
              <w:rPr>
                <w:sz w:val="18"/>
                <w:szCs w:val="18"/>
              </w:rPr>
              <w:t>挥发性有机化合物(VOC)含量</w:t>
            </w:r>
          </w:p>
        </w:tc>
        <w:tc>
          <w:tcPr>
            <w:tcW w:w="2457" w:type="dxa"/>
            <w:vAlign w:val="center"/>
          </w:tcPr>
          <w:p>
            <w:pPr>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2</w:t>
            </w:r>
          </w:p>
        </w:tc>
        <w:tc>
          <w:tcPr>
            <w:tcW w:w="2706" w:type="dxa"/>
            <w:vAlign w:val="center"/>
          </w:tcPr>
          <w:p>
            <w:pPr>
              <w:spacing w:line="240" w:lineRule="atLeast"/>
              <w:jc w:val="center"/>
              <w:rPr>
                <w:sz w:val="18"/>
                <w:szCs w:val="18"/>
              </w:rPr>
            </w:pPr>
            <w:r>
              <w:rPr>
                <w:sz w:val="18"/>
                <w:szCs w:val="18"/>
              </w:rPr>
              <w:t>游离甲醛含量</w:t>
            </w:r>
          </w:p>
        </w:tc>
        <w:tc>
          <w:tcPr>
            <w:tcW w:w="2457" w:type="dxa"/>
            <w:vAlign w:val="center"/>
          </w:tcPr>
          <w:p>
            <w:pPr>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3</w:t>
            </w:r>
          </w:p>
        </w:tc>
        <w:tc>
          <w:tcPr>
            <w:tcW w:w="2706" w:type="dxa"/>
            <w:vAlign w:val="center"/>
          </w:tcPr>
          <w:p>
            <w:pPr>
              <w:spacing w:line="240" w:lineRule="atLeast"/>
              <w:jc w:val="center"/>
              <w:rPr>
                <w:sz w:val="18"/>
                <w:szCs w:val="18"/>
              </w:rPr>
            </w:pPr>
            <w:r>
              <w:rPr>
                <w:sz w:val="18"/>
                <w:szCs w:val="18"/>
              </w:rPr>
              <w:t>乙二醇醚及醚酯含量总和(限乙二醇甲醚、乙二醇甲醚醋酸酯、乙二醇乙醚、乙二醇乙醚醋酸酯和二乙二醇丁醚醋酸酯)</w:t>
            </w:r>
          </w:p>
        </w:tc>
        <w:tc>
          <w:tcPr>
            <w:tcW w:w="2457" w:type="dxa"/>
            <w:vAlign w:val="center"/>
          </w:tcPr>
          <w:p>
            <w:pPr>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4</w:t>
            </w:r>
          </w:p>
        </w:tc>
        <w:tc>
          <w:tcPr>
            <w:tcW w:w="2706" w:type="dxa"/>
            <w:vAlign w:val="center"/>
          </w:tcPr>
          <w:p>
            <w:pPr>
              <w:spacing w:line="240" w:lineRule="atLeast"/>
              <w:jc w:val="center"/>
              <w:rPr>
                <w:sz w:val="18"/>
                <w:szCs w:val="18"/>
              </w:rPr>
            </w:pPr>
            <w:r>
              <w:rPr>
                <w:sz w:val="18"/>
                <w:szCs w:val="18"/>
              </w:rPr>
              <w:t>铅</w:t>
            </w:r>
            <w:r>
              <w:rPr>
                <w:rFonts w:hint="eastAsia"/>
                <w:sz w:val="18"/>
                <w:szCs w:val="18"/>
              </w:rPr>
              <w:t>（限色漆）</w:t>
            </w:r>
          </w:p>
        </w:tc>
        <w:tc>
          <w:tcPr>
            <w:tcW w:w="2457" w:type="dxa"/>
            <w:vAlign w:val="center"/>
          </w:tcPr>
          <w:p>
            <w:pPr>
              <w:snapToGrid w:val="0"/>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5</w:t>
            </w:r>
          </w:p>
        </w:tc>
        <w:tc>
          <w:tcPr>
            <w:tcW w:w="2706" w:type="dxa"/>
            <w:vAlign w:val="center"/>
          </w:tcPr>
          <w:p>
            <w:pPr>
              <w:spacing w:line="240" w:lineRule="atLeast"/>
              <w:jc w:val="center"/>
              <w:rPr>
                <w:sz w:val="18"/>
                <w:szCs w:val="18"/>
              </w:rPr>
            </w:pPr>
            <w:r>
              <w:rPr>
                <w:sz w:val="18"/>
                <w:szCs w:val="18"/>
              </w:rPr>
              <w:t>镉</w:t>
            </w:r>
            <w:r>
              <w:rPr>
                <w:rFonts w:hint="eastAsia"/>
                <w:sz w:val="18"/>
                <w:szCs w:val="18"/>
              </w:rPr>
              <w:t>（限色漆）</w:t>
            </w:r>
          </w:p>
        </w:tc>
        <w:tc>
          <w:tcPr>
            <w:tcW w:w="2457" w:type="dxa"/>
            <w:vAlign w:val="center"/>
          </w:tcPr>
          <w:p>
            <w:pPr>
              <w:snapToGrid w:val="0"/>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6</w:t>
            </w:r>
          </w:p>
        </w:tc>
        <w:tc>
          <w:tcPr>
            <w:tcW w:w="2706" w:type="dxa"/>
            <w:vAlign w:val="center"/>
          </w:tcPr>
          <w:p>
            <w:pPr>
              <w:spacing w:line="240" w:lineRule="atLeast"/>
              <w:jc w:val="center"/>
              <w:rPr>
                <w:sz w:val="18"/>
                <w:szCs w:val="18"/>
              </w:rPr>
            </w:pPr>
            <w:r>
              <w:rPr>
                <w:rFonts w:hint="eastAsia"/>
                <w:sz w:val="18"/>
                <w:szCs w:val="18"/>
              </w:rPr>
              <w:t>六价</w:t>
            </w:r>
            <w:r>
              <w:rPr>
                <w:sz w:val="18"/>
                <w:szCs w:val="18"/>
              </w:rPr>
              <w:t>铬</w:t>
            </w:r>
            <w:r>
              <w:rPr>
                <w:rFonts w:hint="eastAsia"/>
                <w:sz w:val="18"/>
                <w:szCs w:val="18"/>
              </w:rPr>
              <w:t>（限色漆）</w:t>
            </w:r>
          </w:p>
        </w:tc>
        <w:tc>
          <w:tcPr>
            <w:tcW w:w="2457" w:type="dxa"/>
            <w:vAlign w:val="center"/>
          </w:tcPr>
          <w:p>
            <w:pPr>
              <w:snapToGrid w:val="0"/>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7</w:t>
            </w:r>
          </w:p>
        </w:tc>
        <w:tc>
          <w:tcPr>
            <w:tcW w:w="2706" w:type="dxa"/>
            <w:vAlign w:val="center"/>
          </w:tcPr>
          <w:p>
            <w:pPr>
              <w:spacing w:line="240" w:lineRule="atLeast"/>
              <w:jc w:val="center"/>
              <w:rPr>
                <w:sz w:val="18"/>
                <w:szCs w:val="18"/>
              </w:rPr>
            </w:pPr>
            <w:r>
              <w:rPr>
                <w:sz w:val="18"/>
                <w:szCs w:val="18"/>
              </w:rPr>
              <w:t>汞</w:t>
            </w:r>
            <w:r>
              <w:rPr>
                <w:rFonts w:hint="eastAsia"/>
                <w:sz w:val="18"/>
                <w:szCs w:val="18"/>
              </w:rPr>
              <w:t>（限色漆）</w:t>
            </w:r>
          </w:p>
        </w:tc>
        <w:tc>
          <w:tcPr>
            <w:tcW w:w="2457" w:type="dxa"/>
            <w:vAlign w:val="center"/>
          </w:tcPr>
          <w:p>
            <w:pPr>
              <w:snapToGrid w:val="0"/>
              <w:spacing w:line="240" w:lineRule="atLeast"/>
              <w:jc w:val="center"/>
              <w:rPr>
                <w:sz w:val="18"/>
                <w:szCs w:val="18"/>
              </w:rPr>
            </w:pPr>
            <w:r>
              <w:rPr>
                <w:sz w:val="18"/>
                <w:szCs w:val="18"/>
              </w:rPr>
              <w:t>GB 24408</w:t>
            </w:r>
            <w:r>
              <w:rPr>
                <w:rFonts w:hint="eastAsia"/>
                <w:sz w:val="18"/>
                <w:szCs w:val="18"/>
              </w:rPr>
              <w:t>-2009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8</w:t>
            </w:r>
          </w:p>
        </w:tc>
        <w:tc>
          <w:tcPr>
            <w:tcW w:w="2706" w:type="dxa"/>
            <w:vAlign w:val="center"/>
          </w:tcPr>
          <w:p>
            <w:pPr>
              <w:spacing w:line="240" w:lineRule="atLeast"/>
              <w:jc w:val="center"/>
              <w:rPr>
                <w:sz w:val="18"/>
                <w:szCs w:val="18"/>
              </w:rPr>
            </w:pPr>
            <w:r>
              <w:rPr>
                <w:sz w:val="18"/>
                <w:szCs w:val="18"/>
              </w:rPr>
              <w:t>干燥时间</w:t>
            </w:r>
          </w:p>
        </w:tc>
        <w:tc>
          <w:tcPr>
            <w:tcW w:w="2457" w:type="dxa"/>
            <w:vAlign w:val="center"/>
          </w:tcPr>
          <w:p>
            <w:pPr>
              <w:spacing w:line="240" w:lineRule="atLeast"/>
              <w:jc w:val="center"/>
              <w:rPr>
                <w:sz w:val="18"/>
                <w:szCs w:val="18"/>
              </w:rPr>
            </w:pPr>
            <w:r>
              <w:rPr>
                <w:sz w:val="18"/>
                <w:szCs w:val="18"/>
              </w:rPr>
              <w:t>GB/T 9755</w:t>
            </w:r>
            <w:r>
              <w:rPr>
                <w:rFonts w:hint="eastAsia"/>
                <w:sz w:val="18"/>
                <w:szCs w:val="18"/>
              </w:rPr>
              <w:t>-2014</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9</w:t>
            </w:r>
          </w:p>
        </w:tc>
        <w:tc>
          <w:tcPr>
            <w:tcW w:w="2706" w:type="dxa"/>
            <w:vAlign w:val="center"/>
          </w:tcPr>
          <w:p>
            <w:pPr>
              <w:spacing w:line="240" w:lineRule="atLeast"/>
              <w:jc w:val="center"/>
              <w:rPr>
                <w:sz w:val="18"/>
                <w:szCs w:val="18"/>
              </w:rPr>
            </w:pPr>
            <w:r>
              <w:rPr>
                <w:sz w:val="18"/>
                <w:szCs w:val="18"/>
              </w:rPr>
              <w:t>耐水性</w:t>
            </w:r>
          </w:p>
        </w:tc>
        <w:tc>
          <w:tcPr>
            <w:tcW w:w="2457" w:type="dxa"/>
            <w:vAlign w:val="center"/>
          </w:tcPr>
          <w:p>
            <w:pPr>
              <w:spacing w:line="240" w:lineRule="atLeast"/>
              <w:jc w:val="center"/>
              <w:rPr>
                <w:sz w:val="18"/>
                <w:szCs w:val="18"/>
              </w:rPr>
            </w:pPr>
            <w:r>
              <w:rPr>
                <w:sz w:val="18"/>
                <w:szCs w:val="18"/>
              </w:rPr>
              <w:t>GB/T 9755</w:t>
            </w:r>
            <w:r>
              <w:rPr>
                <w:rFonts w:hint="eastAsia"/>
                <w:sz w:val="18"/>
                <w:szCs w:val="18"/>
              </w:rPr>
              <w:t>-2014</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10</w:t>
            </w:r>
          </w:p>
        </w:tc>
        <w:tc>
          <w:tcPr>
            <w:tcW w:w="2706" w:type="dxa"/>
            <w:vAlign w:val="center"/>
          </w:tcPr>
          <w:p>
            <w:pPr>
              <w:spacing w:line="240" w:lineRule="atLeast"/>
              <w:jc w:val="center"/>
              <w:rPr>
                <w:sz w:val="18"/>
                <w:szCs w:val="18"/>
              </w:rPr>
            </w:pPr>
            <w:r>
              <w:rPr>
                <w:sz w:val="18"/>
                <w:szCs w:val="18"/>
              </w:rPr>
              <w:t>耐碱性</w:t>
            </w:r>
          </w:p>
        </w:tc>
        <w:tc>
          <w:tcPr>
            <w:tcW w:w="2457" w:type="dxa"/>
            <w:vAlign w:val="center"/>
          </w:tcPr>
          <w:p>
            <w:pPr>
              <w:spacing w:line="240" w:lineRule="atLeast"/>
              <w:jc w:val="center"/>
              <w:rPr>
                <w:sz w:val="18"/>
                <w:szCs w:val="18"/>
              </w:rPr>
            </w:pPr>
            <w:r>
              <w:rPr>
                <w:sz w:val="18"/>
                <w:szCs w:val="18"/>
              </w:rPr>
              <w:t>GB/T 9755</w:t>
            </w:r>
            <w:r>
              <w:rPr>
                <w:rFonts w:hint="eastAsia"/>
                <w:sz w:val="18"/>
                <w:szCs w:val="18"/>
              </w:rPr>
              <w:t>-2014</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11</w:t>
            </w:r>
          </w:p>
        </w:tc>
        <w:tc>
          <w:tcPr>
            <w:tcW w:w="2706" w:type="dxa"/>
            <w:vAlign w:val="center"/>
          </w:tcPr>
          <w:p>
            <w:pPr>
              <w:spacing w:line="240" w:lineRule="atLeast"/>
              <w:jc w:val="center"/>
              <w:rPr>
                <w:sz w:val="18"/>
                <w:szCs w:val="18"/>
              </w:rPr>
            </w:pPr>
            <w:r>
              <w:rPr>
                <w:sz w:val="18"/>
                <w:szCs w:val="18"/>
              </w:rPr>
              <w:t>耐洗刷性</w:t>
            </w:r>
          </w:p>
        </w:tc>
        <w:tc>
          <w:tcPr>
            <w:tcW w:w="2457" w:type="dxa"/>
            <w:vAlign w:val="center"/>
          </w:tcPr>
          <w:p>
            <w:pPr>
              <w:spacing w:line="240" w:lineRule="atLeast"/>
              <w:jc w:val="center"/>
              <w:rPr>
                <w:sz w:val="18"/>
                <w:szCs w:val="18"/>
              </w:rPr>
            </w:pPr>
            <w:r>
              <w:rPr>
                <w:sz w:val="18"/>
                <w:szCs w:val="18"/>
              </w:rPr>
              <w:t>GB/T 9755</w:t>
            </w:r>
            <w:r>
              <w:rPr>
                <w:rFonts w:hint="eastAsia"/>
                <w:sz w:val="18"/>
                <w:szCs w:val="18"/>
              </w:rPr>
              <w:t>-2014</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建筑用防水涂料</w:t>
      </w:r>
    </w:p>
    <w:tbl>
      <w:tblPr>
        <w:tblStyle w:val="3"/>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较重要项</w:t>
            </w:r>
          </w:p>
        </w:tc>
        <w:tc>
          <w:tcPr>
            <w:tcW w:w="601"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1</w:t>
            </w:r>
          </w:p>
        </w:tc>
        <w:tc>
          <w:tcPr>
            <w:tcW w:w="2706" w:type="dxa"/>
            <w:vAlign w:val="center"/>
          </w:tcPr>
          <w:p>
            <w:pPr>
              <w:spacing w:line="240" w:lineRule="atLeast"/>
              <w:jc w:val="center"/>
              <w:rPr>
                <w:sz w:val="18"/>
                <w:szCs w:val="18"/>
              </w:rPr>
            </w:pPr>
            <w:r>
              <w:rPr>
                <w:rFonts w:hint="eastAsia"/>
                <w:sz w:val="18"/>
                <w:szCs w:val="18"/>
              </w:rPr>
              <w:t>挥发性有机化合物(VOC)</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2</w:t>
            </w:r>
          </w:p>
        </w:tc>
        <w:tc>
          <w:tcPr>
            <w:tcW w:w="2706" w:type="dxa"/>
            <w:vAlign w:val="center"/>
          </w:tcPr>
          <w:p>
            <w:pPr>
              <w:spacing w:line="240" w:lineRule="atLeast"/>
              <w:jc w:val="center"/>
              <w:rPr>
                <w:sz w:val="18"/>
                <w:szCs w:val="18"/>
              </w:rPr>
            </w:pPr>
            <w:r>
              <w:rPr>
                <w:rFonts w:hint="eastAsia"/>
                <w:sz w:val="18"/>
                <w:szCs w:val="18"/>
              </w:rPr>
              <w:t>游离甲醛（水性）</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3</w:t>
            </w:r>
          </w:p>
        </w:tc>
        <w:tc>
          <w:tcPr>
            <w:tcW w:w="2706" w:type="dxa"/>
            <w:vAlign w:val="center"/>
          </w:tcPr>
          <w:p>
            <w:pPr>
              <w:spacing w:line="240" w:lineRule="atLeast"/>
              <w:jc w:val="center"/>
              <w:rPr>
                <w:sz w:val="18"/>
                <w:szCs w:val="18"/>
              </w:rPr>
            </w:pPr>
            <w:r>
              <w:rPr>
                <w:rFonts w:hint="eastAsia"/>
                <w:sz w:val="18"/>
                <w:szCs w:val="18"/>
              </w:rPr>
              <w:t>苯（反应型、溶剂型）</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4</w:t>
            </w:r>
          </w:p>
        </w:tc>
        <w:tc>
          <w:tcPr>
            <w:tcW w:w="2706" w:type="dxa"/>
            <w:vAlign w:val="center"/>
          </w:tcPr>
          <w:p>
            <w:pPr>
              <w:spacing w:line="240" w:lineRule="atLeast"/>
              <w:jc w:val="center"/>
              <w:rPr>
                <w:sz w:val="18"/>
                <w:szCs w:val="18"/>
              </w:rPr>
            </w:pPr>
            <w:r>
              <w:rPr>
                <w:rFonts w:hint="eastAsia"/>
                <w:sz w:val="18"/>
                <w:szCs w:val="18"/>
              </w:rPr>
              <w:t>甲苯+乙苯+二甲苯（反应型、溶剂型）</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5</w:t>
            </w:r>
          </w:p>
        </w:tc>
        <w:tc>
          <w:tcPr>
            <w:tcW w:w="2706" w:type="dxa"/>
            <w:vAlign w:val="center"/>
          </w:tcPr>
          <w:p>
            <w:pPr>
              <w:spacing w:line="240" w:lineRule="atLeast"/>
              <w:jc w:val="center"/>
              <w:rPr>
                <w:sz w:val="18"/>
                <w:szCs w:val="18"/>
              </w:rPr>
            </w:pPr>
            <w:r>
              <w:rPr>
                <w:rFonts w:hint="eastAsia"/>
                <w:sz w:val="18"/>
                <w:szCs w:val="18"/>
              </w:rPr>
              <w:t>苯、甲苯、乙苯和二甲苯总和（水性）</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6</w:t>
            </w:r>
          </w:p>
        </w:tc>
        <w:tc>
          <w:tcPr>
            <w:tcW w:w="2706" w:type="dxa"/>
            <w:vAlign w:val="center"/>
          </w:tcPr>
          <w:p>
            <w:pPr>
              <w:spacing w:line="240" w:lineRule="atLeast"/>
              <w:jc w:val="center"/>
              <w:rPr>
                <w:sz w:val="18"/>
                <w:szCs w:val="18"/>
              </w:rPr>
            </w:pPr>
            <w:r>
              <w:rPr>
                <w:rFonts w:hint="eastAsia"/>
                <w:sz w:val="18"/>
                <w:szCs w:val="18"/>
              </w:rPr>
              <w:t>苯酚（反应型、溶剂型）</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7</w:t>
            </w:r>
          </w:p>
        </w:tc>
        <w:tc>
          <w:tcPr>
            <w:tcW w:w="2706" w:type="dxa"/>
            <w:vAlign w:val="center"/>
          </w:tcPr>
          <w:p>
            <w:pPr>
              <w:spacing w:line="240" w:lineRule="atLeast"/>
              <w:jc w:val="center"/>
              <w:rPr>
                <w:sz w:val="18"/>
                <w:szCs w:val="18"/>
              </w:rPr>
            </w:pPr>
            <w:r>
              <w:rPr>
                <w:rFonts w:hint="eastAsia"/>
                <w:sz w:val="18"/>
                <w:szCs w:val="18"/>
              </w:rPr>
              <w:t>蒽（反应型、溶剂型）</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8</w:t>
            </w:r>
          </w:p>
        </w:tc>
        <w:tc>
          <w:tcPr>
            <w:tcW w:w="2706" w:type="dxa"/>
            <w:vAlign w:val="center"/>
          </w:tcPr>
          <w:p>
            <w:pPr>
              <w:spacing w:line="240" w:lineRule="atLeast"/>
              <w:jc w:val="center"/>
              <w:rPr>
                <w:sz w:val="18"/>
                <w:szCs w:val="18"/>
              </w:rPr>
            </w:pPr>
            <w:r>
              <w:rPr>
                <w:rFonts w:hint="eastAsia"/>
                <w:sz w:val="18"/>
                <w:szCs w:val="18"/>
              </w:rPr>
              <w:t>萘（反应型、溶剂型）</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9</w:t>
            </w:r>
          </w:p>
        </w:tc>
        <w:tc>
          <w:tcPr>
            <w:tcW w:w="2706" w:type="dxa"/>
            <w:vAlign w:val="center"/>
          </w:tcPr>
          <w:p>
            <w:pPr>
              <w:spacing w:line="240" w:lineRule="atLeast"/>
              <w:jc w:val="center"/>
              <w:rPr>
                <w:sz w:val="18"/>
                <w:szCs w:val="18"/>
              </w:rPr>
            </w:pPr>
            <w:r>
              <w:rPr>
                <w:rFonts w:hint="eastAsia"/>
                <w:sz w:val="18"/>
                <w:szCs w:val="18"/>
              </w:rPr>
              <w:t>游离TDI（限聚氨酯类）</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10</w:t>
            </w:r>
          </w:p>
        </w:tc>
        <w:tc>
          <w:tcPr>
            <w:tcW w:w="2706" w:type="dxa"/>
            <w:vAlign w:val="center"/>
          </w:tcPr>
          <w:p>
            <w:pPr>
              <w:spacing w:line="240" w:lineRule="atLeast"/>
              <w:jc w:val="center"/>
              <w:rPr>
                <w:sz w:val="18"/>
                <w:szCs w:val="18"/>
              </w:rPr>
            </w:pPr>
            <w:r>
              <w:rPr>
                <w:rFonts w:hint="eastAsia"/>
                <w:sz w:val="18"/>
                <w:szCs w:val="18"/>
              </w:rPr>
              <w:t>氨（水性）</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11</w:t>
            </w:r>
          </w:p>
        </w:tc>
        <w:tc>
          <w:tcPr>
            <w:tcW w:w="2706" w:type="dxa"/>
            <w:vAlign w:val="center"/>
          </w:tcPr>
          <w:p>
            <w:pPr>
              <w:spacing w:line="240" w:lineRule="atLeast"/>
              <w:jc w:val="center"/>
              <w:rPr>
                <w:sz w:val="18"/>
                <w:szCs w:val="18"/>
              </w:rPr>
            </w:pPr>
            <w:r>
              <w:rPr>
                <w:sz w:val="18"/>
                <w:szCs w:val="18"/>
              </w:rPr>
              <w:t>可溶性铅</w:t>
            </w:r>
            <w:r>
              <w:rPr>
                <w:rFonts w:hint="eastAsia"/>
                <w:sz w:val="18"/>
                <w:szCs w:val="18"/>
              </w:rPr>
              <w:t>（非</w:t>
            </w:r>
            <w:r>
              <w:rPr>
                <w:sz w:val="18"/>
                <w:szCs w:val="18"/>
              </w:rPr>
              <w:t>无色、白色、黑色</w:t>
            </w:r>
            <w:r>
              <w:rPr>
                <w:rFonts w:hint="eastAsia"/>
                <w:sz w:val="18"/>
                <w:szCs w:val="18"/>
              </w:rPr>
              <w:t>防水涂料）</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12</w:t>
            </w:r>
          </w:p>
        </w:tc>
        <w:tc>
          <w:tcPr>
            <w:tcW w:w="2706" w:type="dxa"/>
            <w:vAlign w:val="center"/>
          </w:tcPr>
          <w:p>
            <w:pPr>
              <w:spacing w:line="240" w:lineRule="atLeast"/>
              <w:jc w:val="center"/>
              <w:rPr>
                <w:sz w:val="18"/>
                <w:szCs w:val="18"/>
              </w:rPr>
            </w:pPr>
            <w:r>
              <w:rPr>
                <w:sz w:val="18"/>
                <w:szCs w:val="18"/>
              </w:rPr>
              <w:t>可溶性镉</w:t>
            </w:r>
            <w:r>
              <w:rPr>
                <w:rFonts w:hint="eastAsia"/>
                <w:sz w:val="18"/>
                <w:szCs w:val="18"/>
              </w:rPr>
              <w:t>（非</w:t>
            </w:r>
            <w:r>
              <w:rPr>
                <w:sz w:val="18"/>
                <w:szCs w:val="18"/>
              </w:rPr>
              <w:t>无色、白色、黑色</w:t>
            </w:r>
            <w:r>
              <w:rPr>
                <w:rFonts w:hint="eastAsia"/>
                <w:sz w:val="18"/>
                <w:szCs w:val="18"/>
              </w:rPr>
              <w:t>防水涂料）</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13</w:t>
            </w:r>
          </w:p>
        </w:tc>
        <w:tc>
          <w:tcPr>
            <w:tcW w:w="2706" w:type="dxa"/>
            <w:vAlign w:val="center"/>
          </w:tcPr>
          <w:p>
            <w:pPr>
              <w:spacing w:line="240" w:lineRule="atLeast"/>
              <w:jc w:val="center"/>
              <w:rPr>
                <w:sz w:val="18"/>
                <w:szCs w:val="18"/>
              </w:rPr>
            </w:pPr>
            <w:r>
              <w:rPr>
                <w:sz w:val="18"/>
                <w:szCs w:val="18"/>
              </w:rPr>
              <w:t>可溶性铬</w:t>
            </w:r>
            <w:r>
              <w:rPr>
                <w:rFonts w:hint="eastAsia"/>
                <w:sz w:val="18"/>
                <w:szCs w:val="18"/>
              </w:rPr>
              <w:t>（非</w:t>
            </w:r>
            <w:r>
              <w:rPr>
                <w:sz w:val="18"/>
                <w:szCs w:val="18"/>
              </w:rPr>
              <w:t>无色、白色、黑色</w:t>
            </w:r>
            <w:r>
              <w:rPr>
                <w:rFonts w:hint="eastAsia"/>
                <w:sz w:val="18"/>
                <w:szCs w:val="18"/>
              </w:rPr>
              <w:t>防水涂料）</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rFonts w:hint="eastAsia"/>
                <w:sz w:val="18"/>
                <w:szCs w:val="18"/>
              </w:rPr>
              <w:t>14</w:t>
            </w:r>
          </w:p>
        </w:tc>
        <w:tc>
          <w:tcPr>
            <w:tcW w:w="2706" w:type="dxa"/>
            <w:vAlign w:val="center"/>
          </w:tcPr>
          <w:p>
            <w:pPr>
              <w:spacing w:line="240" w:lineRule="atLeast"/>
              <w:jc w:val="center"/>
              <w:rPr>
                <w:sz w:val="18"/>
                <w:szCs w:val="18"/>
              </w:rPr>
            </w:pPr>
            <w:r>
              <w:rPr>
                <w:sz w:val="18"/>
                <w:szCs w:val="18"/>
              </w:rPr>
              <w:t>可溶性汞</w:t>
            </w:r>
            <w:r>
              <w:rPr>
                <w:rFonts w:hint="eastAsia"/>
                <w:sz w:val="18"/>
                <w:szCs w:val="18"/>
              </w:rPr>
              <w:t>（非</w:t>
            </w:r>
            <w:r>
              <w:rPr>
                <w:sz w:val="18"/>
                <w:szCs w:val="18"/>
              </w:rPr>
              <w:t>无色、白色、黑色</w:t>
            </w:r>
            <w:r>
              <w:rPr>
                <w:rFonts w:hint="eastAsia"/>
                <w:sz w:val="18"/>
                <w:szCs w:val="18"/>
              </w:rPr>
              <w:t>防水涂料）</w:t>
            </w:r>
          </w:p>
        </w:tc>
        <w:tc>
          <w:tcPr>
            <w:tcW w:w="2457" w:type="dxa"/>
            <w:vAlign w:val="center"/>
          </w:tcPr>
          <w:p>
            <w:pPr>
              <w:spacing w:line="240" w:lineRule="atLeast"/>
              <w:jc w:val="center"/>
              <w:rPr>
                <w:sz w:val="18"/>
                <w:szCs w:val="18"/>
              </w:rPr>
            </w:pPr>
            <w:r>
              <w:rPr>
                <w:sz w:val="18"/>
                <w:szCs w:val="18"/>
              </w:rPr>
              <w:t>JC 1066-2008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水性木器涂料</w:t>
      </w:r>
    </w:p>
    <w:tbl>
      <w:tblPr>
        <w:tblStyle w:val="3"/>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较重要项</w:t>
            </w:r>
          </w:p>
        </w:tc>
        <w:tc>
          <w:tcPr>
            <w:tcW w:w="601"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1</w:t>
            </w:r>
          </w:p>
        </w:tc>
        <w:tc>
          <w:tcPr>
            <w:tcW w:w="2706" w:type="dxa"/>
            <w:vAlign w:val="center"/>
          </w:tcPr>
          <w:p>
            <w:pPr>
              <w:spacing w:line="240" w:lineRule="atLeast"/>
              <w:jc w:val="center"/>
              <w:rPr>
                <w:sz w:val="18"/>
                <w:szCs w:val="18"/>
              </w:rPr>
            </w:pPr>
            <w:r>
              <w:rPr>
                <w:sz w:val="18"/>
                <w:szCs w:val="18"/>
              </w:rPr>
              <w:t>挥发性有机化合物含量</w:t>
            </w:r>
          </w:p>
        </w:tc>
        <w:tc>
          <w:tcPr>
            <w:tcW w:w="2457" w:type="dxa"/>
            <w:vAlign w:val="center"/>
          </w:tcPr>
          <w:p>
            <w:pPr>
              <w:spacing w:line="240" w:lineRule="atLeast"/>
              <w:jc w:val="center"/>
              <w:rPr>
                <w:sz w:val="18"/>
                <w:szCs w:val="18"/>
              </w:rPr>
            </w:pPr>
            <w:r>
              <w:rPr>
                <w:sz w:val="18"/>
                <w:szCs w:val="18"/>
              </w:rPr>
              <w:t>GB 244</w:t>
            </w:r>
            <w:r>
              <w:rPr>
                <w:rFonts w:hint="eastAsia"/>
                <w:sz w:val="18"/>
                <w:szCs w:val="18"/>
              </w:rPr>
              <w:t>10-2009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p>
        </w:tc>
        <w:tc>
          <w:tcPr>
            <w:tcW w:w="2706" w:type="dxa"/>
            <w:vAlign w:val="center"/>
          </w:tcPr>
          <w:p>
            <w:pPr>
              <w:spacing w:line="240" w:lineRule="atLeast"/>
              <w:jc w:val="center"/>
              <w:rPr>
                <w:sz w:val="18"/>
                <w:szCs w:val="18"/>
              </w:rPr>
            </w:pPr>
            <w:r>
              <w:rPr>
                <w:rFonts w:hint="eastAsia" w:ascii="宋体" w:hAnsi="宋体" w:cs="宋体"/>
                <w:kern w:val="0"/>
                <w:sz w:val="18"/>
                <w:szCs w:val="18"/>
              </w:rPr>
              <w:t>苯系物含量（</w:t>
            </w:r>
            <w:r>
              <w:rPr>
                <w:rFonts w:hint="eastAsia"/>
                <w:sz w:val="18"/>
                <w:szCs w:val="18"/>
              </w:rPr>
              <w:t>苯、甲苯、乙苯和二甲苯总和</w:t>
            </w:r>
            <w:r>
              <w:rPr>
                <w:rFonts w:hint="eastAsia" w:ascii="宋体" w:hAnsi="宋体" w:cs="宋体"/>
                <w:kern w:val="0"/>
                <w:sz w:val="18"/>
                <w:szCs w:val="18"/>
              </w:rPr>
              <w:t>）</w:t>
            </w:r>
          </w:p>
        </w:tc>
        <w:tc>
          <w:tcPr>
            <w:tcW w:w="2457" w:type="dxa"/>
            <w:vAlign w:val="center"/>
          </w:tcPr>
          <w:p>
            <w:pPr>
              <w:spacing w:line="240" w:lineRule="atLeast"/>
              <w:jc w:val="center"/>
              <w:rPr>
                <w:sz w:val="18"/>
                <w:szCs w:val="18"/>
              </w:rPr>
            </w:pPr>
            <w:r>
              <w:rPr>
                <w:sz w:val="18"/>
                <w:szCs w:val="18"/>
              </w:rPr>
              <w:t>GB 244</w:t>
            </w:r>
            <w:r>
              <w:rPr>
                <w:rFonts w:hint="eastAsia"/>
                <w:sz w:val="18"/>
                <w:szCs w:val="18"/>
              </w:rPr>
              <w:t>10-2009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2</w:t>
            </w:r>
          </w:p>
        </w:tc>
        <w:tc>
          <w:tcPr>
            <w:tcW w:w="2706" w:type="dxa"/>
            <w:vAlign w:val="center"/>
          </w:tcPr>
          <w:p>
            <w:pPr>
              <w:spacing w:line="240" w:lineRule="atLeast"/>
              <w:jc w:val="center"/>
              <w:rPr>
                <w:sz w:val="18"/>
                <w:szCs w:val="18"/>
              </w:rPr>
            </w:pPr>
            <w:r>
              <w:rPr>
                <w:sz w:val="18"/>
                <w:szCs w:val="18"/>
              </w:rPr>
              <w:t>游离甲醛含量</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3</w:t>
            </w:r>
          </w:p>
        </w:tc>
        <w:tc>
          <w:tcPr>
            <w:tcW w:w="2706" w:type="dxa"/>
            <w:vAlign w:val="center"/>
          </w:tcPr>
          <w:p>
            <w:pPr>
              <w:spacing w:line="240" w:lineRule="atLeast"/>
              <w:jc w:val="center"/>
              <w:rPr>
                <w:sz w:val="18"/>
                <w:szCs w:val="18"/>
              </w:rPr>
            </w:pPr>
            <w:r>
              <w:rPr>
                <w:rFonts w:hint="eastAsia" w:ascii="宋体" w:hAnsi="宋体" w:cs="宋体"/>
                <w:kern w:val="0"/>
                <w:sz w:val="18"/>
                <w:szCs w:val="18"/>
              </w:rPr>
              <w:t>乙二醇醚及其酯类含量</w:t>
            </w:r>
            <w:r>
              <w:rPr>
                <w:sz w:val="18"/>
                <w:szCs w:val="18"/>
              </w:rPr>
              <w:t>(</w:t>
            </w:r>
            <w:r>
              <w:rPr>
                <w:rFonts w:ascii="Verdana" w:hAnsi="Verdana"/>
                <w:sz w:val="18"/>
                <w:szCs w:val="18"/>
              </w:rPr>
              <w:t>乙二醇甲醚、乙二醇甲醚醋酸酯、乙二醇乙醚、乙二醇乙醚醋酸</w:t>
            </w:r>
            <w:r>
              <w:rPr>
                <w:rFonts w:hint="eastAsia" w:ascii="Verdana" w:hAnsi="Verdana"/>
                <w:sz w:val="18"/>
                <w:szCs w:val="18"/>
              </w:rPr>
              <w:t>酯</w:t>
            </w:r>
            <w:r>
              <w:rPr>
                <w:rFonts w:ascii="Verdana" w:hAnsi="Verdana"/>
                <w:sz w:val="18"/>
                <w:szCs w:val="18"/>
              </w:rPr>
              <w:t>，二乙二醇丁醚醋酸酯总和</w:t>
            </w:r>
            <w:r>
              <w:rPr>
                <w:sz w:val="18"/>
                <w:szCs w:val="18"/>
              </w:rPr>
              <w:t>)</w:t>
            </w:r>
          </w:p>
        </w:tc>
        <w:tc>
          <w:tcPr>
            <w:tcW w:w="2457" w:type="dxa"/>
            <w:vAlign w:val="center"/>
          </w:tcPr>
          <w:p>
            <w:pPr>
              <w:spacing w:line="240" w:lineRule="atLeast"/>
              <w:jc w:val="center"/>
              <w:rPr>
                <w:sz w:val="18"/>
                <w:szCs w:val="18"/>
              </w:rPr>
            </w:pPr>
            <w:r>
              <w:rPr>
                <w:sz w:val="18"/>
                <w:szCs w:val="18"/>
              </w:rPr>
              <w:t>GB 244</w:t>
            </w:r>
            <w:r>
              <w:rPr>
                <w:rFonts w:hint="eastAsia"/>
                <w:sz w:val="18"/>
                <w:szCs w:val="18"/>
              </w:rPr>
              <w:t>10-2009</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4</w:t>
            </w:r>
          </w:p>
        </w:tc>
        <w:tc>
          <w:tcPr>
            <w:tcW w:w="2706" w:type="dxa"/>
            <w:vAlign w:val="center"/>
          </w:tcPr>
          <w:p>
            <w:pPr>
              <w:spacing w:line="240" w:lineRule="atLeast"/>
              <w:jc w:val="center"/>
              <w:rPr>
                <w:sz w:val="18"/>
                <w:szCs w:val="18"/>
              </w:rPr>
            </w:pPr>
            <w:r>
              <w:rPr>
                <w:sz w:val="18"/>
                <w:szCs w:val="18"/>
              </w:rPr>
              <w:t>铅</w:t>
            </w:r>
            <w:r>
              <w:rPr>
                <w:rFonts w:hint="eastAsia"/>
                <w:sz w:val="18"/>
                <w:szCs w:val="18"/>
              </w:rPr>
              <w:t>（限色漆和腻子）</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5</w:t>
            </w:r>
          </w:p>
        </w:tc>
        <w:tc>
          <w:tcPr>
            <w:tcW w:w="2706" w:type="dxa"/>
            <w:vAlign w:val="center"/>
          </w:tcPr>
          <w:p>
            <w:pPr>
              <w:spacing w:line="240" w:lineRule="atLeast"/>
              <w:jc w:val="center"/>
              <w:rPr>
                <w:sz w:val="18"/>
                <w:szCs w:val="18"/>
              </w:rPr>
            </w:pPr>
            <w:r>
              <w:rPr>
                <w:sz w:val="18"/>
                <w:szCs w:val="18"/>
              </w:rPr>
              <w:t>镉</w:t>
            </w:r>
            <w:r>
              <w:rPr>
                <w:rFonts w:hint="eastAsia"/>
                <w:sz w:val="18"/>
                <w:szCs w:val="18"/>
              </w:rPr>
              <w:t>（限色漆和腻子）</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6</w:t>
            </w:r>
          </w:p>
        </w:tc>
        <w:tc>
          <w:tcPr>
            <w:tcW w:w="2706" w:type="dxa"/>
            <w:vAlign w:val="center"/>
          </w:tcPr>
          <w:p>
            <w:pPr>
              <w:spacing w:line="240" w:lineRule="atLeast"/>
              <w:jc w:val="center"/>
              <w:rPr>
                <w:sz w:val="18"/>
                <w:szCs w:val="18"/>
              </w:rPr>
            </w:pPr>
            <w:r>
              <w:rPr>
                <w:sz w:val="18"/>
                <w:szCs w:val="18"/>
              </w:rPr>
              <w:t>铬</w:t>
            </w:r>
            <w:r>
              <w:rPr>
                <w:rFonts w:hint="eastAsia"/>
                <w:sz w:val="18"/>
                <w:szCs w:val="18"/>
              </w:rPr>
              <w:t>（限色漆和腻子）</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81" w:type="dxa"/>
            <w:vAlign w:val="center"/>
          </w:tcPr>
          <w:p>
            <w:pPr>
              <w:spacing w:line="240" w:lineRule="atLeast"/>
              <w:jc w:val="center"/>
              <w:rPr>
                <w:sz w:val="18"/>
                <w:szCs w:val="18"/>
              </w:rPr>
            </w:pPr>
            <w:r>
              <w:rPr>
                <w:sz w:val="18"/>
                <w:szCs w:val="18"/>
              </w:rPr>
              <w:t>7</w:t>
            </w:r>
          </w:p>
        </w:tc>
        <w:tc>
          <w:tcPr>
            <w:tcW w:w="2706" w:type="dxa"/>
            <w:vAlign w:val="center"/>
          </w:tcPr>
          <w:p>
            <w:pPr>
              <w:spacing w:line="240" w:lineRule="atLeast"/>
              <w:jc w:val="center"/>
              <w:rPr>
                <w:sz w:val="18"/>
                <w:szCs w:val="18"/>
              </w:rPr>
            </w:pPr>
            <w:r>
              <w:rPr>
                <w:sz w:val="18"/>
                <w:szCs w:val="18"/>
              </w:rPr>
              <w:t>汞</w:t>
            </w:r>
            <w:r>
              <w:rPr>
                <w:rFonts w:hint="eastAsia"/>
                <w:sz w:val="18"/>
                <w:szCs w:val="18"/>
              </w:rPr>
              <w:t>（限色漆和腻子）</w:t>
            </w:r>
          </w:p>
        </w:tc>
        <w:tc>
          <w:tcPr>
            <w:tcW w:w="2457" w:type="dxa"/>
            <w:vAlign w:val="center"/>
          </w:tcPr>
          <w:p>
            <w:pPr>
              <w:spacing w:line="240" w:lineRule="atLeast"/>
              <w:jc w:val="center"/>
              <w:rPr>
                <w:sz w:val="18"/>
                <w:szCs w:val="18"/>
              </w:rPr>
            </w:pPr>
            <w:r>
              <w:rPr>
                <w:sz w:val="18"/>
                <w:szCs w:val="18"/>
              </w:rPr>
              <w:t>GB 18582</w:t>
            </w:r>
            <w:r>
              <w:rPr>
                <w:rFonts w:hint="eastAsia"/>
                <w:sz w:val="18"/>
                <w:szCs w:val="18"/>
              </w:rPr>
              <w:t>-2008</w:t>
            </w: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r>
              <w:rPr>
                <w:sz w:val="18"/>
                <w:szCs w:val="18"/>
              </w:rPr>
              <w:t>●</w:t>
            </w:r>
          </w:p>
        </w:tc>
        <w:tc>
          <w:tcPr>
            <w:tcW w:w="601" w:type="dxa"/>
            <w:vAlign w:val="center"/>
          </w:tcPr>
          <w:p>
            <w:pPr>
              <w:spacing w:line="240" w:lineRule="atLeast"/>
              <w:jc w:val="center"/>
              <w:rPr>
                <w:sz w:val="18"/>
                <w:szCs w:val="18"/>
              </w:rPr>
            </w:pPr>
          </w:p>
        </w:tc>
        <w:tc>
          <w:tcPr>
            <w:tcW w:w="601" w:type="dxa"/>
            <w:vAlign w:val="center"/>
          </w:tcPr>
          <w:p>
            <w:pPr>
              <w:spacing w:line="240" w:lineRule="atLeast"/>
              <w:jc w:val="center"/>
              <w:rPr>
                <w:sz w:val="18"/>
                <w:szCs w:val="18"/>
              </w:rPr>
            </w:pPr>
          </w:p>
        </w:tc>
      </w:tr>
    </w:tbl>
    <w:p>
      <w:pPr>
        <w:spacing w:line="600" w:lineRule="exact"/>
        <w:ind w:firstLine="640" w:firstLineChars="200"/>
        <w:rPr>
          <w:szCs w:val="32"/>
        </w:rPr>
      </w:pPr>
      <w:r>
        <w:rPr>
          <w:szCs w:val="32"/>
        </w:rPr>
        <w:t>当产品存在重要项不合格时属于严重不合格。</w:t>
      </w:r>
    </w:p>
    <w:p>
      <w:pPr>
        <w:ind w:firstLine="640" w:firstLineChars="200"/>
        <w:rPr>
          <w:szCs w:val="32"/>
        </w:rPr>
      </w:pPr>
      <w:r>
        <w:rPr>
          <w:rFonts w:hint="eastAsia" w:eastAsia="楷体_GB2312"/>
          <w:szCs w:val="32"/>
        </w:rPr>
        <w:t>（二）</w:t>
      </w:r>
      <w:r>
        <w:rPr>
          <w:rFonts w:eastAsia="楷体_GB2312"/>
          <w:szCs w:val="32"/>
        </w:rPr>
        <w:t>内在质量计量型项目的规范限及不合格划分表。</w:t>
      </w:r>
    </w:p>
    <w:p>
      <w:pPr>
        <w:spacing w:line="560" w:lineRule="exact"/>
        <w:ind w:firstLine="640" w:firstLineChars="200"/>
        <w:rPr>
          <w:rFonts w:eastAsia="楷体_GB2312"/>
          <w:szCs w:val="32"/>
        </w:rPr>
      </w:pPr>
      <w:r>
        <w:rPr>
          <w:rFonts w:hint="eastAsia" w:eastAsia="楷体_GB2312"/>
          <w:szCs w:val="32"/>
        </w:rPr>
        <w:t>1</w:t>
      </w:r>
      <w:r>
        <w:rPr>
          <w:rFonts w:hint="eastAsia" w:eastAsia="楷体_GB2312"/>
          <w:szCs w:val="32"/>
          <w:lang w:eastAsia="zh-CN"/>
        </w:rPr>
        <w:t>．</w:t>
      </w:r>
      <w:r>
        <w:rPr>
          <w:rFonts w:hint="eastAsia" w:eastAsia="楷体_GB2312"/>
          <w:szCs w:val="32"/>
        </w:rPr>
        <w:t>溶剂型木器涂料</w:t>
      </w:r>
    </w:p>
    <w:tbl>
      <w:tblPr>
        <w:tblStyle w:val="3"/>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332"/>
        <w:gridCol w:w="1782"/>
        <w:gridCol w:w="1908"/>
        <w:gridCol w:w="786"/>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检验项目</w:t>
            </w:r>
          </w:p>
        </w:tc>
        <w:tc>
          <w:tcPr>
            <w:tcW w:w="17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标准要求</w:t>
            </w:r>
          </w:p>
        </w:tc>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样本合格</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轻微不合格</w:t>
            </w:r>
          </w:p>
        </w:tc>
        <w:tc>
          <w:tcPr>
            <w:tcW w:w="85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较严重不合格</w:t>
            </w:r>
          </w:p>
        </w:tc>
        <w:tc>
          <w:tcPr>
            <w:tcW w:w="1843"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1</w:t>
            </w:r>
          </w:p>
        </w:tc>
        <w:tc>
          <w:tcPr>
            <w:tcW w:w="1332" w:type="dxa"/>
            <w:vAlign w:val="center"/>
          </w:tcPr>
          <w:p>
            <w:pPr>
              <w:adjustRightInd w:val="0"/>
              <w:snapToGrid w:val="0"/>
              <w:spacing w:line="240" w:lineRule="atLeast"/>
              <w:jc w:val="center"/>
              <w:rPr>
                <w:sz w:val="18"/>
                <w:szCs w:val="18"/>
              </w:rPr>
            </w:pPr>
            <w:r>
              <w:rPr>
                <w:sz w:val="18"/>
                <w:szCs w:val="18"/>
              </w:rPr>
              <w:t>挥发性有机化合物(VOC)含量</w:t>
            </w:r>
          </w:p>
        </w:tc>
        <w:tc>
          <w:tcPr>
            <w:tcW w:w="1782" w:type="dxa"/>
            <w:vAlign w:val="center"/>
          </w:tcPr>
          <w:p>
            <w:pPr>
              <w:adjustRightInd w:val="0"/>
              <w:spacing w:line="240" w:lineRule="atLeast"/>
              <w:jc w:val="center"/>
              <w:rPr>
                <w:sz w:val="18"/>
                <w:szCs w:val="18"/>
              </w:rPr>
            </w:pPr>
            <w:r>
              <w:rPr>
                <w:sz w:val="18"/>
                <w:szCs w:val="18"/>
              </w:rPr>
              <w:t>聚氨酯类涂料面漆：</w:t>
            </w:r>
          </w:p>
          <w:p>
            <w:pPr>
              <w:adjustRightInd w:val="0"/>
              <w:spacing w:line="240" w:lineRule="atLeast"/>
              <w:jc w:val="center"/>
              <w:rPr>
                <w:sz w:val="18"/>
                <w:szCs w:val="18"/>
              </w:rPr>
            </w:pPr>
            <w:r>
              <w:rPr>
                <w:sz w:val="18"/>
                <w:szCs w:val="18"/>
              </w:rPr>
              <w:t>光泽（60°）</w:t>
            </w:r>
            <w:r>
              <w:rPr>
                <w:rFonts w:hint="eastAsia"/>
                <w:sz w:val="18"/>
                <w:szCs w:val="18"/>
              </w:rPr>
              <w:t>≥</w:t>
            </w:r>
            <w:r>
              <w:rPr>
                <w:sz w:val="18"/>
                <w:szCs w:val="18"/>
              </w:rPr>
              <w:t>80，</w:t>
            </w:r>
            <w:r>
              <w:rPr>
                <w:rFonts w:hint="eastAsia"/>
                <w:sz w:val="18"/>
                <w:szCs w:val="18"/>
              </w:rPr>
              <w:t>≤</w:t>
            </w:r>
            <w:r>
              <w:rPr>
                <w:sz w:val="18"/>
                <w:szCs w:val="18"/>
              </w:rPr>
              <w:t>580g/L</w:t>
            </w:r>
          </w:p>
          <w:p>
            <w:pPr>
              <w:adjustRightInd w:val="0"/>
              <w:spacing w:line="240" w:lineRule="atLeast"/>
              <w:jc w:val="center"/>
              <w:rPr>
                <w:sz w:val="18"/>
                <w:szCs w:val="18"/>
              </w:rPr>
            </w:pPr>
            <w:r>
              <w:rPr>
                <w:sz w:val="18"/>
                <w:szCs w:val="18"/>
              </w:rPr>
              <w:t>光泽（60°）＜80，</w:t>
            </w:r>
            <w:r>
              <w:rPr>
                <w:rFonts w:hint="eastAsia"/>
                <w:sz w:val="18"/>
                <w:szCs w:val="18"/>
              </w:rPr>
              <w:t>≤</w:t>
            </w:r>
            <w:r>
              <w:rPr>
                <w:sz w:val="18"/>
                <w:szCs w:val="18"/>
              </w:rPr>
              <w:t>670g/L</w:t>
            </w:r>
          </w:p>
          <w:p>
            <w:pPr>
              <w:adjustRightInd w:val="0"/>
              <w:spacing w:line="240" w:lineRule="atLeast"/>
              <w:jc w:val="center"/>
              <w:rPr>
                <w:sz w:val="18"/>
                <w:szCs w:val="18"/>
              </w:rPr>
            </w:pPr>
            <w:r>
              <w:rPr>
                <w:sz w:val="18"/>
                <w:szCs w:val="18"/>
              </w:rPr>
              <w:t>聚氨酯类涂料底漆：</w:t>
            </w:r>
          </w:p>
          <w:p>
            <w:pPr>
              <w:adjustRightInd w:val="0"/>
              <w:spacing w:line="240" w:lineRule="atLeast"/>
              <w:jc w:val="center"/>
              <w:rPr>
                <w:sz w:val="18"/>
                <w:szCs w:val="18"/>
              </w:rPr>
            </w:pPr>
            <w:r>
              <w:rPr>
                <w:rFonts w:hint="eastAsia"/>
                <w:sz w:val="18"/>
                <w:szCs w:val="18"/>
              </w:rPr>
              <w:t>≤</w:t>
            </w:r>
            <w:r>
              <w:rPr>
                <w:sz w:val="18"/>
                <w:szCs w:val="18"/>
              </w:rPr>
              <w:t>670g/L</w:t>
            </w:r>
          </w:p>
          <w:p>
            <w:pPr>
              <w:adjustRightInd w:val="0"/>
              <w:spacing w:line="240" w:lineRule="atLeast"/>
              <w:jc w:val="center"/>
              <w:rPr>
                <w:sz w:val="18"/>
                <w:szCs w:val="18"/>
              </w:rPr>
            </w:pPr>
            <w:r>
              <w:rPr>
                <w:sz w:val="18"/>
                <w:szCs w:val="18"/>
              </w:rPr>
              <w:t>硝基类涂料：</w:t>
            </w:r>
            <w:r>
              <w:rPr>
                <w:rFonts w:hint="eastAsia"/>
                <w:sz w:val="18"/>
                <w:szCs w:val="18"/>
              </w:rPr>
              <w:t>≤</w:t>
            </w:r>
            <w:r>
              <w:rPr>
                <w:sz w:val="18"/>
                <w:szCs w:val="18"/>
              </w:rPr>
              <w:t>720g/L</w:t>
            </w:r>
          </w:p>
          <w:p>
            <w:pPr>
              <w:adjustRightInd w:val="0"/>
              <w:spacing w:line="240" w:lineRule="atLeast"/>
              <w:jc w:val="center"/>
              <w:rPr>
                <w:sz w:val="18"/>
                <w:szCs w:val="18"/>
              </w:rPr>
            </w:pPr>
            <w:r>
              <w:rPr>
                <w:sz w:val="18"/>
                <w:szCs w:val="18"/>
              </w:rPr>
              <w:t>醇酸类涂料：</w:t>
            </w:r>
            <w:r>
              <w:rPr>
                <w:rFonts w:hint="eastAsia"/>
                <w:sz w:val="18"/>
                <w:szCs w:val="18"/>
              </w:rPr>
              <w:t>≤</w:t>
            </w:r>
            <w:r>
              <w:rPr>
                <w:sz w:val="18"/>
                <w:szCs w:val="18"/>
              </w:rPr>
              <w:t>500g/L</w:t>
            </w:r>
          </w:p>
          <w:p>
            <w:pPr>
              <w:adjustRightInd w:val="0"/>
              <w:spacing w:line="240" w:lineRule="atLeast"/>
              <w:jc w:val="center"/>
              <w:rPr>
                <w:sz w:val="18"/>
                <w:szCs w:val="18"/>
              </w:rPr>
            </w:pPr>
            <w:r>
              <w:rPr>
                <w:sz w:val="18"/>
                <w:szCs w:val="18"/>
              </w:rPr>
              <w:t>腻子：</w:t>
            </w:r>
          </w:p>
          <w:p>
            <w:pPr>
              <w:adjustRightInd w:val="0"/>
              <w:spacing w:line="240" w:lineRule="atLeast"/>
              <w:jc w:val="center"/>
              <w:rPr>
                <w:sz w:val="18"/>
                <w:szCs w:val="18"/>
              </w:rPr>
            </w:pPr>
            <w:r>
              <w:rPr>
                <w:rFonts w:hint="eastAsia"/>
                <w:sz w:val="18"/>
                <w:szCs w:val="18"/>
              </w:rPr>
              <w:t>≤</w:t>
            </w:r>
            <w:r>
              <w:rPr>
                <w:sz w:val="18"/>
                <w:szCs w:val="18"/>
              </w:rPr>
              <w:t>550g/L</w:t>
            </w:r>
          </w:p>
        </w:tc>
        <w:tc>
          <w:tcPr>
            <w:tcW w:w="1908" w:type="dxa"/>
            <w:vAlign w:val="center"/>
          </w:tcPr>
          <w:p>
            <w:pPr>
              <w:adjustRightInd w:val="0"/>
              <w:spacing w:line="240" w:lineRule="atLeast"/>
              <w:jc w:val="center"/>
              <w:rPr>
                <w:sz w:val="18"/>
                <w:szCs w:val="18"/>
              </w:rPr>
            </w:pPr>
            <w:r>
              <w:rPr>
                <w:sz w:val="18"/>
                <w:szCs w:val="18"/>
              </w:rPr>
              <w:t>聚氨酯类涂料面漆：</w:t>
            </w:r>
          </w:p>
          <w:p>
            <w:pPr>
              <w:adjustRightInd w:val="0"/>
              <w:spacing w:line="240" w:lineRule="atLeast"/>
              <w:jc w:val="center"/>
              <w:rPr>
                <w:sz w:val="18"/>
                <w:szCs w:val="18"/>
              </w:rPr>
            </w:pPr>
            <w:r>
              <w:rPr>
                <w:sz w:val="18"/>
                <w:szCs w:val="18"/>
              </w:rPr>
              <w:t>光泽（60°）</w:t>
            </w:r>
            <w:r>
              <w:rPr>
                <w:rFonts w:hint="eastAsia"/>
                <w:sz w:val="18"/>
                <w:szCs w:val="18"/>
              </w:rPr>
              <w:t>≥</w:t>
            </w:r>
            <w:r>
              <w:rPr>
                <w:sz w:val="18"/>
                <w:szCs w:val="18"/>
              </w:rPr>
              <w:t>80，</w:t>
            </w:r>
            <w:r>
              <w:rPr>
                <w:rFonts w:hint="eastAsia"/>
                <w:sz w:val="18"/>
                <w:szCs w:val="18"/>
              </w:rPr>
              <w:t>≤</w:t>
            </w:r>
            <w:r>
              <w:rPr>
                <w:sz w:val="18"/>
                <w:szCs w:val="18"/>
              </w:rPr>
              <w:t>580g/L</w:t>
            </w:r>
          </w:p>
          <w:p>
            <w:pPr>
              <w:adjustRightInd w:val="0"/>
              <w:spacing w:line="240" w:lineRule="atLeast"/>
              <w:jc w:val="center"/>
              <w:rPr>
                <w:sz w:val="18"/>
                <w:szCs w:val="18"/>
              </w:rPr>
            </w:pPr>
            <w:r>
              <w:rPr>
                <w:sz w:val="18"/>
                <w:szCs w:val="18"/>
              </w:rPr>
              <w:t>光泽（60°）＜80，</w:t>
            </w:r>
            <w:r>
              <w:rPr>
                <w:rFonts w:hint="eastAsia"/>
                <w:sz w:val="18"/>
                <w:szCs w:val="18"/>
              </w:rPr>
              <w:t>≤</w:t>
            </w:r>
            <w:r>
              <w:rPr>
                <w:sz w:val="18"/>
                <w:szCs w:val="18"/>
              </w:rPr>
              <w:t>670g/L</w:t>
            </w:r>
          </w:p>
          <w:p>
            <w:pPr>
              <w:adjustRightInd w:val="0"/>
              <w:spacing w:line="240" w:lineRule="atLeast"/>
              <w:jc w:val="center"/>
              <w:rPr>
                <w:sz w:val="18"/>
                <w:szCs w:val="18"/>
              </w:rPr>
            </w:pPr>
            <w:r>
              <w:rPr>
                <w:sz w:val="18"/>
                <w:szCs w:val="18"/>
              </w:rPr>
              <w:t>聚氨酯类涂料底漆：</w:t>
            </w:r>
          </w:p>
          <w:p>
            <w:pPr>
              <w:adjustRightInd w:val="0"/>
              <w:spacing w:line="240" w:lineRule="atLeast"/>
              <w:jc w:val="center"/>
              <w:rPr>
                <w:sz w:val="18"/>
                <w:szCs w:val="18"/>
              </w:rPr>
            </w:pPr>
            <w:r>
              <w:rPr>
                <w:rFonts w:hint="eastAsia"/>
                <w:sz w:val="18"/>
                <w:szCs w:val="18"/>
              </w:rPr>
              <w:t>≤</w:t>
            </w:r>
            <w:r>
              <w:rPr>
                <w:sz w:val="18"/>
                <w:szCs w:val="18"/>
              </w:rPr>
              <w:t>670g/L</w:t>
            </w:r>
          </w:p>
          <w:p>
            <w:pPr>
              <w:adjustRightInd w:val="0"/>
              <w:spacing w:line="240" w:lineRule="atLeast"/>
              <w:jc w:val="center"/>
              <w:rPr>
                <w:sz w:val="18"/>
                <w:szCs w:val="18"/>
              </w:rPr>
            </w:pPr>
            <w:r>
              <w:rPr>
                <w:sz w:val="18"/>
                <w:szCs w:val="18"/>
              </w:rPr>
              <w:t>硝基类涂料：</w:t>
            </w:r>
            <w:r>
              <w:rPr>
                <w:rFonts w:hint="eastAsia"/>
                <w:sz w:val="18"/>
                <w:szCs w:val="18"/>
              </w:rPr>
              <w:t>≤</w:t>
            </w:r>
            <w:r>
              <w:rPr>
                <w:sz w:val="18"/>
                <w:szCs w:val="18"/>
              </w:rPr>
              <w:t>720g/L</w:t>
            </w:r>
          </w:p>
          <w:p>
            <w:pPr>
              <w:adjustRightInd w:val="0"/>
              <w:spacing w:line="240" w:lineRule="atLeast"/>
              <w:jc w:val="center"/>
              <w:rPr>
                <w:sz w:val="18"/>
                <w:szCs w:val="18"/>
              </w:rPr>
            </w:pPr>
            <w:r>
              <w:rPr>
                <w:sz w:val="18"/>
                <w:szCs w:val="18"/>
              </w:rPr>
              <w:t>醇酸类涂料：</w:t>
            </w:r>
            <w:r>
              <w:rPr>
                <w:rFonts w:hint="eastAsia"/>
                <w:sz w:val="18"/>
                <w:szCs w:val="18"/>
              </w:rPr>
              <w:t>≤</w:t>
            </w:r>
            <w:r>
              <w:rPr>
                <w:sz w:val="18"/>
                <w:szCs w:val="18"/>
              </w:rPr>
              <w:t>500g/L</w:t>
            </w:r>
          </w:p>
          <w:p>
            <w:pPr>
              <w:adjustRightInd w:val="0"/>
              <w:spacing w:line="240" w:lineRule="atLeast"/>
              <w:jc w:val="center"/>
              <w:rPr>
                <w:sz w:val="18"/>
                <w:szCs w:val="18"/>
              </w:rPr>
            </w:pPr>
            <w:r>
              <w:rPr>
                <w:sz w:val="18"/>
                <w:szCs w:val="18"/>
              </w:rPr>
              <w:t>腻子：</w:t>
            </w:r>
          </w:p>
          <w:p>
            <w:pPr>
              <w:adjustRightInd w:val="0"/>
              <w:spacing w:line="240" w:lineRule="atLeast"/>
              <w:jc w:val="center"/>
              <w:rPr>
                <w:sz w:val="18"/>
                <w:szCs w:val="18"/>
              </w:rPr>
            </w:pPr>
            <w:r>
              <w:rPr>
                <w:rFonts w:hint="eastAsia"/>
                <w:sz w:val="18"/>
                <w:szCs w:val="18"/>
              </w:rPr>
              <w:t>≤</w:t>
            </w:r>
            <w:r>
              <w:rPr>
                <w:sz w:val="18"/>
                <w:szCs w:val="18"/>
              </w:rPr>
              <w:t>550g/L</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聚氨酯类涂料面漆：</w:t>
            </w:r>
          </w:p>
          <w:p>
            <w:pPr>
              <w:adjustRightInd w:val="0"/>
              <w:spacing w:line="240" w:lineRule="atLeast"/>
              <w:jc w:val="center"/>
              <w:rPr>
                <w:sz w:val="18"/>
                <w:szCs w:val="18"/>
              </w:rPr>
            </w:pPr>
            <w:r>
              <w:rPr>
                <w:sz w:val="18"/>
                <w:szCs w:val="18"/>
              </w:rPr>
              <w:t>光泽（60°）</w:t>
            </w:r>
            <w:r>
              <w:rPr>
                <w:rFonts w:hint="eastAsia"/>
                <w:sz w:val="18"/>
                <w:szCs w:val="18"/>
              </w:rPr>
              <w:t>≥</w:t>
            </w:r>
            <w:r>
              <w:rPr>
                <w:sz w:val="18"/>
                <w:szCs w:val="18"/>
              </w:rPr>
              <w:t>80，X＞580g/L</w:t>
            </w:r>
          </w:p>
          <w:p>
            <w:pPr>
              <w:adjustRightInd w:val="0"/>
              <w:spacing w:line="240" w:lineRule="atLeast"/>
              <w:jc w:val="center"/>
              <w:rPr>
                <w:sz w:val="18"/>
                <w:szCs w:val="18"/>
              </w:rPr>
            </w:pPr>
            <w:r>
              <w:rPr>
                <w:sz w:val="18"/>
                <w:szCs w:val="18"/>
              </w:rPr>
              <w:t>光泽（60°）＜80，X＞670g/L</w:t>
            </w:r>
          </w:p>
          <w:p>
            <w:pPr>
              <w:adjustRightInd w:val="0"/>
              <w:spacing w:line="240" w:lineRule="atLeast"/>
              <w:jc w:val="center"/>
              <w:rPr>
                <w:sz w:val="18"/>
                <w:szCs w:val="18"/>
              </w:rPr>
            </w:pPr>
            <w:r>
              <w:rPr>
                <w:sz w:val="18"/>
                <w:szCs w:val="18"/>
              </w:rPr>
              <w:t>聚氨酯类涂料底漆：</w:t>
            </w:r>
          </w:p>
          <w:p>
            <w:pPr>
              <w:adjustRightInd w:val="0"/>
              <w:spacing w:line="240" w:lineRule="atLeast"/>
              <w:jc w:val="center"/>
              <w:rPr>
                <w:sz w:val="18"/>
                <w:szCs w:val="18"/>
              </w:rPr>
            </w:pPr>
            <w:r>
              <w:rPr>
                <w:sz w:val="18"/>
                <w:szCs w:val="18"/>
              </w:rPr>
              <w:t>X＞670g/L</w:t>
            </w:r>
          </w:p>
          <w:p>
            <w:pPr>
              <w:adjustRightInd w:val="0"/>
              <w:spacing w:line="240" w:lineRule="atLeast"/>
              <w:jc w:val="center"/>
              <w:rPr>
                <w:sz w:val="18"/>
                <w:szCs w:val="18"/>
              </w:rPr>
            </w:pPr>
            <w:r>
              <w:rPr>
                <w:sz w:val="18"/>
                <w:szCs w:val="18"/>
              </w:rPr>
              <w:t>硝基类涂料：X＞720g/L</w:t>
            </w:r>
          </w:p>
          <w:p>
            <w:pPr>
              <w:adjustRightInd w:val="0"/>
              <w:spacing w:line="240" w:lineRule="atLeast"/>
              <w:jc w:val="center"/>
              <w:rPr>
                <w:sz w:val="18"/>
                <w:szCs w:val="18"/>
              </w:rPr>
            </w:pPr>
            <w:r>
              <w:rPr>
                <w:sz w:val="18"/>
                <w:szCs w:val="18"/>
              </w:rPr>
              <w:t>醇酸类涂料：X＞500g/L</w:t>
            </w:r>
          </w:p>
          <w:p>
            <w:pPr>
              <w:adjustRightInd w:val="0"/>
              <w:spacing w:line="240" w:lineRule="atLeast"/>
              <w:jc w:val="center"/>
              <w:rPr>
                <w:sz w:val="18"/>
                <w:szCs w:val="18"/>
              </w:rPr>
            </w:pPr>
            <w:r>
              <w:rPr>
                <w:sz w:val="18"/>
                <w:szCs w:val="18"/>
              </w:rPr>
              <w:t>腻子：</w:t>
            </w:r>
          </w:p>
          <w:p>
            <w:pPr>
              <w:adjustRightInd w:val="0"/>
              <w:spacing w:line="240" w:lineRule="atLeast"/>
              <w:jc w:val="center"/>
              <w:rPr>
                <w:sz w:val="18"/>
                <w:szCs w:val="18"/>
              </w:rPr>
            </w:pPr>
            <w:r>
              <w:rPr>
                <w:sz w:val="18"/>
                <w:szCs w:val="18"/>
              </w:rPr>
              <w:t xml:space="preserve">X＞550g/L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2</w:t>
            </w:r>
          </w:p>
        </w:tc>
        <w:tc>
          <w:tcPr>
            <w:tcW w:w="1332" w:type="dxa"/>
            <w:vAlign w:val="center"/>
          </w:tcPr>
          <w:p>
            <w:pPr>
              <w:adjustRightInd w:val="0"/>
              <w:snapToGrid w:val="0"/>
              <w:spacing w:line="240" w:lineRule="atLeast"/>
              <w:jc w:val="center"/>
              <w:rPr>
                <w:sz w:val="18"/>
                <w:szCs w:val="18"/>
              </w:rPr>
            </w:pPr>
            <w:r>
              <w:rPr>
                <w:sz w:val="18"/>
                <w:szCs w:val="18"/>
              </w:rPr>
              <w:t>苯含量</w:t>
            </w:r>
          </w:p>
        </w:tc>
        <w:tc>
          <w:tcPr>
            <w:tcW w:w="1782" w:type="dxa"/>
            <w:vAlign w:val="center"/>
          </w:tcPr>
          <w:p>
            <w:pPr>
              <w:adjustRightInd w:val="0"/>
              <w:spacing w:line="240" w:lineRule="atLeast"/>
              <w:jc w:val="center"/>
              <w:rPr>
                <w:sz w:val="18"/>
                <w:szCs w:val="18"/>
              </w:rPr>
            </w:pPr>
            <w:r>
              <w:rPr>
                <w:rFonts w:hint="eastAsia"/>
                <w:sz w:val="18"/>
                <w:szCs w:val="18"/>
              </w:rPr>
              <w:t>≤</w:t>
            </w:r>
            <w:r>
              <w:rPr>
                <w:sz w:val="18"/>
                <w:szCs w:val="18"/>
              </w:rPr>
              <w:t>0.3%</w:t>
            </w:r>
          </w:p>
        </w:tc>
        <w:tc>
          <w:tcPr>
            <w:tcW w:w="1908" w:type="dxa"/>
            <w:vAlign w:val="center"/>
          </w:tcPr>
          <w:p>
            <w:pPr>
              <w:adjustRightInd w:val="0"/>
              <w:spacing w:line="240" w:lineRule="atLeast"/>
              <w:jc w:val="center"/>
              <w:rPr>
                <w:sz w:val="18"/>
                <w:szCs w:val="18"/>
              </w:rPr>
            </w:pPr>
            <w:r>
              <w:rPr>
                <w:rFonts w:hint="eastAsia"/>
                <w:sz w:val="18"/>
                <w:szCs w:val="18"/>
              </w:rPr>
              <w:t>≤</w:t>
            </w:r>
            <w:r>
              <w:rPr>
                <w:sz w:val="18"/>
                <w:szCs w:val="18"/>
              </w:rPr>
              <w:t>0.3%</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X＞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3</w:t>
            </w:r>
          </w:p>
        </w:tc>
        <w:tc>
          <w:tcPr>
            <w:tcW w:w="1332" w:type="dxa"/>
            <w:vAlign w:val="center"/>
          </w:tcPr>
          <w:p>
            <w:pPr>
              <w:adjustRightInd w:val="0"/>
              <w:snapToGrid w:val="0"/>
              <w:spacing w:line="240" w:lineRule="atLeast"/>
              <w:jc w:val="center"/>
              <w:rPr>
                <w:sz w:val="18"/>
                <w:szCs w:val="18"/>
              </w:rPr>
            </w:pPr>
            <w:r>
              <w:rPr>
                <w:sz w:val="18"/>
                <w:szCs w:val="18"/>
              </w:rPr>
              <w:t>甲苯、二甲苯、乙苯含量总和</w:t>
            </w:r>
          </w:p>
        </w:tc>
        <w:tc>
          <w:tcPr>
            <w:tcW w:w="1782" w:type="dxa"/>
            <w:vAlign w:val="center"/>
          </w:tcPr>
          <w:p>
            <w:pPr>
              <w:adjustRightInd w:val="0"/>
              <w:spacing w:line="240" w:lineRule="atLeast"/>
              <w:jc w:val="center"/>
              <w:rPr>
                <w:sz w:val="18"/>
                <w:szCs w:val="18"/>
              </w:rPr>
            </w:pPr>
            <w:r>
              <w:rPr>
                <w:sz w:val="18"/>
                <w:szCs w:val="18"/>
              </w:rPr>
              <w:t>聚氨酯类涂料、硝基类涂料、腻子：</w:t>
            </w:r>
            <w:r>
              <w:rPr>
                <w:rFonts w:hint="eastAsia"/>
                <w:sz w:val="18"/>
                <w:szCs w:val="18"/>
              </w:rPr>
              <w:t>≤</w:t>
            </w:r>
            <w:r>
              <w:rPr>
                <w:sz w:val="18"/>
                <w:szCs w:val="18"/>
              </w:rPr>
              <w:t>30%</w:t>
            </w:r>
          </w:p>
          <w:p>
            <w:pPr>
              <w:adjustRightInd w:val="0"/>
              <w:spacing w:line="240" w:lineRule="atLeast"/>
              <w:jc w:val="center"/>
              <w:rPr>
                <w:sz w:val="18"/>
                <w:szCs w:val="18"/>
              </w:rPr>
            </w:pPr>
            <w:r>
              <w:rPr>
                <w:sz w:val="18"/>
                <w:szCs w:val="18"/>
              </w:rPr>
              <w:t>醇酸类涂料：</w:t>
            </w:r>
            <w:r>
              <w:rPr>
                <w:rFonts w:hint="eastAsia"/>
                <w:sz w:val="18"/>
                <w:szCs w:val="18"/>
              </w:rPr>
              <w:t>≤</w:t>
            </w:r>
            <w:r>
              <w:rPr>
                <w:sz w:val="18"/>
                <w:szCs w:val="18"/>
              </w:rPr>
              <w:t>5%</w:t>
            </w:r>
          </w:p>
        </w:tc>
        <w:tc>
          <w:tcPr>
            <w:tcW w:w="1908" w:type="dxa"/>
            <w:vAlign w:val="center"/>
          </w:tcPr>
          <w:p>
            <w:pPr>
              <w:adjustRightInd w:val="0"/>
              <w:spacing w:line="240" w:lineRule="atLeast"/>
              <w:jc w:val="center"/>
              <w:rPr>
                <w:sz w:val="18"/>
                <w:szCs w:val="18"/>
              </w:rPr>
            </w:pPr>
            <w:r>
              <w:rPr>
                <w:sz w:val="18"/>
                <w:szCs w:val="18"/>
              </w:rPr>
              <w:t>聚氨酯类涂料、硝基类涂料、腻子：</w:t>
            </w:r>
            <w:r>
              <w:rPr>
                <w:rFonts w:hint="eastAsia"/>
                <w:sz w:val="18"/>
                <w:szCs w:val="18"/>
              </w:rPr>
              <w:t>≤</w:t>
            </w:r>
            <w:r>
              <w:rPr>
                <w:sz w:val="18"/>
                <w:szCs w:val="18"/>
              </w:rPr>
              <w:t>30%</w:t>
            </w:r>
          </w:p>
          <w:p>
            <w:pPr>
              <w:adjustRightInd w:val="0"/>
              <w:spacing w:line="240" w:lineRule="atLeast"/>
              <w:jc w:val="center"/>
              <w:rPr>
                <w:sz w:val="18"/>
                <w:szCs w:val="18"/>
              </w:rPr>
            </w:pPr>
            <w:r>
              <w:rPr>
                <w:sz w:val="18"/>
                <w:szCs w:val="18"/>
              </w:rPr>
              <w:t>醇酸类涂料：</w:t>
            </w:r>
            <w:r>
              <w:rPr>
                <w:rFonts w:hint="eastAsia"/>
                <w:sz w:val="18"/>
                <w:szCs w:val="18"/>
              </w:rPr>
              <w:t>≤</w:t>
            </w:r>
            <w:r>
              <w:rPr>
                <w:sz w:val="18"/>
                <w:szCs w:val="18"/>
              </w:rPr>
              <w:t>5%</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聚氨酯类涂料、硝基类涂料、腻子：X＞30%</w:t>
            </w:r>
          </w:p>
          <w:p>
            <w:pPr>
              <w:adjustRightInd w:val="0"/>
              <w:spacing w:line="240" w:lineRule="atLeast"/>
              <w:jc w:val="center"/>
              <w:rPr>
                <w:sz w:val="18"/>
                <w:szCs w:val="18"/>
              </w:rPr>
            </w:pPr>
            <w:r>
              <w:rPr>
                <w:sz w:val="18"/>
                <w:szCs w:val="18"/>
              </w:rPr>
              <w:t>醇酸类涂料：X＞5%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4</w:t>
            </w:r>
          </w:p>
        </w:tc>
        <w:tc>
          <w:tcPr>
            <w:tcW w:w="1332" w:type="dxa"/>
            <w:vAlign w:val="center"/>
          </w:tcPr>
          <w:p>
            <w:pPr>
              <w:adjustRightInd w:val="0"/>
              <w:snapToGrid w:val="0"/>
              <w:spacing w:line="240" w:lineRule="atLeast"/>
              <w:jc w:val="center"/>
              <w:rPr>
                <w:sz w:val="18"/>
                <w:szCs w:val="18"/>
              </w:rPr>
            </w:pPr>
            <w:r>
              <w:rPr>
                <w:sz w:val="18"/>
                <w:szCs w:val="18"/>
              </w:rPr>
              <w:t>游离二异氰酸酯(TDI、HDI)含量总和（限聚氨酯类）</w:t>
            </w:r>
          </w:p>
        </w:tc>
        <w:tc>
          <w:tcPr>
            <w:tcW w:w="1782" w:type="dxa"/>
            <w:vAlign w:val="center"/>
          </w:tcPr>
          <w:p>
            <w:pPr>
              <w:adjustRightInd w:val="0"/>
              <w:spacing w:line="240" w:lineRule="atLeast"/>
              <w:jc w:val="center"/>
              <w:rPr>
                <w:sz w:val="18"/>
                <w:szCs w:val="18"/>
              </w:rPr>
            </w:pPr>
            <w:r>
              <w:rPr>
                <w:rFonts w:hint="eastAsia"/>
                <w:sz w:val="18"/>
                <w:szCs w:val="18"/>
              </w:rPr>
              <w:t>≤</w:t>
            </w:r>
            <w:r>
              <w:rPr>
                <w:sz w:val="18"/>
                <w:szCs w:val="18"/>
              </w:rPr>
              <w:t>0.4%</w:t>
            </w:r>
          </w:p>
        </w:tc>
        <w:tc>
          <w:tcPr>
            <w:tcW w:w="1908" w:type="dxa"/>
            <w:vAlign w:val="center"/>
          </w:tcPr>
          <w:p>
            <w:pPr>
              <w:adjustRightInd w:val="0"/>
              <w:spacing w:line="240" w:lineRule="atLeast"/>
              <w:jc w:val="center"/>
              <w:rPr>
                <w:sz w:val="18"/>
                <w:szCs w:val="18"/>
              </w:rPr>
            </w:pPr>
            <w:r>
              <w:rPr>
                <w:rFonts w:hint="eastAsia"/>
                <w:sz w:val="18"/>
                <w:szCs w:val="18"/>
              </w:rPr>
              <w:t>≤</w:t>
            </w:r>
            <w:r>
              <w:rPr>
                <w:sz w:val="18"/>
                <w:szCs w:val="18"/>
              </w:rPr>
              <w:t>0.4%</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X＞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5</w:t>
            </w:r>
          </w:p>
        </w:tc>
        <w:tc>
          <w:tcPr>
            <w:tcW w:w="1332" w:type="dxa"/>
            <w:vAlign w:val="center"/>
          </w:tcPr>
          <w:p>
            <w:pPr>
              <w:adjustRightInd w:val="0"/>
              <w:snapToGrid w:val="0"/>
              <w:spacing w:line="240" w:lineRule="atLeast"/>
              <w:jc w:val="center"/>
              <w:rPr>
                <w:sz w:val="18"/>
                <w:szCs w:val="18"/>
              </w:rPr>
            </w:pPr>
            <w:r>
              <w:rPr>
                <w:sz w:val="18"/>
                <w:szCs w:val="18"/>
              </w:rPr>
              <w:t>甲醇含量（限硝基类）</w:t>
            </w:r>
          </w:p>
        </w:tc>
        <w:tc>
          <w:tcPr>
            <w:tcW w:w="1782" w:type="dxa"/>
            <w:vAlign w:val="center"/>
          </w:tcPr>
          <w:p>
            <w:pPr>
              <w:adjustRightInd w:val="0"/>
              <w:spacing w:line="240" w:lineRule="atLeast"/>
              <w:jc w:val="center"/>
              <w:rPr>
                <w:sz w:val="18"/>
                <w:szCs w:val="18"/>
              </w:rPr>
            </w:pPr>
            <w:r>
              <w:rPr>
                <w:rFonts w:hint="eastAsia"/>
                <w:sz w:val="18"/>
                <w:szCs w:val="18"/>
              </w:rPr>
              <w:t>≤</w:t>
            </w:r>
            <w:r>
              <w:rPr>
                <w:sz w:val="18"/>
                <w:szCs w:val="18"/>
              </w:rPr>
              <w:t>0.3%</w:t>
            </w:r>
          </w:p>
        </w:tc>
        <w:tc>
          <w:tcPr>
            <w:tcW w:w="1908" w:type="dxa"/>
            <w:vAlign w:val="center"/>
          </w:tcPr>
          <w:p>
            <w:pPr>
              <w:adjustRightInd w:val="0"/>
              <w:spacing w:line="240" w:lineRule="atLeast"/>
              <w:jc w:val="center"/>
              <w:rPr>
                <w:sz w:val="18"/>
                <w:szCs w:val="18"/>
              </w:rPr>
            </w:pPr>
            <w:r>
              <w:rPr>
                <w:rFonts w:hint="eastAsia"/>
                <w:sz w:val="18"/>
                <w:szCs w:val="18"/>
              </w:rPr>
              <w:t>≤</w:t>
            </w:r>
            <w:r>
              <w:rPr>
                <w:sz w:val="18"/>
                <w:szCs w:val="18"/>
              </w:rPr>
              <w:t>0.3%</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X＞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6</w:t>
            </w:r>
          </w:p>
        </w:tc>
        <w:tc>
          <w:tcPr>
            <w:tcW w:w="1332" w:type="dxa"/>
            <w:vAlign w:val="center"/>
          </w:tcPr>
          <w:p>
            <w:pPr>
              <w:adjustRightInd w:val="0"/>
              <w:snapToGrid w:val="0"/>
              <w:spacing w:line="240" w:lineRule="atLeast"/>
              <w:jc w:val="center"/>
              <w:rPr>
                <w:sz w:val="18"/>
                <w:szCs w:val="18"/>
              </w:rPr>
            </w:pPr>
            <w:r>
              <w:rPr>
                <w:sz w:val="18"/>
                <w:szCs w:val="18"/>
              </w:rPr>
              <w:t>卤代烃含量</w:t>
            </w:r>
          </w:p>
        </w:tc>
        <w:tc>
          <w:tcPr>
            <w:tcW w:w="1782" w:type="dxa"/>
            <w:vAlign w:val="center"/>
          </w:tcPr>
          <w:p>
            <w:pPr>
              <w:adjustRightInd w:val="0"/>
              <w:spacing w:line="240" w:lineRule="atLeast"/>
              <w:jc w:val="center"/>
              <w:rPr>
                <w:sz w:val="18"/>
                <w:szCs w:val="18"/>
              </w:rPr>
            </w:pPr>
            <w:r>
              <w:rPr>
                <w:rFonts w:hint="eastAsia"/>
                <w:sz w:val="18"/>
                <w:szCs w:val="18"/>
              </w:rPr>
              <w:t>≤</w:t>
            </w:r>
            <w:r>
              <w:rPr>
                <w:sz w:val="18"/>
                <w:szCs w:val="18"/>
              </w:rPr>
              <w:t>0.1%</w:t>
            </w:r>
          </w:p>
        </w:tc>
        <w:tc>
          <w:tcPr>
            <w:tcW w:w="1908" w:type="dxa"/>
            <w:vAlign w:val="center"/>
          </w:tcPr>
          <w:p>
            <w:pPr>
              <w:adjustRightInd w:val="0"/>
              <w:spacing w:line="240" w:lineRule="atLeast"/>
              <w:jc w:val="center"/>
              <w:rPr>
                <w:sz w:val="18"/>
                <w:szCs w:val="18"/>
              </w:rPr>
            </w:pPr>
            <w:r>
              <w:rPr>
                <w:rFonts w:hint="eastAsia"/>
                <w:sz w:val="18"/>
                <w:szCs w:val="18"/>
              </w:rPr>
              <w:t>≤</w:t>
            </w:r>
            <w:r>
              <w:rPr>
                <w:sz w:val="18"/>
                <w:szCs w:val="18"/>
              </w:rPr>
              <w:t>0.1%</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X＞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adjustRightInd w:val="0"/>
              <w:snapToGrid w:val="0"/>
              <w:spacing w:line="240" w:lineRule="atLeast"/>
              <w:jc w:val="center"/>
              <w:rPr>
                <w:sz w:val="18"/>
                <w:szCs w:val="18"/>
              </w:rPr>
            </w:pPr>
            <w:r>
              <w:rPr>
                <w:sz w:val="18"/>
                <w:szCs w:val="18"/>
              </w:rPr>
              <w:t>7</w:t>
            </w:r>
          </w:p>
        </w:tc>
        <w:tc>
          <w:tcPr>
            <w:tcW w:w="1332" w:type="dxa"/>
            <w:vAlign w:val="center"/>
          </w:tcPr>
          <w:p>
            <w:pPr>
              <w:snapToGrid w:val="0"/>
              <w:spacing w:line="240" w:lineRule="atLeast"/>
              <w:jc w:val="center"/>
              <w:rPr>
                <w:sz w:val="18"/>
                <w:szCs w:val="18"/>
              </w:rPr>
            </w:pPr>
            <w:r>
              <w:rPr>
                <w:sz w:val="18"/>
                <w:szCs w:val="18"/>
              </w:rPr>
              <w:t>可溶性重金属</w:t>
            </w:r>
            <w:r>
              <w:rPr>
                <w:rFonts w:hint="eastAsia"/>
                <w:sz w:val="18"/>
                <w:szCs w:val="18"/>
              </w:rPr>
              <w:t>（限色漆）</w:t>
            </w:r>
          </w:p>
        </w:tc>
        <w:tc>
          <w:tcPr>
            <w:tcW w:w="1782" w:type="dxa"/>
            <w:vAlign w:val="center"/>
          </w:tcPr>
          <w:p>
            <w:pPr>
              <w:adjustRightIn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1908" w:type="dxa"/>
            <w:vAlign w:val="center"/>
          </w:tcPr>
          <w:p>
            <w:pPr>
              <w:adjustRightIn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786"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843" w:type="dxa"/>
            <w:vAlign w:val="center"/>
          </w:tcPr>
          <w:p>
            <w:pPr>
              <w:adjustRightInd w:val="0"/>
              <w:spacing w:line="240" w:lineRule="atLeast"/>
              <w:jc w:val="center"/>
              <w:rPr>
                <w:sz w:val="18"/>
                <w:szCs w:val="18"/>
              </w:rPr>
            </w:pPr>
            <w:r>
              <w:rPr>
                <w:sz w:val="18"/>
                <w:szCs w:val="18"/>
              </w:rPr>
              <w:t>铅（Pb）X＞90 mg/kg</w:t>
            </w:r>
          </w:p>
          <w:p>
            <w:pPr>
              <w:adjustRightInd w:val="0"/>
              <w:spacing w:line="240" w:lineRule="atLeast"/>
              <w:jc w:val="center"/>
              <w:rPr>
                <w:sz w:val="18"/>
                <w:szCs w:val="18"/>
              </w:rPr>
            </w:pPr>
            <w:r>
              <w:rPr>
                <w:sz w:val="18"/>
                <w:szCs w:val="18"/>
              </w:rPr>
              <w:t>镉（Cd）X＞75 mg/kg</w:t>
            </w:r>
          </w:p>
          <w:p>
            <w:pPr>
              <w:adjustRightInd w:val="0"/>
              <w:spacing w:line="240" w:lineRule="atLeast"/>
              <w:jc w:val="center"/>
              <w:rPr>
                <w:sz w:val="18"/>
                <w:szCs w:val="18"/>
              </w:rPr>
            </w:pPr>
            <w:r>
              <w:rPr>
                <w:sz w:val="18"/>
                <w:szCs w:val="18"/>
              </w:rPr>
              <w:t>铬（Cr）X＞60 mg/kg</w:t>
            </w:r>
          </w:p>
          <w:p>
            <w:pPr>
              <w:adjustRightInd w:val="0"/>
              <w:spacing w:line="240" w:lineRule="atLeast"/>
              <w:jc w:val="center"/>
              <w:rPr>
                <w:sz w:val="18"/>
                <w:szCs w:val="18"/>
              </w:rPr>
            </w:pPr>
            <w:r>
              <w:rPr>
                <w:sz w:val="18"/>
                <w:szCs w:val="18"/>
              </w:rPr>
              <w:t>汞（Hg）X＞60 mg/kg</w:t>
            </w:r>
          </w:p>
        </w:tc>
      </w:tr>
    </w:tbl>
    <w:p>
      <w:pPr>
        <w:ind w:firstLine="640" w:firstLineChars="200"/>
        <w:rPr>
          <w:rFonts w:hint="eastAsia" w:eastAsia="楷体_GB2312"/>
          <w:szCs w:val="32"/>
        </w:rPr>
      </w:pPr>
    </w:p>
    <w:p>
      <w:pPr>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合成树脂乳液内墙涂料（面漆）</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540"/>
        <w:gridCol w:w="1860"/>
        <w:gridCol w:w="1750"/>
        <w:gridCol w:w="897"/>
        <w:gridCol w:w="85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序号</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检验项目</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标准要求</w:t>
            </w:r>
          </w:p>
        </w:tc>
        <w:tc>
          <w:tcPr>
            <w:tcW w:w="175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样本合格</w:t>
            </w:r>
          </w:p>
        </w:tc>
        <w:tc>
          <w:tcPr>
            <w:tcW w:w="89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轻微不合格</w:t>
            </w:r>
          </w:p>
        </w:tc>
        <w:tc>
          <w:tcPr>
            <w:tcW w:w="85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较严重不合格</w:t>
            </w:r>
          </w:p>
        </w:tc>
        <w:tc>
          <w:tcPr>
            <w:tcW w:w="176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0" w:type="dxa"/>
            <w:vAlign w:val="center"/>
          </w:tcPr>
          <w:p>
            <w:pPr>
              <w:adjustRightInd w:val="0"/>
              <w:snapToGrid w:val="0"/>
              <w:spacing w:line="240" w:lineRule="atLeast"/>
              <w:jc w:val="center"/>
              <w:rPr>
                <w:sz w:val="18"/>
                <w:szCs w:val="18"/>
              </w:rPr>
            </w:pPr>
            <w:r>
              <w:rPr>
                <w:sz w:val="18"/>
                <w:szCs w:val="18"/>
              </w:rPr>
              <w:t>1</w:t>
            </w:r>
          </w:p>
        </w:tc>
        <w:tc>
          <w:tcPr>
            <w:tcW w:w="1540" w:type="dxa"/>
            <w:vAlign w:val="center"/>
          </w:tcPr>
          <w:p>
            <w:pPr>
              <w:adjustRightInd w:val="0"/>
              <w:snapToGrid w:val="0"/>
              <w:spacing w:line="240" w:lineRule="atLeast"/>
              <w:jc w:val="center"/>
              <w:rPr>
                <w:sz w:val="18"/>
                <w:szCs w:val="18"/>
              </w:rPr>
            </w:pPr>
            <w:r>
              <w:rPr>
                <w:sz w:val="18"/>
                <w:szCs w:val="18"/>
              </w:rPr>
              <w:t>挥发性有机化合物（VOC）</w:t>
            </w:r>
          </w:p>
        </w:tc>
        <w:tc>
          <w:tcPr>
            <w:tcW w:w="1860" w:type="dxa"/>
            <w:vAlign w:val="center"/>
          </w:tcPr>
          <w:p>
            <w:pPr>
              <w:adjustRightInd w:val="0"/>
              <w:snapToGrid w:val="0"/>
              <w:spacing w:line="240" w:lineRule="atLeast"/>
              <w:jc w:val="center"/>
              <w:rPr>
                <w:sz w:val="18"/>
                <w:szCs w:val="18"/>
              </w:rPr>
            </w:pPr>
            <w:r>
              <w:rPr>
                <w:sz w:val="18"/>
                <w:szCs w:val="18"/>
              </w:rPr>
              <w:t>水性墙面涂料：</w:t>
            </w:r>
            <w:r>
              <w:rPr>
                <w:rFonts w:hint="eastAsia"/>
                <w:sz w:val="18"/>
                <w:szCs w:val="18"/>
              </w:rPr>
              <w:t>≤</w:t>
            </w:r>
            <w:r>
              <w:rPr>
                <w:sz w:val="18"/>
                <w:szCs w:val="18"/>
              </w:rPr>
              <w:t>120g/L</w:t>
            </w:r>
          </w:p>
        </w:tc>
        <w:tc>
          <w:tcPr>
            <w:tcW w:w="1750" w:type="dxa"/>
            <w:vAlign w:val="center"/>
          </w:tcPr>
          <w:p>
            <w:pPr>
              <w:adjustRightInd w:val="0"/>
              <w:snapToGrid w:val="0"/>
              <w:spacing w:line="240" w:lineRule="atLeast"/>
              <w:jc w:val="center"/>
              <w:rPr>
                <w:sz w:val="18"/>
                <w:szCs w:val="18"/>
              </w:rPr>
            </w:pPr>
            <w:r>
              <w:rPr>
                <w:sz w:val="18"/>
                <w:szCs w:val="18"/>
              </w:rPr>
              <w:t>水性墙面涂料：</w:t>
            </w:r>
            <w:r>
              <w:rPr>
                <w:rFonts w:hint="eastAsia"/>
                <w:sz w:val="18"/>
                <w:szCs w:val="18"/>
              </w:rPr>
              <w:t>≤</w:t>
            </w:r>
            <w:r>
              <w:rPr>
                <w:sz w:val="18"/>
                <w:szCs w:val="18"/>
              </w:rPr>
              <w:t>120g/L</w:t>
            </w:r>
          </w:p>
        </w:tc>
        <w:tc>
          <w:tcPr>
            <w:tcW w:w="897"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60" w:type="dxa"/>
            <w:vAlign w:val="center"/>
          </w:tcPr>
          <w:p>
            <w:pPr>
              <w:adjustRightInd w:val="0"/>
              <w:snapToGrid w:val="0"/>
              <w:spacing w:line="240" w:lineRule="atLeast"/>
              <w:jc w:val="center"/>
              <w:rPr>
                <w:sz w:val="18"/>
                <w:szCs w:val="18"/>
              </w:rPr>
            </w:pPr>
            <w:r>
              <w:rPr>
                <w:sz w:val="18"/>
                <w:szCs w:val="18"/>
              </w:rPr>
              <w:t>水性墙面涂料：X＞120g/L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0" w:type="dxa"/>
            <w:vAlign w:val="center"/>
          </w:tcPr>
          <w:p>
            <w:pPr>
              <w:adjustRightInd w:val="0"/>
              <w:snapToGrid w:val="0"/>
              <w:spacing w:line="240" w:lineRule="atLeast"/>
              <w:jc w:val="center"/>
              <w:rPr>
                <w:sz w:val="18"/>
                <w:szCs w:val="18"/>
              </w:rPr>
            </w:pPr>
            <w:r>
              <w:rPr>
                <w:sz w:val="18"/>
                <w:szCs w:val="18"/>
              </w:rPr>
              <w:t>2</w:t>
            </w:r>
          </w:p>
        </w:tc>
        <w:tc>
          <w:tcPr>
            <w:tcW w:w="1540" w:type="dxa"/>
            <w:vAlign w:val="center"/>
          </w:tcPr>
          <w:p>
            <w:pPr>
              <w:adjustRightInd w:val="0"/>
              <w:snapToGrid w:val="0"/>
              <w:spacing w:line="240" w:lineRule="atLeast"/>
              <w:jc w:val="center"/>
              <w:rPr>
                <w:sz w:val="18"/>
                <w:szCs w:val="18"/>
              </w:rPr>
            </w:pPr>
            <w:r>
              <w:rPr>
                <w:sz w:val="18"/>
                <w:szCs w:val="18"/>
              </w:rPr>
              <w:t>苯、甲苯、乙苯、二甲苯总和</w:t>
            </w:r>
          </w:p>
        </w:tc>
        <w:tc>
          <w:tcPr>
            <w:tcW w:w="1860" w:type="dxa"/>
            <w:vAlign w:val="center"/>
          </w:tcPr>
          <w:p>
            <w:pPr>
              <w:adjustRightInd w:val="0"/>
              <w:snapToGrid w:val="0"/>
              <w:spacing w:line="240" w:lineRule="atLeast"/>
              <w:jc w:val="center"/>
              <w:rPr>
                <w:sz w:val="18"/>
                <w:szCs w:val="18"/>
              </w:rPr>
            </w:pPr>
            <w:r>
              <w:rPr>
                <w:rFonts w:hint="eastAsia"/>
                <w:sz w:val="18"/>
                <w:szCs w:val="18"/>
              </w:rPr>
              <w:t>≤</w:t>
            </w:r>
            <w:r>
              <w:rPr>
                <w:sz w:val="18"/>
                <w:szCs w:val="18"/>
              </w:rPr>
              <w:t>300mg/kg</w:t>
            </w:r>
          </w:p>
        </w:tc>
        <w:tc>
          <w:tcPr>
            <w:tcW w:w="1750" w:type="dxa"/>
            <w:vAlign w:val="center"/>
          </w:tcPr>
          <w:p>
            <w:pPr>
              <w:adjustRightInd w:val="0"/>
              <w:snapToGrid w:val="0"/>
              <w:spacing w:line="240" w:lineRule="atLeast"/>
              <w:jc w:val="center"/>
              <w:rPr>
                <w:sz w:val="18"/>
                <w:szCs w:val="18"/>
              </w:rPr>
            </w:pPr>
            <w:r>
              <w:rPr>
                <w:rFonts w:hint="eastAsia"/>
                <w:sz w:val="18"/>
                <w:szCs w:val="18"/>
              </w:rPr>
              <w:t>≤</w:t>
            </w:r>
            <w:r>
              <w:rPr>
                <w:sz w:val="18"/>
                <w:szCs w:val="18"/>
              </w:rPr>
              <w:t>300mg/kg</w:t>
            </w:r>
          </w:p>
        </w:tc>
        <w:tc>
          <w:tcPr>
            <w:tcW w:w="897"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60" w:type="dxa"/>
            <w:vAlign w:val="center"/>
          </w:tcPr>
          <w:p>
            <w:pPr>
              <w:adjustRightInd w:val="0"/>
              <w:snapToGrid w:val="0"/>
              <w:spacing w:line="240" w:lineRule="atLeast"/>
              <w:jc w:val="center"/>
              <w:rPr>
                <w:sz w:val="18"/>
                <w:szCs w:val="18"/>
              </w:rPr>
            </w:pPr>
            <w:r>
              <w:rPr>
                <w:sz w:val="18"/>
                <w:szCs w:val="18"/>
              </w:rPr>
              <w:t>X＞ 300mg/kg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0" w:type="dxa"/>
            <w:vAlign w:val="center"/>
          </w:tcPr>
          <w:p>
            <w:pPr>
              <w:adjustRightInd w:val="0"/>
              <w:snapToGrid w:val="0"/>
              <w:spacing w:line="240" w:lineRule="atLeast"/>
              <w:jc w:val="center"/>
              <w:rPr>
                <w:sz w:val="18"/>
                <w:szCs w:val="18"/>
              </w:rPr>
            </w:pPr>
            <w:r>
              <w:rPr>
                <w:sz w:val="18"/>
                <w:szCs w:val="18"/>
              </w:rPr>
              <w:t>3</w:t>
            </w:r>
          </w:p>
        </w:tc>
        <w:tc>
          <w:tcPr>
            <w:tcW w:w="1540" w:type="dxa"/>
            <w:vAlign w:val="center"/>
          </w:tcPr>
          <w:p>
            <w:pPr>
              <w:adjustRightInd w:val="0"/>
              <w:snapToGrid w:val="0"/>
              <w:spacing w:line="240" w:lineRule="atLeast"/>
              <w:jc w:val="center"/>
              <w:rPr>
                <w:sz w:val="18"/>
                <w:szCs w:val="18"/>
              </w:rPr>
            </w:pPr>
            <w:r>
              <w:rPr>
                <w:sz w:val="18"/>
                <w:szCs w:val="18"/>
              </w:rPr>
              <w:t>游离甲醛</w:t>
            </w:r>
          </w:p>
        </w:tc>
        <w:tc>
          <w:tcPr>
            <w:tcW w:w="1860" w:type="dxa"/>
            <w:vAlign w:val="center"/>
          </w:tcPr>
          <w:p>
            <w:pPr>
              <w:adjustRightInd w:val="0"/>
              <w:snapToGrid w:val="0"/>
              <w:spacing w:line="240" w:lineRule="atLeast"/>
              <w:jc w:val="center"/>
              <w:rPr>
                <w:sz w:val="18"/>
                <w:szCs w:val="18"/>
              </w:rPr>
            </w:pPr>
            <w:r>
              <w:rPr>
                <w:rFonts w:hint="eastAsia"/>
                <w:sz w:val="18"/>
                <w:szCs w:val="18"/>
              </w:rPr>
              <w:t>≤</w:t>
            </w:r>
            <w:r>
              <w:rPr>
                <w:sz w:val="18"/>
                <w:szCs w:val="18"/>
              </w:rPr>
              <w:t>100mg/kg</w:t>
            </w:r>
          </w:p>
        </w:tc>
        <w:tc>
          <w:tcPr>
            <w:tcW w:w="1750" w:type="dxa"/>
            <w:vAlign w:val="center"/>
          </w:tcPr>
          <w:p>
            <w:pPr>
              <w:adjustRightInd w:val="0"/>
              <w:snapToGrid w:val="0"/>
              <w:spacing w:line="240" w:lineRule="atLeast"/>
              <w:jc w:val="center"/>
              <w:rPr>
                <w:sz w:val="18"/>
                <w:szCs w:val="18"/>
              </w:rPr>
            </w:pPr>
            <w:r>
              <w:rPr>
                <w:rFonts w:hint="eastAsia"/>
                <w:sz w:val="18"/>
                <w:szCs w:val="18"/>
              </w:rPr>
              <w:t>≤</w:t>
            </w:r>
            <w:r>
              <w:rPr>
                <w:sz w:val="18"/>
                <w:szCs w:val="18"/>
              </w:rPr>
              <w:t>100mg/kg</w:t>
            </w:r>
          </w:p>
        </w:tc>
        <w:tc>
          <w:tcPr>
            <w:tcW w:w="897"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60" w:type="dxa"/>
            <w:vAlign w:val="center"/>
          </w:tcPr>
          <w:p>
            <w:pPr>
              <w:adjustRightInd w:val="0"/>
              <w:snapToGrid w:val="0"/>
              <w:spacing w:line="240" w:lineRule="atLeast"/>
              <w:jc w:val="center"/>
              <w:rPr>
                <w:sz w:val="18"/>
                <w:szCs w:val="18"/>
              </w:rPr>
            </w:pPr>
            <w:r>
              <w:rPr>
                <w:sz w:val="18"/>
                <w:szCs w:val="18"/>
              </w:rPr>
              <w:t>X＞ 100mg/kg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0" w:type="dxa"/>
            <w:vAlign w:val="center"/>
          </w:tcPr>
          <w:p>
            <w:pPr>
              <w:adjustRightInd w:val="0"/>
              <w:snapToGrid w:val="0"/>
              <w:spacing w:line="240" w:lineRule="atLeast"/>
              <w:jc w:val="center"/>
              <w:rPr>
                <w:sz w:val="18"/>
                <w:szCs w:val="18"/>
              </w:rPr>
            </w:pPr>
            <w:r>
              <w:rPr>
                <w:sz w:val="18"/>
                <w:szCs w:val="18"/>
              </w:rPr>
              <w:t>4</w:t>
            </w:r>
          </w:p>
        </w:tc>
        <w:tc>
          <w:tcPr>
            <w:tcW w:w="1540" w:type="dxa"/>
            <w:vAlign w:val="center"/>
          </w:tcPr>
          <w:p>
            <w:pPr>
              <w:adjustRightInd w:val="0"/>
              <w:snapToGrid w:val="0"/>
              <w:spacing w:line="240" w:lineRule="atLeast"/>
              <w:jc w:val="center"/>
              <w:rPr>
                <w:sz w:val="18"/>
                <w:szCs w:val="18"/>
              </w:rPr>
            </w:pPr>
            <w:r>
              <w:rPr>
                <w:sz w:val="18"/>
                <w:szCs w:val="18"/>
              </w:rPr>
              <w:t>可溶性重金属</w:t>
            </w:r>
          </w:p>
        </w:tc>
        <w:tc>
          <w:tcPr>
            <w:tcW w:w="1860"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napToGri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1750"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napToGri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897"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60" w:type="dxa"/>
            <w:vAlign w:val="center"/>
          </w:tcPr>
          <w:p>
            <w:pPr>
              <w:adjustRightInd w:val="0"/>
              <w:snapToGrid w:val="0"/>
              <w:spacing w:line="240" w:lineRule="atLeast"/>
              <w:jc w:val="center"/>
              <w:rPr>
                <w:sz w:val="18"/>
                <w:szCs w:val="18"/>
              </w:rPr>
            </w:pPr>
            <w:r>
              <w:rPr>
                <w:sz w:val="18"/>
                <w:szCs w:val="18"/>
              </w:rPr>
              <w:t>铅（Pb）X＞90 mg/kg</w:t>
            </w:r>
          </w:p>
          <w:p>
            <w:pPr>
              <w:adjustRightInd w:val="0"/>
              <w:snapToGrid w:val="0"/>
              <w:spacing w:line="240" w:lineRule="atLeast"/>
              <w:jc w:val="center"/>
              <w:rPr>
                <w:sz w:val="18"/>
                <w:szCs w:val="18"/>
              </w:rPr>
            </w:pPr>
            <w:r>
              <w:rPr>
                <w:sz w:val="18"/>
                <w:szCs w:val="18"/>
              </w:rPr>
              <w:t>镉（Cd）X＞75 mg/kg</w:t>
            </w:r>
          </w:p>
          <w:p>
            <w:pPr>
              <w:adjustRightInd w:val="0"/>
              <w:snapToGrid w:val="0"/>
              <w:spacing w:line="240" w:lineRule="atLeast"/>
              <w:jc w:val="center"/>
              <w:rPr>
                <w:sz w:val="18"/>
                <w:szCs w:val="18"/>
              </w:rPr>
            </w:pPr>
            <w:r>
              <w:rPr>
                <w:sz w:val="18"/>
                <w:szCs w:val="18"/>
              </w:rPr>
              <w:t>铬（Cr）X＞60 mg/kg</w:t>
            </w:r>
          </w:p>
          <w:p>
            <w:pPr>
              <w:adjustRightInd w:val="0"/>
              <w:snapToGrid w:val="0"/>
              <w:spacing w:line="240" w:lineRule="atLeast"/>
              <w:jc w:val="center"/>
              <w:rPr>
                <w:sz w:val="18"/>
                <w:szCs w:val="18"/>
              </w:rPr>
            </w:pPr>
            <w:r>
              <w:rPr>
                <w:sz w:val="18"/>
                <w:szCs w:val="18"/>
              </w:rPr>
              <w:t>汞（Hg）X＞60 mg/kg</w:t>
            </w:r>
          </w:p>
        </w:tc>
      </w:tr>
    </w:tbl>
    <w:p>
      <w:pPr>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建筑用外墙涂料（水性，面漆）</w:t>
      </w:r>
    </w:p>
    <w:tbl>
      <w:tblPr>
        <w:tblStyle w:val="3"/>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492"/>
        <w:gridCol w:w="1842"/>
        <w:gridCol w:w="1843"/>
        <w:gridCol w:w="851"/>
        <w:gridCol w:w="85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tblHeader/>
          <w:jc w:val="center"/>
        </w:trPr>
        <w:tc>
          <w:tcPr>
            <w:tcW w:w="4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序号</w:t>
            </w:r>
          </w:p>
        </w:tc>
        <w:tc>
          <w:tcPr>
            <w:tcW w:w="1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检验项目</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标准要求</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样本合格</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轻微不合格</w:t>
            </w:r>
          </w:p>
        </w:tc>
        <w:tc>
          <w:tcPr>
            <w:tcW w:w="85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较严重不合格</w:t>
            </w:r>
          </w:p>
        </w:tc>
        <w:tc>
          <w:tcPr>
            <w:tcW w:w="1744"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0" w:hRule="atLeast"/>
          <w:jc w:val="center"/>
        </w:trPr>
        <w:tc>
          <w:tcPr>
            <w:tcW w:w="453" w:type="dxa"/>
            <w:vAlign w:val="center"/>
          </w:tcPr>
          <w:p>
            <w:pPr>
              <w:adjustRightInd w:val="0"/>
              <w:snapToGrid w:val="0"/>
              <w:spacing w:line="240" w:lineRule="atLeast"/>
              <w:jc w:val="center"/>
              <w:rPr>
                <w:sz w:val="18"/>
                <w:szCs w:val="18"/>
              </w:rPr>
            </w:pPr>
            <w:r>
              <w:rPr>
                <w:sz w:val="18"/>
                <w:szCs w:val="18"/>
              </w:rPr>
              <w:t>1</w:t>
            </w:r>
          </w:p>
        </w:tc>
        <w:tc>
          <w:tcPr>
            <w:tcW w:w="1492" w:type="dxa"/>
            <w:vAlign w:val="center"/>
          </w:tcPr>
          <w:p>
            <w:pPr>
              <w:adjustRightInd w:val="0"/>
              <w:snapToGrid w:val="0"/>
              <w:spacing w:line="240" w:lineRule="atLeast"/>
              <w:jc w:val="center"/>
              <w:rPr>
                <w:sz w:val="18"/>
                <w:szCs w:val="18"/>
              </w:rPr>
            </w:pPr>
            <w:r>
              <w:rPr>
                <w:sz w:val="18"/>
                <w:szCs w:val="18"/>
              </w:rPr>
              <w:t>挥发性有机化合物(VOC)含量</w:t>
            </w:r>
          </w:p>
        </w:tc>
        <w:tc>
          <w:tcPr>
            <w:tcW w:w="1842" w:type="dxa"/>
            <w:vAlign w:val="center"/>
          </w:tcPr>
          <w:p>
            <w:pPr>
              <w:adjustRightInd w:val="0"/>
              <w:snapToGrid w:val="0"/>
              <w:spacing w:line="240" w:lineRule="atLeast"/>
              <w:jc w:val="center"/>
              <w:rPr>
                <w:sz w:val="18"/>
                <w:szCs w:val="18"/>
              </w:rPr>
            </w:pPr>
            <w:r>
              <w:rPr>
                <w:sz w:val="18"/>
                <w:szCs w:val="18"/>
              </w:rPr>
              <w:t>面漆</w:t>
            </w:r>
            <w:r>
              <w:rPr>
                <w:rFonts w:hint="eastAsia"/>
                <w:sz w:val="18"/>
                <w:szCs w:val="18"/>
              </w:rPr>
              <w:t>≤</w:t>
            </w:r>
            <w:r>
              <w:rPr>
                <w:sz w:val="18"/>
                <w:szCs w:val="18"/>
              </w:rPr>
              <w:t>150g/L</w:t>
            </w:r>
          </w:p>
        </w:tc>
        <w:tc>
          <w:tcPr>
            <w:tcW w:w="1843" w:type="dxa"/>
            <w:vAlign w:val="center"/>
          </w:tcPr>
          <w:p>
            <w:pPr>
              <w:adjustRightInd w:val="0"/>
              <w:snapToGrid w:val="0"/>
              <w:spacing w:line="240" w:lineRule="atLeast"/>
              <w:jc w:val="center"/>
              <w:rPr>
                <w:sz w:val="18"/>
                <w:szCs w:val="18"/>
              </w:rPr>
            </w:pPr>
            <w:r>
              <w:rPr>
                <w:sz w:val="18"/>
                <w:szCs w:val="18"/>
              </w:rPr>
              <w:t>面漆</w:t>
            </w:r>
            <w:r>
              <w:rPr>
                <w:rFonts w:hint="eastAsia"/>
                <w:sz w:val="18"/>
                <w:szCs w:val="18"/>
              </w:rPr>
              <w:t>≤</w:t>
            </w:r>
            <w:r>
              <w:rPr>
                <w:sz w:val="18"/>
                <w:szCs w:val="18"/>
              </w:rPr>
              <w:t>150g/L</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44" w:type="dxa"/>
            <w:vAlign w:val="center"/>
          </w:tcPr>
          <w:p>
            <w:pPr>
              <w:adjustRightInd w:val="0"/>
              <w:snapToGrid w:val="0"/>
              <w:spacing w:line="240" w:lineRule="atLeast"/>
              <w:jc w:val="center"/>
              <w:rPr>
                <w:sz w:val="18"/>
                <w:szCs w:val="18"/>
              </w:rPr>
            </w:pPr>
            <w:r>
              <w:rPr>
                <w:sz w:val="18"/>
                <w:szCs w:val="18"/>
              </w:rPr>
              <w:t>面漆X＞150g/L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453" w:type="dxa"/>
            <w:vAlign w:val="center"/>
          </w:tcPr>
          <w:p>
            <w:pPr>
              <w:adjustRightInd w:val="0"/>
              <w:snapToGrid w:val="0"/>
              <w:spacing w:line="240" w:lineRule="atLeast"/>
              <w:jc w:val="center"/>
              <w:rPr>
                <w:sz w:val="18"/>
                <w:szCs w:val="18"/>
              </w:rPr>
            </w:pPr>
            <w:r>
              <w:rPr>
                <w:sz w:val="18"/>
                <w:szCs w:val="18"/>
              </w:rPr>
              <w:t>2</w:t>
            </w:r>
          </w:p>
        </w:tc>
        <w:tc>
          <w:tcPr>
            <w:tcW w:w="1492" w:type="dxa"/>
            <w:vAlign w:val="center"/>
          </w:tcPr>
          <w:p>
            <w:pPr>
              <w:adjustRightInd w:val="0"/>
              <w:snapToGrid w:val="0"/>
              <w:spacing w:line="240" w:lineRule="atLeast"/>
              <w:jc w:val="center"/>
              <w:rPr>
                <w:sz w:val="18"/>
                <w:szCs w:val="18"/>
              </w:rPr>
            </w:pPr>
            <w:r>
              <w:rPr>
                <w:sz w:val="18"/>
                <w:szCs w:val="18"/>
              </w:rPr>
              <w:t>游离甲醛含量</w:t>
            </w:r>
          </w:p>
        </w:tc>
        <w:tc>
          <w:tcPr>
            <w:tcW w:w="1842" w:type="dxa"/>
            <w:vAlign w:val="center"/>
          </w:tcPr>
          <w:p>
            <w:pPr>
              <w:adjustRightInd w:val="0"/>
              <w:snapToGrid w:val="0"/>
              <w:spacing w:line="240" w:lineRule="atLeast"/>
              <w:jc w:val="center"/>
              <w:rPr>
                <w:sz w:val="18"/>
                <w:szCs w:val="18"/>
              </w:rPr>
            </w:pPr>
            <w:r>
              <w:rPr>
                <w:rFonts w:hint="eastAsia"/>
                <w:sz w:val="18"/>
                <w:szCs w:val="18"/>
              </w:rPr>
              <w:t>≤</w:t>
            </w:r>
            <w:r>
              <w:rPr>
                <w:sz w:val="18"/>
                <w:szCs w:val="18"/>
              </w:rPr>
              <w:t>100mg/kg</w:t>
            </w:r>
          </w:p>
        </w:tc>
        <w:tc>
          <w:tcPr>
            <w:tcW w:w="1843" w:type="dxa"/>
            <w:vAlign w:val="center"/>
          </w:tcPr>
          <w:p>
            <w:pPr>
              <w:adjustRightInd w:val="0"/>
              <w:snapToGrid w:val="0"/>
              <w:spacing w:line="240" w:lineRule="atLeast"/>
              <w:jc w:val="center"/>
              <w:rPr>
                <w:sz w:val="18"/>
                <w:szCs w:val="18"/>
              </w:rPr>
            </w:pPr>
            <w:r>
              <w:rPr>
                <w:rFonts w:hint="eastAsia"/>
                <w:sz w:val="18"/>
                <w:szCs w:val="18"/>
              </w:rPr>
              <w:t>≤</w:t>
            </w:r>
            <w:r>
              <w:rPr>
                <w:sz w:val="18"/>
                <w:szCs w:val="18"/>
              </w:rPr>
              <w:t>100mg/kg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44" w:type="dxa"/>
            <w:vAlign w:val="center"/>
          </w:tcPr>
          <w:p>
            <w:pPr>
              <w:adjustRightInd w:val="0"/>
              <w:snapToGrid w:val="0"/>
              <w:spacing w:line="240" w:lineRule="atLeast"/>
              <w:jc w:val="center"/>
              <w:rPr>
                <w:sz w:val="18"/>
                <w:szCs w:val="18"/>
              </w:rPr>
            </w:pPr>
            <w:r>
              <w:rPr>
                <w:sz w:val="18"/>
                <w:szCs w:val="18"/>
              </w:rPr>
              <w:t>X＞ 100mg/kg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jc w:val="center"/>
        </w:trPr>
        <w:tc>
          <w:tcPr>
            <w:tcW w:w="453" w:type="dxa"/>
            <w:vAlign w:val="center"/>
          </w:tcPr>
          <w:p>
            <w:pPr>
              <w:adjustRightInd w:val="0"/>
              <w:snapToGrid w:val="0"/>
              <w:spacing w:line="240" w:lineRule="atLeast"/>
              <w:jc w:val="center"/>
              <w:rPr>
                <w:sz w:val="18"/>
                <w:szCs w:val="18"/>
              </w:rPr>
            </w:pPr>
            <w:r>
              <w:rPr>
                <w:sz w:val="18"/>
                <w:szCs w:val="18"/>
              </w:rPr>
              <w:t>3</w:t>
            </w:r>
          </w:p>
        </w:tc>
        <w:tc>
          <w:tcPr>
            <w:tcW w:w="1492" w:type="dxa"/>
            <w:vAlign w:val="center"/>
          </w:tcPr>
          <w:p>
            <w:pPr>
              <w:adjustRightInd w:val="0"/>
              <w:snapToGrid w:val="0"/>
              <w:spacing w:line="240" w:lineRule="atLeast"/>
              <w:jc w:val="center"/>
              <w:rPr>
                <w:sz w:val="18"/>
                <w:szCs w:val="18"/>
              </w:rPr>
            </w:pPr>
            <w:r>
              <w:rPr>
                <w:sz w:val="18"/>
                <w:szCs w:val="18"/>
              </w:rPr>
              <w:t>乙二醇醚及醚酯含量总和(限乙二醇甲醚、乙二醇甲醚醋酸酯、乙二醇乙醚、乙二醇乙醚醋酸酯和二乙二醇丁醚醋酸酯)</w:t>
            </w:r>
          </w:p>
        </w:tc>
        <w:tc>
          <w:tcPr>
            <w:tcW w:w="1842" w:type="dxa"/>
            <w:vAlign w:val="center"/>
          </w:tcPr>
          <w:p>
            <w:pPr>
              <w:adjustRightInd w:val="0"/>
              <w:snapToGrid w:val="0"/>
              <w:spacing w:line="240" w:lineRule="atLeast"/>
              <w:jc w:val="center"/>
              <w:rPr>
                <w:sz w:val="18"/>
                <w:szCs w:val="18"/>
              </w:rPr>
            </w:pPr>
            <w:r>
              <w:rPr>
                <w:rFonts w:hint="eastAsia"/>
                <w:sz w:val="18"/>
                <w:szCs w:val="18"/>
              </w:rPr>
              <w:t>≤</w:t>
            </w:r>
            <w:r>
              <w:rPr>
                <w:sz w:val="18"/>
                <w:szCs w:val="18"/>
              </w:rPr>
              <w:t>0.03%</w:t>
            </w:r>
          </w:p>
        </w:tc>
        <w:tc>
          <w:tcPr>
            <w:tcW w:w="1843" w:type="dxa"/>
            <w:vAlign w:val="center"/>
          </w:tcPr>
          <w:p>
            <w:pPr>
              <w:adjustRightInd w:val="0"/>
              <w:snapToGrid w:val="0"/>
              <w:spacing w:line="240" w:lineRule="atLeast"/>
              <w:jc w:val="center"/>
              <w:rPr>
                <w:sz w:val="18"/>
                <w:szCs w:val="18"/>
              </w:rPr>
            </w:pPr>
            <w:r>
              <w:rPr>
                <w:rFonts w:hint="eastAsia"/>
                <w:sz w:val="18"/>
                <w:szCs w:val="18"/>
              </w:rPr>
              <w:t>≤</w:t>
            </w:r>
            <w:r>
              <w:rPr>
                <w:sz w:val="18"/>
                <w:szCs w:val="18"/>
              </w:rPr>
              <w:t>0.03%</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44" w:type="dxa"/>
            <w:vAlign w:val="center"/>
          </w:tcPr>
          <w:p>
            <w:pPr>
              <w:adjustRightInd w:val="0"/>
              <w:snapToGrid w:val="0"/>
              <w:spacing w:line="240" w:lineRule="atLeast"/>
              <w:jc w:val="center"/>
              <w:rPr>
                <w:sz w:val="18"/>
                <w:szCs w:val="18"/>
              </w:rPr>
            </w:pPr>
            <w:r>
              <w:rPr>
                <w:sz w:val="18"/>
                <w:szCs w:val="18"/>
              </w:rPr>
              <w:t>X＞0.03%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3" w:hRule="atLeast"/>
          <w:jc w:val="center"/>
        </w:trPr>
        <w:tc>
          <w:tcPr>
            <w:tcW w:w="453" w:type="dxa"/>
            <w:vAlign w:val="center"/>
          </w:tcPr>
          <w:p>
            <w:pPr>
              <w:adjustRightInd w:val="0"/>
              <w:snapToGrid w:val="0"/>
              <w:spacing w:line="240" w:lineRule="atLeast"/>
              <w:jc w:val="center"/>
              <w:rPr>
                <w:sz w:val="18"/>
                <w:szCs w:val="18"/>
              </w:rPr>
            </w:pPr>
            <w:r>
              <w:rPr>
                <w:sz w:val="18"/>
                <w:szCs w:val="18"/>
              </w:rPr>
              <w:t>4</w:t>
            </w:r>
          </w:p>
        </w:tc>
        <w:tc>
          <w:tcPr>
            <w:tcW w:w="1492" w:type="dxa"/>
            <w:vAlign w:val="center"/>
          </w:tcPr>
          <w:p>
            <w:pPr>
              <w:adjustRightInd w:val="0"/>
              <w:snapToGrid w:val="0"/>
              <w:spacing w:line="240" w:lineRule="atLeast"/>
              <w:jc w:val="center"/>
              <w:rPr>
                <w:sz w:val="18"/>
                <w:szCs w:val="18"/>
              </w:rPr>
            </w:pPr>
            <w:r>
              <w:rPr>
                <w:sz w:val="18"/>
                <w:szCs w:val="18"/>
              </w:rPr>
              <w:t>重金属含量</w:t>
            </w:r>
            <w:r>
              <w:rPr>
                <w:rFonts w:hint="eastAsia"/>
                <w:sz w:val="18"/>
                <w:szCs w:val="18"/>
              </w:rPr>
              <w:t>（限色漆）</w:t>
            </w:r>
          </w:p>
        </w:tc>
        <w:tc>
          <w:tcPr>
            <w:tcW w:w="1842"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1000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100 mg/kg</w:t>
            </w:r>
          </w:p>
          <w:p>
            <w:pPr>
              <w:adjustRightInd w:val="0"/>
              <w:snapToGrid w:val="0"/>
              <w:spacing w:line="240" w:lineRule="atLeast"/>
              <w:jc w:val="center"/>
              <w:rPr>
                <w:sz w:val="18"/>
                <w:szCs w:val="18"/>
              </w:rPr>
            </w:pPr>
            <w:r>
              <w:rPr>
                <w:sz w:val="18"/>
                <w:szCs w:val="18"/>
              </w:rPr>
              <w:t>六价铬（Cr6+）</w:t>
            </w:r>
            <w:r>
              <w:rPr>
                <w:rFonts w:hint="eastAsia"/>
                <w:sz w:val="18"/>
                <w:szCs w:val="18"/>
              </w:rPr>
              <w:t>≤</w:t>
            </w:r>
            <w:r>
              <w:rPr>
                <w:sz w:val="18"/>
                <w:szCs w:val="18"/>
              </w:rPr>
              <w:t>1000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1000 mg/kg</w:t>
            </w:r>
          </w:p>
        </w:tc>
        <w:tc>
          <w:tcPr>
            <w:tcW w:w="1843"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1000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100 mg/kg</w:t>
            </w:r>
          </w:p>
          <w:p>
            <w:pPr>
              <w:adjustRightInd w:val="0"/>
              <w:snapToGrid w:val="0"/>
              <w:spacing w:line="240" w:lineRule="atLeast"/>
              <w:jc w:val="center"/>
              <w:rPr>
                <w:sz w:val="18"/>
                <w:szCs w:val="18"/>
              </w:rPr>
            </w:pPr>
            <w:r>
              <w:rPr>
                <w:sz w:val="18"/>
                <w:szCs w:val="18"/>
              </w:rPr>
              <w:t>六价铬（Cr6+）</w:t>
            </w:r>
            <w:r>
              <w:rPr>
                <w:rFonts w:hint="eastAsia"/>
                <w:sz w:val="18"/>
                <w:szCs w:val="18"/>
              </w:rPr>
              <w:t>≤</w:t>
            </w:r>
            <w:r>
              <w:rPr>
                <w:sz w:val="18"/>
                <w:szCs w:val="18"/>
              </w:rPr>
              <w:t>1000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1000 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744" w:type="dxa"/>
            <w:vAlign w:val="center"/>
          </w:tcPr>
          <w:p>
            <w:pPr>
              <w:adjustRightInd w:val="0"/>
              <w:snapToGrid w:val="0"/>
              <w:spacing w:line="240" w:lineRule="atLeast"/>
              <w:jc w:val="center"/>
              <w:rPr>
                <w:sz w:val="18"/>
                <w:szCs w:val="18"/>
              </w:rPr>
            </w:pPr>
            <w:r>
              <w:rPr>
                <w:sz w:val="18"/>
                <w:szCs w:val="18"/>
              </w:rPr>
              <w:t>铅（Pb）X＞1000 mg/kg</w:t>
            </w:r>
          </w:p>
          <w:p>
            <w:pPr>
              <w:adjustRightInd w:val="0"/>
              <w:snapToGrid w:val="0"/>
              <w:spacing w:line="240" w:lineRule="atLeast"/>
              <w:jc w:val="center"/>
              <w:rPr>
                <w:sz w:val="18"/>
                <w:szCs w:val="18"/>
              </w:rPr>
            </w:pPr>
            <w:r>
              <w:rPr>
                <w:sz w:val="18"/>
                <w:szCs w:val="18"/>
              </w:rPr>
              <w:t>镉（Cd）X＞100 mg/kg</w:t>
            </w:r>
          </w:p>
          <w:p>
            <w:pPr>
              <w:adjustRightInd w:val="0"/>
              <w:snapToGrid w:val="0"/>
              <w:spacing w:line="240" w:lineRule="atLeast"/>
              <w:jc w:val="center"/>
              <w:rPr>
                <w:sz w:val="18"/>
                <w:szCs w:val="18"/>
              </w:rPr>
            </w:pPr>
            <w:r>
              <w:rPr>
                <w:sz w:val="18"/>
                <w:szCs w:val="18"/>
              </w:rPr>
              <w:t>六价铬（Cr6+）X＞1000 mg/kg</w:t>
            </w:r>
          </w:p>
          <w:p>
            <w:pPr>
              <w:adjustRightInd w:val="0"/>
              <w:snapToGrid w:val="0"/>
              <w:spacing w:line="240" w:lineRule="atLeast"/>
              <w:jc w:val="center"/>
              <w:rPr>
                <w:sz w:val="18"/>
                <w:szCs w:val="18"/>
              </w:rPr>
            </w:pPr>
            <w:r>
              <w:rPr>
                <w:sz w:val="18"/>
                <w:szCs w:val="18"/>
              </w:rPr>
              <w:t>汞（Hg）X＞1000 mg/kg</w:t>
            </w:r>
          </w:p>
        </w:tc>
      </w:tr>
    </w:tbl>
    <w:p>
      <w:pPr>
        <w:ind w:firstLine="640" w:firstLineChars="200"/>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建筑用防水涂料</w:t>
      </w:r>
    </w:p>
    <w:tbl>
      <w:tblPr>
        <w:tblStyle w:val="3"/>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96"/>
        <w:gridCol w:w="1985"/>
        <w:gridCol w:w="1984"/>
        <w:gridCol w:w="851"/>
        <w:gridCol w:w="85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序号</w:t>
            </w: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检验项目</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标准要求</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sz w:val="18"/>
                <w:szCs w:val="18"/>
              </w:rPr>
              <w:t>样本合格</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sz w:val="18"/>
                <w:szCs w:val="18"/>
              </w:rPr>
              <w:t>轻微不合格</w:t>
            </w:r>
          </w:p>
        </w:tc>
        <w:tc>
          <w:tcPr>
            <w:tcW w:w="8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sz w:val="18"/>
                <w:szCs w:val="18"/>
              </w:rPr>
              <w:t>较严重不合格</w:t>
            </w:r>
          </w:p>
        </w:tc>
        <w:tc>
          <w:tcPr>
            <w:tcW w:w="165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1</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挥发性有机化合物(VOC)</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A</w:t>
            </w:r>
            <w:r>
              <w:rPr>
                <w:rFonts w:hint="eastAsia"/>
                <w:sz w:val="18"/>
                <w:szCs w:val="18"/>
              </w:rPr>
              <w:t>级</w:t>
            </w:r>
            <w:r>
              <w:rPr>
                <w:sz w:val="18"/>
                <w:szCs w:val="18"/>
              </w:rPr>
              <w:t>:</w:t>
            </w:r>
            <w:r>
              <w:rPr>
                <w:rFonts w:hint="eastAsia"/>
                <w:sz w:val="18"/>
                <w:szCs w:val="18"/>
              </w:rPr>
              <w:t>≤</w:t>
            </w:r>
            <w:r>
              <w:rPr>
                <w:sz w:val="18"/>
                <w:szCs w:val="18"/>
              </w:rPr>
              <w:t>80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B</w:t>
            </w:r>
            <w:r>
              <w:rPr>
                <w:rFonts w:hint="eastAsia"/>
                <w:sz w:val="18"/>
                <w:szCs w:val="18"/>
              </w:rPr>
              <w:t>级</w:t>
            </w:r>
            <w:r>
              <w:rPr>
                <w:sz w:val="18"/>
                <w:szCs w:val="18"/>
              </w:rPr>
              <w:t>:</w:t>
            </w:r>
            <w:r>
              <w:rPr>
                <w:rFonts w:hint="eastAsia"/>
                <w:sz w:val="18"/>
                <w:szCs w:val="18"/>
              </w:rPr>
              <w:t>≤</w:t>
            </w:r>
            <w:r>
              <w:rPr>
                <w:sz w:val="18"/>
                <w:szCs w:val="18"/>
              </w:rPr>
              <w:t>120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≤5</w:t>
            </w:r>
            <w:r>
              <w:rPr>
                <w:sz w:val="18"/>
                <w:szCs w:val="18"/>
              </w:rPr>
              <w:t>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≤200</w:t>
            </w:r>
            <w:r>
              <w:rPr>
                <w:sz w:val="18"/>
                <w:szCs w:val="18"/>
              </w:rPr>
              <w:t xml:space="preserve">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溶剂型:≤750g/L</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A</w:t>
            </w:r>
            <w:r>
              <w:rPr>
                <w:rFonts w:hint="eastAsia"/>
                <w:sz w:val="18"/>
                <w:szCs w:val="18"/>
              </w:rPr>
              <w:t>级</w:t>
            </w:r>
            <w:r>
              <w:rPr>
                <w:sz w:val="18"/>
                <w:szCs w:val="18"/>
              </w:rPr>
              <w:t>:</w:t>
            </w:r>
            <w:r>
              <w:rPr>
                <w:rFonts w:hint="eastAsia"/>
                <w:sz w:val="18"/>
                <w:szCs w:val="18"/>
              </w:rPr>
              <w:t>≤</w:t>
            </w:r>
            <w:r>
              <w:rPr>
                <w:sz w:val="18"/>
                <w:szCs w:val="18"/>
              </w:rPr>
              <w:t>80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B</w:t>
            </w:r>
            <w:r>
              <w:rPr>
                <w:rFonts w:hint="eastAsia"/>
                <w:sz w:val="18"/>
                <w:szCs w:val="18"/>
              </w:rPr>
              <w:t>级</w:t>
            </w:r>
            <w:r>
              <w:rPr>
                <w:sz w:val="18"/>
                <w:szCs w:val="18"/>
              </w:rPr>
              <w:t>:</w:t>
            </w:r>
            <w:r>
              <w:rPr>
                <w:rFonts w:hint="eastAsia"/>
                <w:sz w:val="18"/>
                <w:szCs w:val="18"/>
              </w:rPr>
              <w:t>≤</w:t>
            </w:r>
            <w:r>
              <w:rPr>
                <w:sz w:val="18"/>
                <w:szCs w:val="18"/>
              </w:rPr>
              <w:t>120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≤5</w:t>
            </w:r>
            <w:r>
              <w:rPr>
                <w:sz w:val="18"/>
                <w:szCs w:val="18"/>
              </w:rPr>
              <w:t>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≤200</w:t>
            </w:r>
            <w:r>
              <w:rPr>
                <w:sz w:val="18"/>
                <w:szCs w:val="18"/>
              </w:rPr>
              <w:t xml:space="preserve">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溶剂型:≤750g/L</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A</w:t>
            </w:r>
            <w:r>
              <w:rPr>
                <w:rFonts w:hint="eastAsia"/>
                <w:sz w:val="18"/>
                <w:szCs w:val="18"/>
              </w:rPr>
              <w:t>级</w:t>
            </w:r>
            <w:r>
              <w:rPr>
                <w:sz w:val="18"/>
                <w:szCs w:val="18"/>
              </w:rPr>
              <w:t>: X＞80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水性</w:t>
            </w:r>
            <w:r>
              <w:rPr>
                <w:sz w:val="18"/>
                <w:szCs w:val="18"/>
              </w:rPr>
              <w:t>B</w:t>
            </w:r>
            <w:r>
              <w:rPr>
                <w:rFonts w:hint="eastAsia"/>
                <w:sz w:val="18"/>
                <w:szCs w:val="18"/>
              </w:rPr>
              <w:t>级</w:t>
            </w:r>
            <w:r>
              <w:rPr>
                <w:sz w:val="18"/>
                <w:szCs w:val="18"/>
              </w:rPr>
              <w:t>: X＞120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 X＞</w:t>
            </w:r>
            <w:r>
              <w:rPr>
                <w:rFonts w:hint="eastAsia"/>
                <w:sz w:val="18"/>
                <w:szCs w:val="18"/>
              </w:rPr>
              <w:t>5</w:t>
            </w:r>
            <w:r>
              <w:rPr>
                <w:sz w:val="18"/>
                <w:szCs w:val="18"/>
              </w:rPr>
              <w:t>0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 X＞</w:t>
            </w:r>
            <w:r>
              <w:rPr>
                <w:rFonts w:hint="eastAsia"/>
                <w:sz w:val="18"/>
                <w:szCs w:val="18"/>
              </w:rPr>
              <w:t>200</w:t>
            </w:r>
            <w:r>
              <w:rPr>
                <w:sz w:val="18"/>
                <w:szCs w:val="18"/>
              </w:rPr>
              <w:t xml:space="preserve"> g/L</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750g/L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2</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游离甲醛（水性）</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A</w:t>
            </w:r>
            <w:r>
              <w:rPr>
                <w:rFonts w:hint="eastAsia"/>
                <w:sz w:val="18"/>
                <w:szCs w:val="18"/>
              </w:rPr>
              <w:t>级</w:t>
            </w:r>
            <w:r>
              <w:rPr>
                <w:sz w:val="18"/>
                <w:szCs w:val="18"/>
              </w:rPr>
              <w:t>:</w:t>
            </w:r>
            <w:r>
              <w:rPr>
                <w:rFonts w:hint="eastAsia"/>
                <w:sz w:val="18"/>
                <w:szCs w:val="18"/>
              </w:rPr>
              <w:t>≤</w:t>
            </w:r>
            <w:r>
              <w:rPr>
                <w:sz w:val="18"/>
                <w:szCs w:val="18"/>
              </w:rPr>
              <w:t>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B:</w:t>
            </w:r>
            <w:r>
              <w:rPr>
                <w:rFonts w:hint="eastAsia"/>
                <w:sz w:val="18"/>
                <w:szCs w:val="18"/>
              </w:rPr>
              <w:t>级:≤</w:t>
            </w:r>
            <w:r>
              <w:rPr>
                <w:sz w:val="18"/>
                <w:szCs w:val="18"/>
              </w:rPr>
              <w:t>200mg/kg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A</w:t>
            </w:r>
            <w:r>
              <w:rPr>
                <w:rFonts w:hint="eastAsia"/>
                <w:sz w:val="18"/>
                <w:szCs w:val="18"/>
              </w:rPr>
              <w:t>级</w:t>
            </w:r>
            <w:r>
              <w:rPr>
                <w:sz w:val="18"/>
                <w:szCs w:val="18"/>
              </w:rPr>
              <w:t>:</w:t>
            </w:r>
            <w:r>
              <w:rPr>
                <w:rFonts w:hint="eastAsia"/>
                <w:sz w:val="18"/>
                <w:szCs w:val="18"/>
              </w:rPr>
              <w:t>≤</w:t>
            </w:r>
            <w:r>
              <w:rPr>
                <w:sz w:val="18"/>
                <w:szCs w:val="18"/>
              </w:rPr>
              <w:t>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B:</w:t>
            </w:r>
            <w:r>
              <w:rPr>
                <w:rFonts w:hint="eastAsia"/>
                <w:sz w:val="18"/>
                <w:szCs w:val="18"/>
              </w:rPr>
              <w:t>级:≤</w:t>
            </w:r>
            <w:r>
              <w:rPr>
                <w:sz w:val="18"/>
                <w:szCs w:val="18"/>
              </w:rPr>
              <w:t>200mg/kg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A</w:t>
            </w:r>
            <w:r>
              <w:rPr>
                <w:rFonts w:hint="eastAsia"/>
                <w:sz w:val="18"/>
                <w:szCs w:val="18"/>
              </w:rPr>
              <w:t>级</w:t>
            </w:r>
            <w:r>
              <w:rPr>
                <w:sz w:val="18"/>
                <w:szCs w:val="18"/>
              </w:rPr>
              <w:t>: X＞100mg/kg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B:</w:t>
            </w:r>
            <w:r>
              <w:rPr>
                <w:rFonts w:hint="eastAsia"/>
                <w:sz w:val="18"/>
                <w:szCs w:val="18"/>
              </w:rPr>
              <w:t>级:</w:t>
            </w:r>
            <w:r>
              <w:rPr>
                <w:sz w:val="18"/>
                <w:szCs w:val="18"/>
              </w:rPr>
              <w:t xml:space="preserve"> X＞200mg/kg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3</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苯（反应型、溶剂型）</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w:t>
            </w:r>
            <w:r>
              <w:rPr>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溶剂型:≤2.0g/kg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w:t>
            </w:r>
            <w:r>
              <w:rPr>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溶剂型:≤2.0g/kg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w:t>
            </w:r>
            <w:r>
              <w:rPr>
                <w:sz w:val="18"/>
                <w:szCs w:val="18"/>
              </w:rPr>
              <w:t xml:space="preserve"> X＞200mg/kg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2.0g/kg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4</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甲苯+乙苯+二甲苯（反应型、溶剂型）</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≤1.0g/kg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≤5.0g/kg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溶剂型:≤400g/kg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≤1.0g/kg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≤5.0g/kg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溶剂型:≤400g/kg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w:t>
            </w:r>
            <w:r>
              <w:rPr>
                <w:sz w:val="18"/>
                <w:szCs w:val="18"/>
              </w:rPr>
              <w:t>X＞</w:t>
            </w:r>
            <w:r>
              <w:rPr>
                <w:rFonts w:hint="eastAsia"/>
                <w:sz w:val="18"/>
                <w:szCs w:val="18"/>
              </w:rPr>
              <w:t>1.0g/kg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w:t>
            </w:r>
            <w:r>
              <w:rPr>
                <w:sz w:val="18"/>
                <w:szCs w:val="18"/>
              </w:rPr>
              <w:t>X＞</w:t>
            </w:r>
            <w:r>
              <w:rPr>
                <w:rFonts w:hint="eastAsia"/>
                <w:sz w:val="18"/>
                <w:szCs w:val="18"/>
              </w:rPr>
              <w:t>5.0g/kg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400g/kg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5</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苯、甲苯、乙苯和二甲苯总和（水性）</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w:t>
            </w:r>
            <w:r>
              <w:rPr>
                <w:sz w:val="18"/>
                <w:szCs w:val="18"/>
              </w:rPr>
              <w:t>300mg/kg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w:t>
            </w:r>
            <w:r>
              <w:rPr>
                <w:sz w:val="18"/>
                <w:szCs w:val="18"/>
              </w:rPr>
              <w:t>300mg/kg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X＞ 300mg/kg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6</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苯酚（反应型、溶剂型）</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溶剂型:≤500g/kg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溶剂型:≤500g/kg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 X＞</w:t>
            </w:r>
            <w:r>
              <w:rPr>
                <w:rFonts w:hint="eastAsia"/>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 X＞</w:t>
            </w:r>
            <w:r>
              <w:rPr>
                <w:rFonts w:hint="eastAsia"/>
                <w:sz w:val="18"/>
                <w:szCs w:val="18"/>
              </w:rPr>
              <w:t>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500g/kg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7</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蒽（反应型、溶剂型）</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≤10mg/kg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溶剂型:≤100g/kg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≤10mg/kg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溶剂型:≤100g/kg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w:t>
            </w:r>
            <w:r>
              <w:rPr>
                <w:sz w:val="18"/>
                <w:szCs w:val="18"/>
              </w:rPr>
              <w:t>X＞</w:t>
            </w:r>
            <w:r>
              <w:rPr>
                <w:rFonts w:hint="eastAsia"/>
                <w:sz w:val="18"/>
                <w:szCs w:val="18"/>
              </w:rPr>
              <w:t>10mg/kg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w:t>
            </w:r>
            <w:r>
              <w:rPr>
                <w:sz w:val="18"/>
                <w:szCs w:val="18"/>
              </w:rPr>
              <w:t>X＞</w:t>
            </w:r>
            <w:r>
              <w:rPr>
                <w:rFonts w:hint="eastAsia"/>
                <w:sz w:val="18"/>
                <w:szCs w:val="18"/>
              </w:rPr>
              <w:t>100mg/kg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100g/kg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8</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萘（反应型、溶剂型）</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溶剂型:≤500g/kg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溶剂型:≤500g/kg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w:t>
            </w:r>
            <w:r>
              <w:rPr>
                <w:sz w:val="18"/>
                <w:szCs w:val="18"/>
              </w:rPr>
              <w:t>X＞</w:t>
            </w:r>
            <w:r>
              <w:rPr>
                <w:rFonts w:hint="eastAsia"/>
                <w:sz w:val="18"/>
                <w:szCs w:val="18"/>
              </w:rPr>
              <w:t>200mg/kg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w:t>
            </w:r>
            <w:r>
              <w:rPr>
                <w:sz w:val="18"/>
                <w:szCs w:val="18"/>
              </w:rPr>
              <w:t>X＞</w:t>
            </w:r>
            <w:r>
              <w:rPr>
                <w:rFonts w:hint="eastAsia"/>
                <w:sz w:val="18"/>
                <w:szCs w:val="18"/>
              </w:rPr>
              <w:t>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溶剂型:</w:t>
            </w:r>
            <w:r>
              <w:rPr>
                <w:sz w:val="18"/>
                <w:szCs w:val="18"/>
              </w:rPr>
              <w:t xml:space="preserve"> X＞</w:t>
            </w:r>
            <w:r>
              <w:rPr>
                <w:rFonts w:hint="eastAsia"/>
                <w:sz w:val="18"/>
                <w:szCs w:val="18"/>
              </w:rPr>
              <w:t>500g/kg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sz w:val="18"/>
                <w:szCs w:val="18"/>
              </w:rPr>
              <w:t>9</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游离TDI（限聚氨酯类）</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≤3g/kg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≤7g/kg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≤3g/kg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≤7g/kg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反应型A级</w:t>
            </w:r>
            <w:r>
              <w:rPr>
                <w:sz w:val="18"/>
                <w:szCs w:val="18"/>
              </w:rPr>
              <w:t>:</w:t>
            </w:r>
            <w:r>
              <w:rPr>
                <w:rFonts w:hint="eastAsia"/>
                <w:sz w:val="18"/>
                <w:szCs w:val="18"/>
              </w:rPr>
              <w:t xml:space="preserve"> </w:t>
            </w:r>
            <w:r>
              <w:rPr>
                <w:sz w:val="18"/>
                <w:szCs w:val="18"/>
              </w:rPr>
              <w:t>X＞</w:t>
            </w:r>
            <w:r>
              <w:rPr>
                <w:rFonts w:hint="eastAsia"/>
                <w:sz w:val="18"/>
                <w:szCs w:val="18"/>
              </w:rPr>
              <w:t>3g/kg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反应型B级</w:t>
            </w:r>
            <w:r>
              <w:rPr>
                <w:sz w:val="18"/>
                <w:szCs w:val="18"/>
              </w:rPr>
              <w:t>:</w:t>
            </w:r>
            <w:r>
              <w:rPr>
                <w:rFonts w:hint="eastAsia"/>
                <w:sz w:val="18"/>
                <w:szCs w:val="18"/>
              </w:rPr>
              <w:t xml:space="preserve"> </w:t>
            </w:r>
            <w:r>
              <w:rPr>
                <w:sz w:val="18"/>
                <w:szCs w:val="18"/>
              </w:rPr>
              <w:t>X＞</w:t>
            </w:r>
            <w:r>
              <w:rPr>
                <w:rFonts w:hint="eastAsia"/>
                <w:sz w:val="18"/>
                <w:szCs w:val="18"/>
              </w:rPr>
              <w:t>7g/kg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10</w:t>
            </w:r>
          </w:p>
        </w:tc>
        <w:tc>
          <w:tcPr>
            <w:tcW w:w="1096"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jc w:val="center"/>
              <w:textAlignment w:val="auto"/>
              <w:outlineLvl w:val="9"/>
              <w:rPr>
                <w:sz w:val="18"/>
                <w:szCs w:val="18"/>
              </w:rPr>
            </w:pPr>
            <w:r>
              <w:rPr>
                <w:rFonts w:hint="eastAsia"/>
                <w:sz w:val="18"/>
                <w:szCs w:val="18"/>
              </w:rPr>
              <w:t>氨（水性）</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A级:≤500mg/kg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B级:≤1000mg/kg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A级:≤500mg/kg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B级:≤1000mg/kg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A级:</w:t>
            </w:r>
            <w:r>
              <w:rPr>
                <w:sz w:val="18"/>
                <w:szCs w:val="18"/>
              </w:rPr>
              <w:t xml:space="preserve"> X＞</w:t>
            </w:r>
            <w:r>
              <w:rPr>
                <w:rFonts w:hint="eastAsia"/>
                <w:sz w:val="18"/>
                <w:szCs w:val="18"/>
              </w:rPr>
              <w:t>500mg/kg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B级:</w:t>
            </w:r>
            <w:r>
              <w:rPr>
                <w:sz w:val="18"/>
                <w:szCs w:val="18"/>
              </w:rPr>
              <w:t xml:space="preserve"> X＞</w:t>
            </w:r>
            <w:r>
              <w:rPr>
                <w:rFonts w:hint="eastAsia"/>
                <w:sz w:val="18"/>
                <w:szCs w:val="18"/>
              </w:rPr>
              <w:t>1000mg/kg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rFonts w:hint="eastAsia"/>
                <w:sz w:val="18"/>
                <w:szCs w:val="18"/>
              </w:rPr>
              <w:t>11</w:t>
            </w:r>
          </w:p>
        </w:tc>
        <w:tc>
          <w:tcPr>
            <w:tcW w:w="1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可溶性重金属</w:t>
            </w:r>
            <w:r>
              <w:rPr>
                <w:rFonts w:hint="eastAsia"/>
                <w:sz w:val="18"/>
                <w:szCs w:val="18"/>
              </w:rPr>
              <w:t>（非</w:t>
            </w:r>
            <w:r>
              <w:rPr>
                <w:sz w:val="18"/>
                <w:szCs w:val="18"/>
              </w:rPr>
              <w:t>无色、白色、黑色</w:t>
            </w:r>
            <w:r>
              <w:rPr>
                <w:rFonts w:hint="eastAsia"/>
                <w:sz w:val="18"/>
                <w:szCs w:val="18"/>
              </w:rPr>
              <w:t>防水涂料）</w:t>
            </w:r>
          </w:p>
        </w:tc>
        <w:tc>
          <w:tcPr>
            <w:tcW w:w="19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铅（Pb）</w:t>
            </w:r>
            <w:r>
              <w:rPr>
                <w:rFonts w:hint="eastAsia"/>
                <w:sz w:val="18"/>
                <w:szCs w:val="18"/>
              </w:rPr>
              <w:t>≤</w:t>
            </w:r>
            <w:r>
              <w:rPr>
                <w:sz w:val="18"/>
                <w:szCs w:val="18"/>
              </w:rPr>
              <w:t>90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镉（Cd）</w:t>
            </w:r>
            <w:r>
              <w:rPr>
                <w:rFonts w:hint="eastAsia"/>
                <w:sz w:val="18"/>
                <w:szCs w:val="18"/>
              </w:rPr>
              <w:t>≤</w:t>
            </w:r>
            <w:r>
              <w:rPr>
                <w:sz w:val="18"/>
                <w:szCs w:val="18"/>
              </w:rPr>
              <w:t>75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铬（Cr）</w:t>
            </w:r>
            <w:r>
              <w:rPr>
                <w:rFonts w:hint="eastAsia"/>
                <w:sz w:val="18"/>
                <w:szCs w:val="18"/>
              </w:rPr>
              <w:t>≤</w:t>
            </w:r>
            <w:r>
              <w:rPr>
                <w:sz w:val="18"/>
                <w:szCs w:val="18"/>
              </w:rPr>
              <w:t>60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汞（Hg）</w:t>
            </w:r>
            <w:r>
              <w:rPr>
                <w:rFonts w:hint="eastAsia"/>
                <w:sz w:val="18"/>
                <w:szCs w:val="18"/>
              </w:rPr>
              <w:t>≤</w:t>
            </w:r>
            <w:r>
              <w:rPr>
                <w:sz w:val="18"/>
                <w:szCs w:val="18"/>
              </w:rPr>
              <w:t>60 mg/kg</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铅（Pb）</w:t>
            </w:r>
            <w:r>
              <w:rPr>
                <w:rFonts w:hint="eastAsia"/>
                <w:sz w:val="18"/>
                <w:szCs w:val="18"/>
              </w:rPr>
              <w:t>≤</w:t>
            </w:r>
            <w:r>
              <w:rPr>
                <w:sz w:val="18"/>
                <w:szCs w:val="18"/>
              </w:rPr>
              <w:t>90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镉（Cd）</w:t>
            </w:r>
            <w:r>
              <w:rPr>
                <w:rFonts w:hint="eastAsia"/>
                <w:sz w:val="18"/>
                <w:szCs w:val="18"/>
              </w:rPr>
              <w:t>≤</w:t>
            </w:r>
            <w:r>
              <w:rPr>
                <w:sz w:val="18"/>
                <w:szCs w:val="18"/>
              </w:rPr>
              <w:t>75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铬（Cr）</w:t>
            </w:r>
            <w:r>
              <w:rPr>
                <w:rFonts w:hint="eastAsia"/>
                <w:sz w:val="18"/>
                <w:szCs w:val="18"/>
              </w:rPr>
              <w:t>≤</w:t>
            </w:r>
            <w:r>
              <w:rPr>
                <w:sz w:val="18"/>
                <w:szCs w:val="18"/>
              </w:rPr>
              <w:t>60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汞（Hg）</w:t>
            </w:r>
            <w:r>
              <w:rPr>
                <w:rFonts w:hint="eastAsia"/>
                <w:sz w:val="18"/>
                <w:szCs w:val="18"/>
              </w:rPr>
              <w:t>≤</w:t>
            </w:r>
            <w:r>
              <w:rPr>
                <w:sz w:val="18"/>
                <w:szCs w:val="18"/>
              </w:rPr>
              <w:t>60 mg/kg</w:t>
            </w:r>
          </w:p>
        </w:tc>
        <w:tc>
          <w:tcPr>
            <w:tcW w:w="851"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850" w:type="dxa"/>
            <w:vAlign w:val="center"/>
          </w:tcPr>
          <w:p>
            <w:pPr>
              <w:keepNext w:val="0"/>
              <w:keepLines w:val="0"/>
              <w:pageBreakBefore w:val="0"/>
              <w:widowControl w:val="0"/>
              <w:kinsoku/>
              <w:wordWrap/>
              <w:overflowPunct/>
              <w:topLinePunct w:val="0"/>
              <w:autoSpaceDE/>
              <w:autoSpaceDN/>
              <w:bidi w:val="0"/>
              <w:adjustRightInd w:val="0"/>
              <w:spacing w:line="240" w:lineRule="exact"/>
              <w:ind w:left="0" w:leftChars="0" w:right="0" w:rightChars="0"/>
              <w:jc w:val="center"/>
              <w:textAlignment w:val="auto"/>
              <w:outlineLvl w:val="9"/>
              <w:rPr>
                <w:sz w:val="18"/>
                <w:szCs w:val="18"/>
              </w:rPr>
            </w:pPr>
            <w:r>
              <w:rPr>
                <w:rFonts w:hint="eastAsia"/>
                <w:sz w:val="18"/>
                <w:szCs w:val="18"/>
              </w:rPr>
              <w:t>/</w:t>
            </w:r>
          </w:p>
        </w:tc>
        <w:tc>
          <w:tcPr>
            <w:tcW w:w="16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铅（Pb）X＞90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镉（Cd）X＞75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铬（Cr）X＞60 mg/kg</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sz w:val="18"/>
                <w:szCs w:val="18"/>
              </w:rPr>
            </w:pPr>
            <w:r>
              <w:rPr>
                <w:sz w:val="18"/>
                <w:szCs w:val="18"/>
              </w:rPr>
              <w:t>汞（Hg）X＞60 mg/kg</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水性木器涂料</w:t>
      </w:r>
    </w:p>
    <w:tbl>
      <w:tblPr>
        <w:tblStyle w:val="3"/>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521"/>
        <w:gridCol w:w="1701"/>
        <w:gridCol w:w="1843"/>
        <w:gridCol w:w="851"/>
        <w:gridCol w:w="85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序号</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检验项目</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18"/>
                <w:szCs w:val="18"/>
              </w:rPr>
            </w:pPr>
            <w:r>
              <w:rPr>
                <w:sz w:val="18"/>
                <w:szCs w:val="18"/>
              </w:rPr>
              <w:t>标准要求</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样本合格</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r>
              <w:rPr>
                <w:sz w:val="18"/>
                <w:szCs w:val="18"/>
              </w:rPr>
              <w:t>轻微不合格</w:t>
            </w:r>
          </w:p>
        </w:tc>
        <w:tc>
          <w:tcPr>
            <w:tcW w:w="85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较严重不合格</w:t>
            </w:r>
          </w:p>
        </w:tc>
        <w:tc>
          <w:tcPr>
            <w:tcW w:w="1658"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18"/>
              </w:rPr>
            </w:pPr>
            <w:r>
              <w:rPr>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8" w:type="dxa"/>
            <w:vAlign w:val="center"/>
          </w:tcPr>
          <w:p>
            <w:pPr>
              <w:spacing w:line="240" w:lineRule="atLeast"/>
              <w:jc w:val="center"/>
              <w:rPr>
                <w:sz w:val="18"/>
                <w:szCs w:val="18"/>
              </w:rPr>
            </w:pPr>
            <w:r>
              <w:rPr>
                <w:sz w:val="18"/>
                <w:szCs w:val="18"/>
              </w:rPr>
              <w:t>1</w:t>
            </w:r>
          </w:p>
        </w:tc>
        <w:tc>
          <w:tcPr>
            <w:tcW w:w="1521" w:type="dxa"/>
            <w:vAlign w:val="center"/>
          </w:tcPr>
          <w:p>
            <w:pPr>
              <w:spacing w:line="240" w:lineRule="atLeast"/>
              <w:jc w:val="center"/>
              <w:rPr>
                <w:sz w:val="18"/>
                <w:szCs w:val="18"/>
              </w:rPr>
            </w:pPr>
            <w:r>
              <w:rPr>
                <w:sz w:val="18"/>
                <w:szCs w:val="18"/>
              </w:rPr>
              <w:t>挥发性有机化合物含量</w:t>
            </w:r>
          </w:p>
        </w:tc>
        <w:tc>
          <w:tcPr>
            <w:tcW w:w="1701" w:type="dxa"/>
            <w:vAlign w:val="center"/>
          </w:tcPr>
          <w:p>
            <w:pPr>
              <w:adjustRightInd w:val="0"/>
              <w:snapToGrid w:val="0"/>
              <w:spacing w:line="240" w:lineRule="atLeast"/>
              <w:jc w:val="center"/>
              <w:rPr>
                <w:sz w:val="18"/>
                <w:szCs w:val="18"/>
              </w:rPr>
            </w:pPr>
            <w:r>
              <w:rPr>
                <w:rFonts w:hint="eastAsia"/>
                <w:sz w:val="18"/>
                <w:szCs w:val="18"/>
              </w:rPr>
              <w:t>涂料:≤300g/L</w:t>
            </w:r>
          </w:p>
          <w:p>
            <w:pPr>
              <w:adjustRightInd w:val="0"/>
              <w:snapToGrid w:val="0"/>
              <w:spacing w:line="240" w:lineRule="atLeast"/>
              <w:jc w:val="center"/>
              <w:rPr>
                <w:sz w:val="18"/>
                <w:szCs w:val="18"/>
              </w:rPr>
            </w:pPr>
            <w:r>
              <w:rPr>
                <w:rFonts w:hint="eastAsia"/>
                <w:sz w:val="18"/>
                <w:szCs w:val="18"/>
              </w:rPr>
              <w:t>腻子:≤60g/kg</w:t>
            </w:r>
          </w:p>
        </w:tc>
        <w:tc>
          <w:tcPr>
            <w:tcW w:w="1843" w:type="dxa"/>
            <w:vAlign w:val="center"/>
          </w:tcPr>
          <w:p>
            <w:pPr>
              <w:adjustRightInd w:val="0"/>
              <w:snapToGrid w:val="0"/>
              <w:spacing w:line="240" w:lineRule="atLeast"/>
              <w:jc w:val="center"/>
              <w:rPr>
                <w:sz w:val="18"/>
                <w:szCs w:val="18"/>
              </w:rPr>
            </w:pPr>
            <w:r>
              <w:rPr>
                <w:rFonts w:hint="eastAsia"/>
                <w:sz w:val="18"/>
                <w:szCs w:val="18"/>
              </w:rPr>
              <w:t>涂料:≤300g/L</w:t>
            </w:r>
          </w:p>
          <w:p>
            <w:pPr>
              <w:adjustRightInd w:val="0"/>
              <w:snapToGrid w:val="0"/>
              <w:spacing w:line="240" w:lineRule="atLeast"/>
              <w:jc w:val="center"/>
              <w:rPr>
                <w:sz w:val="18"/>
                <w:szCs w:val="18"/>
              </w:rPr>
            </w:pPr>
            <w:r>
              <w:rPr>
                <w:rFonts w:hint="eastAsia"/>
                <w:sz w:val="18"/>
                <w:szCs w:val="18"/>
              </w:rPr>
              <w:t>腻子:≤60g/kg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658" w:type="dxa"/>
            <w:vAlign w:val="center"/>
          </w:tcPr>
          <w:p>
            <w:pPr>
              <w:adjustRightInd w:val="0"/>
              <w:snapToGrid w:val="0"/>
              <w:spacing w:line="240" w:lineRule="atLeast"/>
              <w:jc w:val="center"/>
              <w:rPr>
                <w:sz w:val="18"/>
                <w:szCs w:val="18"/>
              </w:rPr>
            </w:pPr>
            <w:r>
              <w:rPr>
                <w:rFonts w:hint="eastAsia"/>
                <w:sz w:val="18"/>
                <w:szCs w:val="18"/>
              </w:rPr>
              <w:t>涂料:</w:t>
            </w:r>
            <w:r>
              <w:rPr>
                <w:sz w:val="18"/>
                <w:szCs w:val="18"/>
              </w:rPr>
              <w:t xml:space="preserve"> X＞</w:t>
            </w:r>
            <w:r>
              <w:rPr>
                <w:rFonts w:hint="eastAsia"/>
                <w:sz w:val="18"/>
                <w:szCs w:val="18"/>
              </w:rPr>
              <w:t>300g/L</w:t>
            </w:r>
          </w:p>
          <w:p>
            <w:pPr>
              <w:adjustRightInd w:val="0"/>
              <w:snapToGrid w:val="0"/>
              <w:spacing w:line="240" w:lineRule="atLeast"/>
              <w:jc w:val="center"/>
              <w:rPr>
                <w:sz w:val="18"/>
                <w:szCs w:val="18"/>
              </w:rPr>
            </w:pPr>
            <w:r>
              <w:rPr>
                <w:rFonts w:hint="eastAsia"/>
                <w:sz w:val="18"/>
                <w:szCs w:val="18"/>
              </w:rPr>
              <w:t>腻子:</w:t>
            </w:r>
            <w:r>
              <w:rPr>
                <w:sz w:val="18"/>
                <w:szCs w:val="18"/>
              </w:rPr>
              <w:t xml:space="preserve"> X＞</w:t>
            </w:r>
            <w:r>
              <w:rPr>
                <w:rFonts w:hint="eastAsia"/>
                <w:sz w:val="18"/>
                <w:szCs w:val="18"/>
              </w:rPr>
              <w:t>60g/kg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8" w:type="dxa"/>
            <w:vAlign w:val="center"/>
          </w:tcPr>
          <w:p>
            <w:pPr>
              <w:spacing w:line="240" w:lineRule="atLeast"/>
              <w:jc w:val="center"/>
              <w:rPr>
                <w:sz w:val="18"/>
                <w:szCs w:val="18"/>
              </w:rPr>
            </w:pPr>
            <w:r>
              <w:rPr>
                <w:rFonts w:hint="eastAsia"/>
                <w:sz w:val="18"/>
                <w:szCs w:val="18"/>
              </w:rPr>
              <w:t>2</w:t>
            </w:r>
          </w:p>
        </w:tc>
        <w:tc>
          <w:tcPr>
            <w:tcW w:w="1521" w:type="dxa"/>
            <w:vAlign w:val="center"/>
          </w:tcPr>
          <w:p>
            <w:pPr>
              <w:spacing w:line="240" w:lineRule="atLeast"/>
              <w:jc w:val="center"/>
              <w:rPr>
                <w:sz w:val="18"/>
                <w:szCs w:val="18"/>
              </w:rPr>
            </w:pPr>
            <w:r>
              <w:rPr>
                <w:rFonts w:hint="eastAsia" w:ascii="宋体" w:hAnsi="宋体" w:cs="宋体"/>
                <w:kern w:val="0"/>
                <w:sz w:val="18"/>
                <w:szCs w:val="18"/>
              </w:rPr>
              <w:t>苯系物含量（</w:t>
            </w:r>
            <w:r>
              <w:rPr>
                <w:rFonts w:hint="eastAsia"/>
                <w:sz w:val="18"/>
                <w:szCs w:val="18"/>
              </w:rPr>
              <w:t>苯、甲苯、乙苯和二甲苯总和</w:t>
            </w:r>
            <w:r>
              <w:rPr>
                <w:rFonts w:hint="eastAsia" w:ascii="宋体" w:hAnsi="宋体" w:cs="宋体"/>
                <w:kern w:val="0"/>
                <w:sz w:val="18"/>
                <w:szCs w:val="18"/>
              </w:rPr>
              <w:t>）</w:t>
            </w:r>
          </w:p>
        </w:tc>
        <w:tc>
          <w:tcPr>
            <w:tcW w:w="1701" w:type="dxa"/>
            <w:vAlign w:val="center"/>
          </w:tcPr>
          <w:p>
            <w:pPr>
              <w:adjustRightInd w:val="0"/>
              <w:snapToGrid w:val="0"/>
              <w:spacing w:line="240" w:lineRule="atLeast"/>
              <w:jc w:val="center"/>
              <w:rPr>
                <w:sz w:val="18"/>
                <w:szCs w:val="18"/>
              </w:rPr>
            </w:pPr>
            <w:r>
              <w:rPr>
                <w:rFonts w:hint="eastAsia"/>
                <w:sz w:val="18"/>
                <w:szCs w:val="18"/>
              </w:rPr>
              <w:t>≤300mg/kg</w:t>
            </w:r>
          </w:p>
        </w:tc>
        <w:tc>
          <w:tcPr>
            <w:tcW w:w="1843" w:type="dxa"/>
            <w:vAlign w:val="center"/>
          </w:tcPr>
          <w:p>
            <w:pPr>
              <w:adjustRightInd w:val="0"/>
              <w:snapToGrid w:val="0"/>
              <w:spacing w:line="240" w:lineRule="atLeast"/>
              <w:jc w:val="center"/>
              <w:rPr>
                <w:sz w:val="18"/>
                <w:szCs w:val="18"/>
              </w:rPr>
            </w:pPr>
            <w:r>
              <w:rPr>
                <w:rFonts w:hint="eastAsia"/>
                <w:sz w:val="18"/>
                <w:szCs w:val="18"/>
              </w:rPr>
              <w:t>≤300mg/kg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658" w:type="dxa"/>
            <w:vAlign w:val="center"/>
          </w:tcPr>
          <w:p>
            <w:pPr>
              <w:adjustRightInd w:val="0"/>
              <w:snapToGrid w:val="0"/>
              <w:spacing w:line="240" w:lineRule="atLeast"/>
              <w:jc w:val="center"/>
              <w:rPr>
                <w:sz w:val="18"/>
                <w:szCs w:val="18"/>
              </w:rPr>
            </w:pPr>
            <w:r>
              <w:rPr>
                <w:sz w:val="18"/>
                <w:szCs w:val="18"/>
              </w:rPr>
              <w:t xml:space="preserve">X＞ </w:t>
            </w:r>
            <w:r>
              <w:rPr>
                <w:rFonts w:hint="eastAsia"/>
                <w:sz w:val="18"/>
                <w:szCs w:val="18"/>
              </w:rPr>
              <w:t>300mg/kg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8" w:type="dxa"/>
            <w:vAlign w:val="center"/>
          </w:tcPr>
          <w:p>
            <w:pPr>
              <w:spacing w:line="240" w:lineRule="atLeast"/>
              <w:jc w:val="center"/>
              <w:rPr>
                <w:sz w:val="18"/>
                <w:szCs w:val="18"/>
              </w:rPr>
            </w:pPr>
            <w:r>
              <w:rPr>
                <w:rFonts w:hint="eastAsia"/>
                <w:sz w:val="18"/>
                <w:szCs w:val="18"/>
              </w:rPr>
              <w:t>3</w:t>
            </w:r>
          </w:p>
        </w:tc>
        <w:tc>
          <w:tcPr>
            <w:tcW w:w="1521" w:type="dxa"/>
            <w:vAlign w:val="center"/>
          </w:tcPr>
          <w:p>
            <w:pPr>
              <w:spacing w:line="240" w:lineRule="atLeast"/>
              <w:jc w:val="center"/>
              <w:rPr>
                <w:sz w:val="18"/>
                <w:szCs w:val="18"/>
              </w:rPr>
            </w:pPr>
            <w:r>
              <w:rPr>
                <w:sz w:val="18"/>
                <w:szCs w:val="18"/>
              </w:rPr>
              <w:t>游离甲醛含量</w:t>
            </w:r>
          </w:p>
        </w:tc>
        <w:tc>
          <w:tcPr>
            <w:tcW w:w="1701" w:type="dxa"/>
            <w:vAlign w:val="center"/>
          </w:tcPr>
          <w:p>
            <w:pPr>
              <w:adjustRightInd w:val="0"/>
              <w:snapToGrid w:val="0"/>
              <w:spacing w:line="240" w:lineRule="atLeast"/>
              <w:jc w:val="center"/>
              <w:rPr>
                <w:sz w:val="18"/>
                <w:szCs w:val="18"/>
              </w:rPr>
            </w:pPr>
            <w:r>
              <w:rPr>
                <w:rFonts w:hint="eastAsia"/>
                <w:sz w:val="18"/>
                <w:szCs w:val="18"/>
              </w:rPr>
              <w:t>≤100mg/kg</w:t>
            </w:r>
          </w:p>
        </w:tc>
        <w:tc>
          <w:tcPr>
            <w:tcW w:w="1843" w:type="dxa"/>
            <w:vAlign w:val="center"/>
          </w:tcPr>
          <w:p>
            <w:pPr>
              <w:adjustRightInd w:val="0"/>
              <w:snapToGrid w:val="0"/>
              <w:spacing w:line="240" w:lineRule="atLeast"/>
              <w:jc w:val="center"/>
              <w:rPr>
                <w:sz w:val="18"/>
                <w:szCs w:val="18"/>
              </w:rPr>
            </w:pPr>
            <w:r>
              <w:rPr>
                <w:rFonts w:hint="eastAsia"/>
                <w:sz w:val="18"/>
                <w:szCs w:val="18"/>
              </w:rPr>
              <w:t>≤100mg/kg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658" w:type="dxa"/>
            <w:vAlign w:val="center"/>
          </w:tcPr>
          <w:p>
            <w:pPr>
              <w:adjustRightInd w:val="0"/>
              <w:snapToGrid w:val="0"/>
              <w:spacing w:line="240" w:lineRule="atLeast"/>
              <w:jc w:val="center"/>
              <w:rPr>
                <w:sz w:val="18"/>
                <w:szCs w:val="18"/>
              </w:rPr>
            </w:pPr>
            <w:r>
              <w:rPr>
                <w:sz w:val="18"/>
                <w:szCs w:val="18"/>
              </w:rPr>
              <w:t xml:space="preserve">X＞ </w:t>
            </w:r>
            <w:r>
              <w:rPr>
                <w:rFonts w:hint="eastAsia"/>
                <w:sz w:val="18"/>
                <w:szCs w:val="18"/>
              </w:rPr>
              <w:t>100mg/kg</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8" w:type="dxa"/>
            <w:vAlign w:val="center"/>
          </w:tcPr>
          <w:p>
            <w:pPr>
              <w:spacing w:line="240" w:lineRule="atLeast"/>
              <w:jc w:val="center"/>
              <w:rPr>
                <w:sz w:val="18"/>
                <w:szCs w:val="18"/>
              </w:rPr>
            </w:pPr>
            <w:r>
              <w:rPr>
                <w:rFonts w:hint="eastAsia"/>
                <w:sz w:val="18"/>
                <w:szCs w:val="18"/>
              </w:rPr>
              <w:t>4</w:t>
            </w:r>
          </w:p>
        </w:tc>
        <w:tc>
          <w:tcPr>
            <w:tcW w:w="1521" w:type="dxa"/>
            <w:vAlign w:val="center"/>
          </w:tcPr>
          <w:p>
            <w:pPr>
              <w:spacing w:line="240" w:lineRule="atLeast"/>
              <w:jc w:val="center"/>
              <w:rPr>
                <w:sz w:val="18"/>
                <w:szCs w:val="18"/>
              </w:rPr>
            </w:pPr>
            <w:r>
              <w:rPr>
                <w:rFonts w:hint="eastAsia" w:ascii="宋体" w:hAnsi="宋体" w:cs="宋体"/>
                <w:kern w:val="0"/>
                <w:sz w:val="18"/>
                <w:szCs w:val="18"/>
              </w:rPr>
              <w:t>乙二醇醚及其酯类含量</w:t>
            </w:r>
            <w:r>
              <w:rPr>
                <w:sz w:val="18"/>
                <w:szCs w:val="18"/>
              </w:rPr>
              <w:t>(</w:t>
            </w:r>
            <w:r>
              <w:rPr>
                <w:rFonts w:ascii="Verdana" w:hAnsi="Verdana"/>
                <w:sz w:val="18"/>
                <w:szCs w:val="18"/>
              </w:rPr>
              <w:t>乙二醇甲醚、乙二醇甲醚醋酸酯、乙二醇乙醚、乙二醇乙醚醋酸</w:t>
            </w:r>
            <w:r>
              <w:rPr>
                <w:rFonts w:hint="eastAsia" w:ascii="Verdana" w:hAnsi="Verdana"/>
                <w:sz w:val="18"/>
                <w:szCs w:val="18"/>
              </w:rPr>
              <w:t>酯</w:t>
            </w:r>
            <w:r>
              <w:rPr>
                <w:rFonts w:ascii="Verdana" w:hAnsi="Verdana"/>
                <w:sz w:val="18"/>
                <w:szCs w:val="18"/>
              </w:rPr>
              <w:t>，二乙二醇丁醚醋酸酯总和</w:t>
            </w:r>
            <w:r>
              <w:rPr>
                <w:sz w:val="18"/>
                <w:szCs w:val="18"/>
              </w:rPr>
              <w:t>)</w:t>
            </w:r>
          </w:p>
        </w:tc>
        <w:tc>
          <w:tcPr>
            <w:tcW w:w="1701" w:type="dxa"/>
            <w:vAlign w:val="center"/>
          </w:tcPr>
          <w:p>
            <w:pPr>
              <w:adjustRightInd w:val="0"/>
              <w:snapToGrid w:val="0"/>
              <w:spacing w:line="240" w:lineRule="atLeast"/>
              <w:jc w:val="center"/>
              <w:rPr>
                <w:sz w:val="18"/>
                <w:szCs w:val="18"/>
              </w:rPr>
            </w:pPr>
            <w:r>
              <w:rPr>
                <w:rFonts w:hint="eastAsia"/>
                <w:sz w:val="18"/>
                <w:szCs w:val="18"/>
              </w:rPr>
              <w:t>≤300mg/kg</w:t>
            </w:r>
          </w:p>
        </w:tc>
        <w:tc>
          <w:tcPr>
            <w:tcW w:w="1843" w:type="dxa"/>
            <w:vAlign w:val="center"/>
          </w:tcPr>
          <w:p>
            <w:pPr>
              <w:adjustRightInd w:val="0"/>
              <w:snapToGrid w:val="0"/>
              <w:spacing w:line="240" w:lineRule="atLeast"/>
              <w:jc w:val="center"/>
              <w:rPr>
                <w:sz w:val="18"/>
                <w:szCs w:val="18"/>
              </w:rPr>
            </w:pPr>
            <w:r>
              <w:rPr>
                <w:rFonts w:hint="eastAsia"/>
                <w:sz w:val="18"/>
                <w:szCs w:val="18"/>
              </w:rPr>
              <w:t>≤300mg/kg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658" w:type="dxa"/>
            <w:vAlign w:val="center"/>
          </w:tcPr>
          <w:p>
            <w:pPr>
              <w:adjustRightInd w:val="0"/>
              <w:snapToGrid w:val="0"/>
              <w:spacing w:line="240" w:lineRule="atLeast"/>
              <w:jc w:val="center"/>
              <w:rPr>
                <w:sz w:val="18"/>
                <w:szCs w:val="18"/>
              </w:rPr>
            </w:pPr>
            <w:r>
              <w:rPr>
                <w:sz w:val="18"/>
                <w:szCs w:val="18"/>
              </w:rPr>
              <w:t xml:space="preserve">X＞ </w:t>
            </w:r>
            <w:r>
              <w:rPr>
                <w:rFonts w:hint="eastAsia"/>
                <w:sz w:val="18"/>
                <w:szCs w:val="18"/>
              </w:rPr>
              <w:t>300mg/kg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8" w:type="dxa"/>
            <w:vAlign w:val="center"/>
          </w:tcPr>
          <w:p>
            <w:pPr>
              <w:spacing w:line="240" w:lineRule="atLeast"/>
              <w:jc w:val="center"/>
              <w:rPr>
                <w:sz w:val="18"/>
                <w:szCs w:val="18"/>
              </w:rPr>
            </w:pPr>
            <w:r>
              <w:rPr>
                <w:rFonts w:hint="eastAsia"/>
                <w:sz w:val="18"/>
                <w:szCs w:val="18"/>
              </w:rPr>
              <w:t>5</w:t>
            </w:r>
          </w:p>
        </w:tc>
        <w:tc>
          <w:tcPr>
            <w:tcW w:w="1521" w:type="dxa"/>
            <w:vAlign w:val="center"/>
          </w:tcPr>
          <w:p>
            <w:pPr>
              <w:adjustRightInd w:val="0"/>
              <w:snapToGrid w:val="0"/>
              <w:spacing w:line="240" w:lineRule="atLeast"/>
              <w:jc w:val="center"/>
              <w:rPr>
                <w:sz w:val="18"/>
                <w:szCs w:val="18"/>
              </w:rPr>
            </w:pPr>
            <w:r>
              <w:rPr>
                <w:sz w:val="18"/>
                <w:szCs w:val="18"/>
              </w:rPr>
              <w:t>重金属</w:t>
            </w:r>
            <w:r>
              <w:rPr>
                <w:rFonts w:hint="eastAsia"/>
                <w:sz w:val="18"/>
                <w:szCs w:val="18"/>
              </w:rPr>
              <w:t>含量（限色漆和腻子）</w:t>
            </w:r>
          </w:p>
        </w:tc>
        <w:tc>
          <w:tcPr>
            <w:tcW w:w="1701"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napToGri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1843" w:type="dxa"/>
            <w:vAlign w:val="center"/>
          </w:tcPr>
          <w:p>
            <w:pPr>
              <w:adjustRightInd w:val="0"/>
              <w:snapToGrid w:val="0"/>
              <w:spacing w:line="240" w:lineRule="atLeast"/>
              <w:jc w:val="center"/>
              <w:rPr>
                <w:sz w:val="18"/>
                <w:szCs w:val="18"/>
              </w:rPr>
            </w:pPr>
            <w:r>
              <w:rPr>
                <w:sz w:val="18"/>
                <w:szCs w:val="18"/>
              </w:rPr>
              <w:t>铅（Pb）</w:t>
            </w:r>
            <w:r>
              <w:rPr>
                <w:rFonts w:hint="eastAsia"/>
                <w:sz w:val="18"/>
                <w:szCs w:val="18"/>
              </w:rPr>
              <w:t>≤</w:t>
            </w:r>
            <w:r>
              <w:rPr>
                <w:sz w:val="18"/>
                <w:szCs w:val="18"/>
              </w:rPr>
              <w:t>90 mg/kg</w:t>
            </w:r>
          </w:p>
          <w:p>
            <w:pPr>
              <w:adjustRightInd w:val="0"/>
              <w:snapToGrid w:val="0"/>
              <w:spacing w:line="240" w:lineRule="atLeast"/>
              <w:jc w:val="center"/>
              <w:rPr>
                <w:sz w:val="18"/>
                <w:szCs w:val="18"/>
              </w:rPr>
            </w:pPr>
            <w:r>
              <w:rPr>
                <w:sz w:val="18"/>
                <w:szCs w:val="18"/>
              </w:rPr>
              <w:t>镉（Cd）</w:t>
            </w:r>
            <w:r>
              <w:rPr>
                <w:rFonts w:hint="eastAsia"/>
                <w:sz w:val="18"/>
                <w:szCs w:val="18"/>
              </w:rPr>
              <w:t>≤</w:t>
            </w:r>
            <w:r>
              <w:rPr>
                <w:sz w:val="18"/>
                <w:szCs w:val="18"/>
              </w:rPr>
              <w:t>75 mg/kg</w:t>
            </w:r>
          </w:p>
          <w:p>
            <w:pPr>
              <w:adjustRightInd w:val="0"/>
              <w:snapToGrid w:val="0"/>
              <w:spacing w:line="240" w:lineRule="atLeast"/>
              <w:jc w:val="center"/>
              <w:rPr>
                <w:sz w:val="18"/>
                <w:szCs w:val="18"/>
              </w:rPr>
            </w:pPr>
            <w:r>
              <w:rPr>
                <w:sz w:val="18"/>
                <w:szCs w:val="18"/>
              </w:rPr>
              <w:t>铬（Cr）</w:t>
            </w:r>
            <w:r>
              <w:rPr>
                <w:rFonts w:hint="eastAsia"/>
                <w:sz w:val="18"/>
                <w:szCs w:val="18"/>
              </w:rPr>
              <w:t>≤</w:t>
            </w:r>
            <w:r>
              <w:rPr>
                <w:sz w:val="18"/>
                <w:szCs w:val="18"/>
              </w:rPr>
              <w:t>60 mg/kg</w:t>
            </w:r>
          </w:p>
          <w:p>
            <w:pPr>
              <w:adjustRightInd w:val="0"/>
              <w:snapToGrid w:val="0"/>
              <w:spacing w:line="240" w:lineRule="atLeast"/>
              <w:jc w:val="center"/>
              <w:rPr>
                <w:sz w:val="18"/>
                <w:szCs w:val="18"/>
              </w:rPr>
            </w:pPr>
            <w:r>
              <w:rPr>
                <w:sz w:val="18"/>
                <w:szCs w:val="18"/>
              </w:rPr>
              <w:t>汞（Hg）</w:t>
            </w:r>
            <w:r>
              <w:rPr>
                <w:rFonts w:hint="eastAsia"/>
                <w:sz w:val="18"/>
                <w:szCs w:val="18"/>
              </w:rPr>
              <w:t>≤</w:t>
            </w:r>
            <w:r>
              <w:rPr>
                <w:sz w:val="18"/>
                <w:szCs w:val="18"/>
              </w:rPr>
              <w:t>60 mg/kg</w:t>
            </w:r>
          </w:p>
        </w:tc>
        <w:tc>
          <w:tcPr>
            <w:tcW w:w="851" w:type="dxa"/>
            <w:vAlign w:val="center"/>
          </w:tcPr>
          <w:p>
            <w:pPr>
              <w:adjustRightInd w:val="0"/>
              <w:spacing w:line="240" w:lineRule="atLeast"/>
              <w:jc w:val="center"/>
              <w:rPr>
                <w:sz w:val="18"/>
                <w:szCs w:val="18"/>
              </w:rPr>
            </w:pPr>
            <w:r>
              <w:rPr>
                <w:rFonts w:hint="eastAsia"/>
                <w:sz w:val="18"/>
                <w:szCs w:val="18"/>
              </w:rPr>
              <w:t>/</w:t>
            </w:r>
          </w:p>
        </w:tc>
        <w:tc>
          <w:tcPr>
            <w:tcW w:w="850" w:type="dxa"/>
            <w:vAlign w:val="center"/>
          </w:tcPr>
          <w:p>
            <w:pPr>
              <w:adjustRightInd w:val="0"/>
              <w:spacing w:line="240" w:lineRule="atLeast"/>
              <w:jc w:val="center"/>
              <w:rPr>
                <w:sz w:val="18"/>
                <w:szCs w:val="18"/>
              </w:rPr>
            </w:pPr>
            <w:r>
              <w:rPr>
                <w:rFonts w:hint="eastAsia"/>
                <w:sz w:val="18"/>
                <w:szCs w:val="18"/>
              </w:rPr>
              <w:t>/</w:t>
            </w:r>
          </w:p>
        </w:tc>
        <w:tc>
          <w:tcPr>
            <w:tcW w:w="1658" w:type="dxa"/>
            <w:vAlign w:val="center"/>
          </w:tcPr>
          <w:p>
            <w:pPr>
              <w:adjustRightInd w:val="0"/>
              <w:snapToGrid w:val="0"/>
              <w:spacing w:line="240" w:lineRule="atLeast"/>
              <w:jc w:val="center"/>
              <w:rPr>
                <w:sz w:val="18"/>
                <w:szCs w:val="18"/>
              </w:rPr>
            </w:pPr>
            <w:r>
              <w:rPr>
                <w:sz w:val="18"/>
                <w:szCs w:val="18"/>
              </w:rPr>
              <w:t>铅（Pb）X＞90 mg/kg</w:t>
            </w:r>
          </w:p>
          <w:p>
            <w:pPr>
              <w:adjustRightInd w:val="0"/>
              <w:snapToGrid w:val="0"/>
              <w:spacing w:line="240" w:lineRule="atLeast"/>
              <w:jc w:val="center"/>
              <w:rPr>
                <w:sz w:val="18"/>
                <w:szCs w:val="18"/>
              </w:rPr>
            </w:pPr>
            <w:r>
              <w:rPr>
                <w:sz w:val="18"/>
                <w:szCs w:val="18"/>
              </w:rPr>
              <w:t>镉（Cd）X＞75 mg/kg</w:t>
            </w:r>
          </w:p>
          <w:p>
            <w:pPr>
              <w:adjustRightInd w:val="0"/>
              <w:snapToGrid w:val="0"/>
              <w:spacing w:line="240" w:lineRule="atLeast"/>
              <w:jc w:val="center"/>
              <w:rPr>
                <w:sz w:val="18"/>
                <w:szCs w:val="18"/>
              </w:rPr>
            </w:pPr>
            <w:r>
              <w:rPr>
                <w:sz w:val="18"/>
                <w:szCs w:val="18"/>
              </w:rPr>
              <w:t>铬（Cr）X＞60 mg/kg</w:t>
            </w:r>
          </w:p>
          <w:p>
            <w:pPr>
              <w:adjustRightInd w:val="0"/>
              <w:snapToGrid w:val="0"/>
              <w:spacing w:line="240" w:lineRule="atLeast"/>
              <w:jc w:val="center"/>
              <w:rPr>
                <w:sz w:val="18"/>
                <w:szCs w:val="18"/>
              </w:rPr>
            </w:pPr>
            <w:r>
              <w:rPr>
                <w:sz w:val="18"/>
                <w:szCs w:val="18"/>
              </w:rPr>
              <w:t>汞（Hg）X＞60 mg/kg</w:t>
            </w:r>
          </w:p>
        </w:tc>
      </w:tr>
    </w:tbl>
    <w:p>
      <w:pPr>
        <w:ind w:firstLine="640" w:firstLineChars="200"/>
        <w:rPr>
          <w:rFonts w:eastAsia="楷体_GB2312"/>
          <w:szCs w:val="32"/>
        </w:rPr>
      </w:pPr>
      <w:r>
        <w:rPr>
          <w:rFonts w:hint="eastAsia" w:eastAsia="楷体_GB2312"/>
          <w:szCs w:val="32"/>
        </w:rPr>
        <w:t>（三）</w:t>
      </w:r>
      <w:r>
        <w:rPr>
          <w:rFonts w:eastAsia="楷体_GB2312"/>
          <w:szCs w:val="32"/>
        </w:rPr>
        <w:t>内在质量计数型项目的规范限及不合格划分表。</w:t>
      </w:r>
    </w:p>
    <w:p>
      <w:pPr>
        <w:spacing w:line="560" w:lineRule="exact"/>
        <w:ind w:firstLine="640" w:firstLineChars="200"/>
        <w:rPr>
          <w:szCs w:val="28"/>
        </w:rPr>
      </w:pPr>
      <w:r>
        <w:rPr>
          <w:szCs w:val="28"/>
        </w:rPr>
        <w:t>根据计数型质量特性对商品整体质量的影响程度，分为重要质量特性、较重要质量特性和次要质量特性。</w:t>
      </w:r>
    </w:p>
    <w:p>
      <w:pPr>
        <w:ind w:firstLine="640" w:firstLineChars="200"/>
        <w:jc w:val="left"/>
        <w:rPr>
          <w:szCs w:val="28"/>
        </w:rPr>
      </w:pPr>
      <w:r>
        <w:rPr>
          <w:rFonts w:hint="eastAsia"/>
          <w:szCs w:val="28"/>
        </w:rPr>
        <w:t>1</w:t>
      </w:r>
      <w:r>
        <w:rPr>
          <w:rFonts w:hint="eastAsia"/>
          <w:szCs w:val="28"/>
          <w:lang w:eastAsia="zh-CN"/>
        </w:rPr>
        <w:t>．</w:t>
      </w:r>
      <w:r>
        <w:rPr>
          <w:szCs w:val="28"/>
        </w:rPr>
        <w:t>内墙涂料</w:t>
      </w:r>
    </w:p>
    <w:tbl>
      <w:tblPr>
        <w:tblStyle w:val="3"/>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068"/>
        <w:gridCol w:w="2034"/>
        <w:gridCol w:w="203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513" w:type="dxa"/>
            <w:vAlign w:val="center"/>
          </w:tcPr>
          <w:p>
            <w:pPr>
              <w:adjustRightInd w:val="0"/>
              <w:snapToGrid w:val="0"/>
              <w:spacing w:line="240" w:lineRule="atLeast"/>
              <w:jc w:val="center"/>
              <w:rPr>
                <w:sz w:val="18"/>
                <w:szCs w:val="18"/>
              </w:rPr>
            </w:pPr>
            <w:r>
              <w:rPr>
                <w:sz w:val="18"/>
                <w:szCs w:val="18"/>
              </w:rPr>
              <w:t>序号</w:t>
            </w:r>
          </w:p>
        </w:tc>
        <w:tc>
          <w:tcPr>
            <w:tcW w:w="2068" w:type="dxa"/>
            <w:vAlign w:val="center"/>
          </w:tcPr>
          <w:p>
            <w:pPr>
              <w:adjustRightInd w:val="0"/>
              <w:snapToGrid w:val="0"/>
              <w:spacing w:line="240" w:lineRule="atLeast"/>
              <w:jc w:val="center"/>
              <w:rPr>
                <w:sz w:val="18"/>
                <w:szCs w:val="18"/>
              </w:rPr>
            </w:pPr>
            <w:r>
              <w:rPr>
                <w:sz w:val="18"/>
                <w:szCs w:val="18"/>
              </w:rPr>
              <w:t>检验项目</w:t>
            </w:r>
          </w:p>
        </w:tc>
        <w:tc>
          <w:tcPr>
            <w:tcW w:w="2034" w:type="dxa"/>
            <w:vAlign w:val="center"/>
          </w:tcPr>
          <w:p>
            <w:pPr>
              <w:adjustRightInd w:val="0"/>
              <w:snapToGrid w:val="0"/>
              <w:spacing w:line="240" w:lineRule="atLeast"/>
              <w:jc w:val="center"/>
              <w:rPr>
                <w:sz w:val="18"/>
                <w:szCs w:val="18"/>
              </w:rPr>
            </w:pPr>
            <w:r>
              <w:rPr>
                <w:sz w:val="18"/>
                <w:szCs w:val="18"/>
              </w:rPr>
              <w:t>标准要求</w:t>
            </w:r>
          </w:p>
        </w:tc>
        <w:tc>
          <w:tcPr>
            <w:tcW w:w="2034" w:type="dxa"/>
            <w:vAlign w:val="center"/>
          </w:tcPr>
          <w:p>
            <w:pPr>
              <w:adjustRightInd w:val="0"/>
              <w:spacing w:line="240" w:lineRule="atLeast"/>
              <w:jc w:val="center"/>
              <w:rPr>
                <w:sz w:val="18"/>
                <w:szCs w:val="18"/>
              </w:rPr>
            </w:pPr>
            <w:r>
              <w:rPr>
                <w:sz w:val="18"/>
                <w:szCs w:val="18"/>
              </w:rPr>
              <w:t>样本合格</w:t>
            </w:r>
          </w:p>
        </w:tc>
        <w:tc>
          <w:tcPr>
            <w:tcW w:w="2264" w:type="dxa"/>
            <w:vAlign w:val="center"/>
          </w:tcPr>
          <w:p>
            <w:pPr>
              <w:adjustRightInd w:val="0"/>
              <w:spacing w:line="240" w:lineRule="atLeast"/>
              <w:jc w:val="center"/>
              <w:rPr>
                <w:sz w:val="18"/>
                <w:szCs w:val="18"/>
              </w:rPr>
            </w:pPr>
            <w:r>
              <w:rPr>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13" w:type="dxa"/>
            <w:vAlign w:val="center"/>
          </w:tcPr>
          <w:p>
            <w:pPr>
              <w:adjustRightInd w:val="0"/>
              <w:snapToGrid w:val="0"/>
              <w:spacing w:line="240" w:lineRule="atLeast"/>
              <w:jc w:val="center"/>
              <w:rPr>
                <w:sz w:val="18"/>
                <w:szCs w:val="18"/>
              </w:rPr>
            </w:pPr>
            <w:r>
              <w:rPr>
                <w:sz w:val="18"/>
                <w:szCs w:val="18"/>
              </w:rPr>
              <w:t>1</w:t>
            </w:r>
          </w:p>
        </w:tc>
        <w:tc>
          <w:tcPr>
            <w:tcW w:w="2068" w:type="dxa"/>
            <w:vAlign w:val="center"/>
          </w:tcPr>
          <w:p>
            <w:pPr>
              <w:adjustRightInd w:val="0"/>
              <w:snapToGrid w:val="0"/>
              <w:spacing w:line="240" w:lineRule="atLeast"/>
              <w:jc w:val="center"/>
              <w:rPr>
                <w:sz w:val="18"/>
                <w:szCs w:val="18"/>
              </w:rPr>
            </w:pPr>
            <w:r>
              <w:rPr>
                <w:sz w:val="18"/>
                <w:szCs w:val="18"/>
              </w:rPr>
              <w:t>耐洗刷性</w:t>
            </w:r>
          </w:p>
        </w:tc>
        <w:tc>
          <w:tcPr>
            <w:tcW w:w="2034" w:type="dxa"/>
            <w:vAlign w:val="center"/>
          </w:tcPr>
          <w:p>
            <w:pPr>
              <w:adjustRightInd w:val="0"/>
              <w:snapToGrid w:val="0"/>
              <w:spacing w:line="240" w:lineRule="atLeast"/>
              <w:jc w:val="center"/>
              <w:rPr>
                <w:sz w:val="18"/>
                <w:szCs w:val="18"/>
              </w:rPr>
            </w:pPr>
            <w:r>
              <w:rPr>
                <w:sz w:val="18"/>
                <w:szCs w:val="18"/>
              </w:rPr>
              <w:t>符合GB/T 9756标准要求</w:t>
            </w:r>
          </w:p>
        </w:tc>
        <w:tc>
          <w:tcPr>
            <w:tcW w:w="2034" w:type="dxa"/>
            <w:vAlign w:val="center"/>
          </w:tcPr>
          <w:p>
            <w:pPr>
              <w:adjustRightInd w:val="0"/>
              <w:snapToGrid w:val="0"/>
              <w:spacing w:line="240" w:lineRule="atLeast"/>
              <w:jc w:val="center"/>
              <w:rPr>
                <w:sz w:val="18"/>
                <w:szCs w:val="18"/>
              </w:rPr>
            </w:pPr>
            <w:r>
              <w:rPr>
                <w:sz w:val="18"/>
                <w:szCs w:val="18"/>
              </w:rPr>
              <w:t>符合GB/T 9756标准要求</w:t>
            </w:r>
          </w:p>
        </w:tc>
        <w:tc>
          <w:tcPr>
            <w:tcW w:w="2264" w:type="dxa"/>
            <w:vAlign w:val="center"/>
          </w:tcPr>
          <w:p>
            <w:pPr>
              <w:adjustRightInd w:val="0"/>
              <w:snapToGrid w:val="0"/>
              <w:spacing w:line="240" w:lineRule="atLeast"/>
              <w:jc w:val="center"/>
              <w:rPr>
                <w:sz w:val="18"/>
                <w:szCs w:val="18"/>
              </w:rPr>
            </w:pPr>
            <w:r>
              <w:rPr>
                <w:sz w:val="18"/>
                <w:szCs w:val="18"/>
              </w:rPr>
              <w:t>不符合GB/T 9756标准要求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13" w:type="dxa"/>
            <w:vAlign w:val="center"/>
          </w:tcPr>
          <w:p>
            <w:pPr>
              <w:adjustRightInd w:val="0"/>
              <w:snapToGrid w:val="0"/>
              <w:spacing w:line="240" w:lineRule="atLeast"/>
              <w:jc w:val="center"/>
              <w:rPr>
                <w:sz w:val="18"/>
                <w:szCs w:val="18"/>
              </w:rPr>
            </w:pPr>
            <w:r>
              <w:rPr>
                <w:rFonts w:hint="eastAsia"/>
                <w:sz w:val="18"/>
                <w:szCs w:val="18"/>
              </w:rPr>
              <w:t>2</w:t>
            </w:r>
          </w:p>
        </w:tc>
        <w:tc>
          <w:tcPr>
            <w:tcW w:w="2068" w:type="dxa"/>
            <w:vAlign w:val="center"/>
          </w:tcPr>
          <w:p>
            <w:pPr>
              <w:adjustRightInd w:val="0"/>
              <w:snapToGrid w:val="0"/>
              <w:spacing w:line="240" w:lineRule="atLeast"/>
              <w:jc w:val="center"/>
              <w:rPr>
                <w:sz w:val="18"/>
                <w:szCs w:val="18"/>
              </w:rPr>
            </w:pPr>
            <w:r>
              <w:rPr>
                <w:rFonts w:hint="eastAsia"/>
                <w:sz w:val="18"/>
                <w:szCs w:val="18"/>
              </w:rPr>
              <w:t>干燥时间</w:t>
            </w:r>
          </w:p>
        </w:tc>
        <w:tc>
          <w:tcPr>
            <w:tcW w:w="2034" w:type="dxa"/>
            <w:vAlign w:val="center"/>
          </w:tcPr>
          <w:p>
            <w:pPr>
              <w:adjustRightInd w:val="0"/>
              <w:snapToGrid w:val="0"/>
              <w:spacing w:line="240" w:lineRule="atLeast"/>
              <w:jc w:val="center"/>
              <w:rPr>
                <w:sz w:val="18"/>
                <w:szCs w:val="18"/>
              </w:rPr>
            </w:pPr>
            <w:r>
              <w:rPr>
                <w:sz w:val="18"/>
                <w:szCs w:val="18"/>
              </w:rPr>
              <w:t>符合GB/T 9756标准要求</w:t>
            </w:r>
          </w:p>
        </w:tc>
        <w:tc>
          <w:tcPr>
            <w:tcW w:w="2034" w:type="dxa"/>
            <w:vAlign w:val="center"/>
          </w:tcPr>
          <w:p>
            <w:pPr>
              <w:adjustRightInd w:val="0"/>
              <w:snapToGrid w:val="0"/>
              <w:spacing w:line="240" w:lineRule="atLeast"/>
              <w:jc w:val="center"/>
              <w:rPr>
                <w:sz w:val="18"/>
                <w:szCs w:val="18"/>
              </w:rPr>
            </w:pPr>
            <w:r>
              <w:rPr>
                <w:sz w:val="18"/>
                <w:szCs w:val="18"/>
              </w:rPr>
              <w:t>符合GB/T 9756标准要求</w:t>
            </w:r>
          </w:p>
        </w:tc>
        <w:tc>
          <w:tcPr>
            <w:tcW w:w="2264" w:type="dxa"/>
            <w:vAlign w:val="center"/>
          </w:tcPr>
          <w:p>
            <w:pPr>
              <w:adjustRightInd w:val="0"/>
              <w:snapToGrid w:val="0"/>
              <w:spacing w:line="240" w:lineRule="atLeast"/>
              <w:jc w:val="center"/>
              <w:rPr>
                <w:sz w:val="18"/>
                <w:szCs w:val="18"/>
              </w:rPr>
            </w:pPr>
            <w:r>
              <w:rPr>
                <w:sz w:val="18"/>
                <w:szCs w:val="18"/>
              </w:rPr>
              <w:t>不符合GB/T 9756标准要求</w:t>
            </w:r>
          </w:p>
        </w:tc>
      </w:tr>
    </w:tbl>
    <w:p>
      <w:pPr>
        <w:ind w:firstLine="640" w:firstLineChars="200"/>
        <w:jc w:val="left"/>
        <w:rPr>
          <w:szCs w:val="28"/>
        </w:rPr>
      </w:pPr>
      <w:r>
        <w:rPr>
          <w:rFonts w:hint="eastAsia"/>
          <w:szCs w:val="28"/>
        </w:rPr>
        <w:t>2</w:t>
      </w:r>
      <w:r>
        <w:rPr>
          <w:rFonts w:hint="eastAsia"/>
          <w:szCs w:val="28"/>
          <w:lang w:eastAsia="zh-CN"/>
        </w:rPr>
        <w:t>．</w:t>
      </w:r>
      <w:r>
        <w:rPr>
          <w:szCs w:val="28"/>
        </w:rPr>
        <w:t>外墙涂料</w:t>
      </w:r>
    </w:p>
    <w:tbl>
      <w:tblPr>
        <w:tblStyle w:val="3"/>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993"/>
        <w:gridCol w:w="2034"/>
        <w:gridCol w:w="203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88" w:type="dxa"/>
            <w:vAlign w:val="center"/>
          </w:tcPr>
          <w:p>
            <w:pPr>
              <w:adjustRightInd w:val="0"/>
              <w:snapToGrid w:val="0"/>
              <w:spacing w:line="240" w:lineRule="atLeast"/>
              <w:jc w:val="center"/>
              <w:rPr>
                <w:sz w:val="18"/>
                <w:szCs w:val="18"/>
              </w:rPr>
            </w:pPr>
            <w:r>
              <w:rPr>
                <w:sz w:val="18"/>
                <w:szCs w:val="18"/>
              </w:rPr>
              <w:t>序号</w:t>
            </w:r>
          </w:p>
        </w:tc>
        <w:tc>
          <w:tcPr>
            <w:tcW w:w="1993" w:type="dxa"/>
            <w:vAlign w:val="center"/>
          </w:tcPr>
          <w:p>
            <w:pPr>
              <w:adjustRightInd w:val="0"/>
              <w:snapToGrid w:val="0"/>
              <w:spacing w:line="240" w:lineRule="atLeast"/>
              <w:jc w:val="center"/>
              <w:rPr>
                <w:sz w:val="18"/>
                <w:szCs w:val="18"/>
              </w:rPr>
            </w:pPr>
            <w:r>
              <w:rPr>
                <w:sz w:val="18"/>
                <w:szCs w:val="18"/>
              </w:rPr>
              <w:t>检验项目</w:t>
            </w:r>
          </w:p>
        </w:tc>
        <w:tc>
          <w:tcPr>
            <w:tcW w:w="2034" w:type="dxa"/>
            <w:vAlign w:val="center"/>
          </w:tcPr>
          <w:p>
            <w:pPr>
              <w:adjustRightInd w:val="0"/>
              <w:snapToGrid w:val="0"/>
              <w:spacing w:line="240" w:lineRule="atLeast"/>
              <w:jc w:val="center"/>
              <w:rPr>
                <w:sz w:val="18"/>
                <w:szCs w:val="18"/>
              </w:rPr>
            </w:pPr>
            <w:r>
              <w:rPr>
                <w:sz w:val="18"/>
                <w:szCs w:val="18"/>
              </w:rPr>
              <w:t>标准要求</w:t>
            </w:r>
          </w:p>
        </w:tc>
        <w:tc>
          <w:tcPr>
            <w:tcW w:w="2034" w:type="dxa"/>
            <w:vAlign w:val="center"/>
          </w:tcPr>
          <w:p>
            <w:pPr>
              <w:adjustRightInd w:val="0"/>
              <w:spacing w:line="240" w:lineRule="atLeast"/>
              <w:jc w:val="center"/>
              <w:rPr>
                <w:sz w:val="18"/>
                <w:szCs w:val="18"/>
              </w:rPr>
            </w:pPr>
            <w:r>
              <w:rPr>
                <w:sz w:val="18"/>
                <w:szCs w:val="18"/>
              </w:rPr>
              <w:t>样本合格</w:t>
            </w:r>
          </w:p>
        </w:tc>
        <w:tc>
          <w:tcPr>
            <w:tcW w:w="2264" w:type="dxa"/>
            <w:vAlign w:val="center"/>
          </w:tcPr>
          <w:p>
            <w:pPr>
              <w:adjustRightInd w:val="0"/>
              <w:spacing w:line="240" w:lineRule="atLeast"/>
              <w:jc w:val="center"/>
              <w:rPr>
                <w:sz w:val="18"/>
                <w:szCs w:val="18"/>
              </w:rPr>
            </w:pPr>
            <w:r>
              <w:rPr>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588" w:type="dxa"/>
            <w:vAlign w:val="center"/>
          </w:tcPr>
          <w:p>
            <w:pPr>
              <w:adjustRightInd w:val="0"/>
              <w:snapToGrid w:val="0"/>
              <w:spacing w:line="240" w:lineRule="atLeast"/>
              <w:jc w:val="center"/>
              <w:rPr>
                <w:sz w:val="18"/>
                <w:szCs w:val="18"/>
              </w:rPr>
            </w:pPr>
            <w:r>
              <w:rPr>
                <w:rFonts w:hint="eastAsia"/>
                <w:sz w:val="18"/>
                <w:szCs w:val="18"/>
              </w:rPr>
              <w:t>1</w:t>
            </w:r>
          </w:p>
        </w:tc>
        <w:tc>
          <w:tcPr>
            <w:tcW w:w="1993" w:type="dxa"/>
            <w:vAlign w:val="center"/>
          </w:tcPr>
          <w:p>
            <w:pPr>
              <w:adjustRightInd w:val="0"/>
              <w:snapToGrid w:val="0"/>
              <w:spacing w:line="240" w:lineRule="atLeast"/>
              <w:jc w:val="center"/>
              <w:rPr>
                <w:sz w:val="18"/>
                <w:szCs w:val="18"/>
              </w:rPr>
            </w:pPr>
            <w:r>
              <w:rPr>
                <w:sz w:val="18"/>
                <w:szCs w:val="18"/>
              </w:rPr>
              <w:t>耐水性</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264" w:type="dxa"/>
            <w:vAlign w:val="center"/>
          </w:tcPr>
          <w:p>
            <w:pPr>
              <w:adjustRightInd w:val="0"/>
              <w:snapToGrid w:val="0"/>
              <w:spacing w:line="240" w:lineRule="atLeast"/>
              <w:jc w:val="center"/>
              <w:rPr>
                <w:sz w:val="18"/>
                <w:szCs w:val="18"/>
              </w:rPr>
            </w:pPr>
            <w:r>
              <w:rPr>
                <w:sz w:val="18"/>
                <w:szCs w:val="18"/>
              </w:rPr>
              <w:t>不符合GB/T 9755标准要求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588" w:type="dxa"/>
            <w:vAlign w:val="center"/>
          </w:tcPr>
          <w:p>
            <w:pPr>
              <w:adjustRightInd w:val="0"/>
              <w:snapToGrid w:val="0"/>
              <w:spacing w:line="240" w:lineRule="atLeast"/>
              <w:jc w:val="center"/>
              <w:rPr>
                <w:sz w:val="18"/>
                <w:szCs w:val="18"/>
              </w:rPr>
            </w:pPr>
            <w:r>
              <w:rPr>
                <w:rFonts w:hint="eastAsia"/>
                <w:sz w:val="18"/>
                <w:szCs w:val="18"/>
              </w:rPr>
              <w:t>2</w:t>
            </w:r>
          </w:p>
        </w:tc>
        <w:tc>
          <w:tcPr>
            <w:tcW w:w="1993" w:type="dxa"/>
            <w:vAlign w:val="center"/>
          </w:tcPr>
          <w:p>
            <w:pPr>
              <w:adjustRightInd w:val="0"/>
              <w:snapToGrid w:val="0"/>
              <w:spacing w:line="240" w:lineRule="atLeast"/>
              <w:jc w:val="center"/>
              <w:rPr>
                <w:sz w:val="18"/>
                <w:szCs w:val="18"/>
              </w:rPr>
            </w:pPr>
            <w:r>
              <w:rPr>
                <w:sz w:val="18"/>
                <w:szCs w:val="18"/>
              </w:rPr>
              <w:t>耐碱性</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264" w:type="dxa"/>
            <w:vAlign w:val="center"/>
          </w:tcPr>
          <w:p>
            <w:pPr>
              <w:adjustRightInd w:val="0"/>
              <w:snapToGrid w:val="0"/>
              <w:spacing w:line="240" w:lineRule="atLeast"/>
              <w:jc w:val="center"/>
              <w:rPr>
                <w:sz w:val="18"/>
                <w:szCs w:val="18"/>
              </w:rPr>
            </w:pPr>
            <w:r>
              <w:rPr>
                <w:sz w:val="18"/>
                <w:szCs w:val="18"/>
              </w:rPr>
              <w:t>不符合GB/T 9755标准要求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88" w:type="dxa"/>
            <w:vAlign w:val="center"/>
          </w:tcPr>
          <w:p>
            <w:pPr>
              <w:adjustRightInd w:val="0"/>
              <w:snapToGrid w:val="0"/>
              <w:spacing w:line="240" w:lineRule="atLeast"/>
              <w:jc w:val="center"/>
              <w:rPr>
                <w:sz w:val="18"/>
                <w:szCs w:val="18"/>
              </w:rPr>
            </w:pPr>
            <w:r>
              <w:rPr>
                <w:rFonts w:hint="eastAsia"/>
                <w:sz w:val="18"/>
                <w:szCs w:val="18"/>
              </w:rPr>
              <w:t>3</w:t>
            </w:r>
          </w:p>
        </w:tc>
        <w:tc>
          <w:tcPr>
            <w:tcW w:w="1993" w:type="dxa"/>
            <w:vAlign w:val="center"/>
          </w:tcPr>
          <w:p>
            <w:pPr>
              <w:adjustRightInd w:val="0"/>
              <w:snapToGrid w:val="0"/>
              <w:spacing w:line="240" w:lineRule="atLeast"/>
              <w:jc w:val="center"/>
              <w:rPr>
                <w:sz w:val="18"/>
                <w:szCs w:val="18"/>
              </w:rPr>
            </w:pPr>
            <w:r>
              <w:rPr>
                <w:sz w:val="18"/>
                <w:szCs w:val="18"/>
              </w:rPr>
              <w:t>耐洗刷性</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264" w:type="dxa"/>
            <w:vAlign w:val="center"/>
          </w:tcPr>
          <w:p>
            <w:pPr>
              <w:adjustRightInd w:val="0"/>
              <w:snapToGrid w:val="0"/>
              <w:spacing w:line="240" w:lineRule="atLeast"/>
              <w:jc w:val="center"/>
              <w:rPr>
                <w:sz w:val="18"/>
                <w:szCs w:val="18"/>
              </w:rPr>
            </w:pPr>
            <w:r>
              <w:rPr>
                <w:sz w:val="18"/>
                <w:szCs w:val="18"/>
              </w:rPr>
              <w:t>不符合GB/T 9755标准要求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88" w:type="dxa"/>
            <w:vAlign w:val="center"/>
          </w:tcPr>
          <w:p>
            <w:pPr>
              <w:adjustRightInd w:val="0"/>
              <w:snapToGrid w:val="0"/>
              <w:spacing w:line="240" w:lineRule="atLeast"/>
              <w:jc w:val="center"/>
              <w:rPr>
                <w:sz w:val="18"/>
                <w:szCs w:val="18"/>
              </w:rPr>
            </w:pPr>
            <w:r>
              <w:rPr>
                <w:rFonts w:hint="eastAsia"/>
                <w:sz w:val="18"/>
                <w:szCs w:val="18"/>
              </w:rPr>
              <w:t>4</w:t>
            </w:r>
          </w:p>
        </w:tc>
        <w:tc>
          <w:tcPr>
            <w:tcW w:w="1993" w:type="dxa"/>
            <w:vAlign w:val="center"/>
          </w:tcPr>
          <w:p>
            <w:pPr>
              <w:adjustRightInd w:val="0"/>
              <w:snapToGrid w:val="0"/>
              <w:spacing w:line="240" w:lineRule="atLeast"/>
              <w:jc w:val="center"/>
              <w:rPr>
                <w:sz w:val="18"/>
                <w:szCs w:val="18"/>
              </w:rPr>
            </w:pPr>
            <w:r>
              <w:rPr>
                <w:rFonts w:hint="eastAsia"/>
                <w:sz w:val="18"/>
                <w:szCs w:val="18"/>
              </w:rPr>
              <w:t>干燥时间</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034" w:type="dxa"/>
            <w:vAlign w:val="center"/>
          </w:tcPr>
          <w:p>
            <w:pPr>
              <w:adjustRightInd w:val="0"/>
              <w:snapToGrid w:val="0"/>
              <w:spacing w:line="240" w:lineRule="atLeast"/>
              <w:jc w:val="center"/>
              <w:rPr>
                <w:sz w:val="18"/>
                <w:szCs w:val="18"/>
              </w:rPr>
            </w:pPr>
            <w:r>
              <w:rPr>
                <w:sz w:val="18"/>
                <w:szCs w:val="18"/>
              </w:rPr>
              <w:t>符合GB/T 9755标准要求</w:t>
            </w:r>
          </w:p>
        </w:tc>
        <w:tc>
          <w:tcPr>
            <w:tcW w:w="2264" w:type="dxa"/>
            <w:vAlign w:val="center"/>
          </w:tcPr>
          <w:p>
            <w:pPr>
              <w:adjustRightInd w:val="0"/>
              <w:snapToGrid w:val="0"/>
              <w:spacing w:line="240" w:lineRule="atLeast"/>
              <w:jc w:val="center"/>
              <w:rPr>
                <w:sz w:val="18"/>
                <w:szCs w:val="18"/>
              </w:rPr>
            </w:pPr>
            <w:r>
              <w:rPr>
                <w:sz w:val="18"/>
                <w:szCs w:val="18"/>
              </w:rPr>
              <w:t>不符合GB/T 9755标准要求</w:t>
            </w:r>
          </w:p>
        </w:tc>
      </w:tr>
    </w:tbl>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黑体" w:hAnsi="黑体" w:eastAsia="黑体" w:cs="黑体"/>
          <w:szCs w:val="32"/>
        </w:rPr>
      </w:pPr>
      <w:r>
        <w:rPr>
          <w:rFonts w:hint="eastAsia" w:ascii="黑体" w:hAnsi="黑体" w:eastAsia="黑体" w:cs="黑体"/>
          <w:szCs w:val="32"/>
          <w:lang w:eastAsia="zh-CN"/>
        </w:rPr>
        <w:t>六、</w:t>
      </w:r>
      <w:r>
        <w:rPr>
          <w:rFonts w:hint="eastAsia" w:ascii="黑体" w:hAnsi="黑体" w:eastAsia="黑体" w:cs="黑体"/>
          <w:szCs w:val="32"/>
        </w:rPr>
        <w:t>判定原则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
          <w:szCs w:val="32"/>
        </w:rPr>
      </w:pPr>
      <w:r>
        <w:rPr>
          <w:rFonts w:eastAsia="仿宋"/>
          <w:szCs w:val="32"/>
        </w:rPr>
        <w:t>依据所检相关质量特性的重要程度及检测结论，对样本单元进行综合判定。对于不合格的样本单元，判定结果分为A类不合格、B类不合格、C类不合格和D类不合格四类。样本单元不合格的分类见下表。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
          <w:szCs w:val="32"/>
        </w:rPr>
      </w:pPr>
      <w:r>
        <w:rPr>
          <w:rFonts w:eastAsia="仿宋"/>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位为B类不合格；存在次要计数型质量特性不合格、或重要计量型质量特性轻微不合格、较重要计量型质量特性严重不合格，或次要计量型质量特性严重或较严重不合格，判定样本单元为C类不合格；存在较重要计量型质量特性轻微不合格，或次要计量型质量特性轻微不合格，判定样本单元为D类不合格。</w:t>
      </w:r>
    </w:p>
    <w:tbl>
      <w:tblPr>
        <w:tblStyle w:val="3"/>
        <w:tblW w:w="8204" w:type="dxa"/>
        <w:tblInd w:w="853" w:type="dxa"/>
        <w:tblLayout w:type="fixed"/>
        <w:tblCellMar>
          <w:top w:w="0" w:type="dxa"/>
          <w:left w:w="108" w:type="dxa"/>
          <w:bottom w:w="0" w:type="dxa"/>
          <w:right w:w="108" w:type="dxa"/>
        </w:tblCellMar>
      </w:tblPr>
      <w:tblGrid>
        <w:gridCol w:w="3880"/>
        <w:gridCol w:w="2700"/>
        <w:gridCol w:w="1624"/>
      </w:tblGrid>
      <w:tr>
        <w:tblPrEx>
          <w:tblLayout w:type="fixed"/>
          <w:tblCellMar>
            <w:top w:w="0" w:type="dxa"/>
            <w:left w:w="108" w:type="dxa"/>
            <w:bottom w:w="0" w:type="dxa"/>
            <w:right w:w="108" w:type="dxa"/>
          </w:tblCellMar>
        </w:tblPrEx>
        <w:trPr>
          <w:trHeight w:val="450" w:hRule="atLeast"/>
        </w:trPr>
        <w:tc>
          <w:tcPr>
            <w:tcW w:w="3880" w:type="dxa"/>
            <w:tcBorders>
              <w:top w:val="single" w:color="auto" w:sz="8" w:space="0"/>
              <w:left w:val="single" w:color="auto" w:sz="8" w:space="0"/>
              <w:bottom w:val="single" w:color="auto" w:sz="4" w:space="0"/>
              <w:right w:val="single" w:color="auto" w:sz="4" w:space="0"/>
            </w:tcBorders>
            <w:vAlign w:val="center"/>
          </w:tcPr>
          <w:p>
            <w:pPr>
              <w:widowControl/>
              <w:spacing w:line="440" w:lineRule="exact"/>
              <w:jc w:val="center"/>
              <w:rPr>
                <w:rFonts w:eastAsia="等线"/>
                <w:b w:val="0"/>
                <w:bCs w:val="0"/>
                <w:kern w:val="0"/>
                <w:sz w:val="22"/>
              </w:rPr>
            </w:pPr>
            <w:r>
              <w:rPr>
                <w:rFonts w:eastAsia="等线"/>
                <w:b w:val="0"/>
                <w:bCs w:val="0"/>
                <w:kern w:val="0"/>
                <w:sz w:val="22"/>
              </w:rPr>
              <w:t>计量型质量特性</w:t>
            </w:r>
          </w:p>
        </w:tc>
        <w:tc>
          <w:tcPr>
            <w:tcW w:w="2700" w:type="dxa"/>
            <w:tcBorders>
              <w:top w:val="single" w:color="auto" w:sz="8" w:space="0"/>
              <w:left w:val="nil"/>
              <w:bottom w:val="single" w:color="auto" w:sz="4" w:space="0"/>
              <w:right w:val="single" w:color="auto" w:sz="4" w:space="0"/>
            </w:tcBorders>
            <w:vAlign w:val="center"/>
          </w:tcPr>
          <w:p>
            <w:pPr>
              <w:widowControl/>
              <w:spacing w:line="440" w:lineRule="exact"/>
              <w:jc w:val="center"/>
              <w:rPr>
                <w:rFonts w:eastAsia="等线"/>
                <w:b w:val="0"/>
                <w:bCs w:val="0"/>
                <w:kern w:val="0"/>
                <w:sz w:val="22"/>
              </w:rPr>
            </w:pPr>
            <w:r>
              <w:rPr>
                <w:rFonts w:eastAsia="等线"/>
                <w:b w:val="0"/>
                <w:bCs w:val="0"/>
                <w:kern w:val="0"/>
                <w:sz w:val="22"/>
              </w:rPr>
              <w:t>计数型质量特性</w:t>
            </w:r>
          </w:p>
        </w:tc>
        <w:tc>
          <w:tcPr>
            <w:tcW w:w="1624" w:type="dxa"/>
            <w:tcBorders>
              <w:top w:val="single" w:color="auto" w:sz="8" w:space="0"/>
              <w:left w:val="nil"/>
              <w:bottom w:val="single" w:color="auto" w:sz="4" w:space="0"/>
              <w:right w:val="single" w:color="auto" w:sz="8" w:space="0"/>
            </w:tcBorders>
            <w:vAlign w:val="center"/>
          </w:tcPr>
          <w:p>
            <w:pPr>
              <w:widowControl/>
              <w:spacing w:line="440" w:lineRule="exact"/>
              <w:jc w:val="center"/>
              <w:rPr>
                <w:rFonts w:eastAsia="等线"/>
                <w:b w:val="0"/>
                <w:bCs w:val="0"/>
                <w:kern w:val="0"/>
                <w:sz w:val="22"/>
              </w:rPr>
            </w:pPr>
            <w:r>
              <w:rPr>
                <w:rFonts w:eastAsia="等线"/>
                <w:b w:val="0"/>
                <w:bCs w:val="0"/>
                <w:kern w:val="0"/>
                <w:sz w:val="22"/>
              </w:rPr>
              <w:t>不合格类型</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重要质量特性严重不合格</w:t>
            </w:r>
          </w:p>
        </w:tc>
        <w:tc>
          <w:tcPr>
            <w:tcW w:w="2700" w:type="dxa"/>
            <w:tcBorders>
              <w:top w:val="nil"/>
              <w:left w:val="nil"/>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重要特性不合格</w:t>
            </w:r>
          </w:p>
        </w:tc>
        <w:tc>
          <w:tcPr>
            <w:tcW w:w="1624" w:type="dxa"/>
            <w:tcBorders>
              <w:top w:val="nil"/>
              <w:left w:val="nil"/>
              <w:bottom w:val="single" w:color="auto" w:sz="4" w:space="0"/>
              <w:right w:val="single" w:color="auto" w:sz="8"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A类不合格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重要质量特性较严重不合格</w:t>
            </w:r>
          </w:p>
        </w:tc>
        <w:tc>
          <w:tcPr>
            <w:tcW w:w="2700" w:type="dxa"/>
            <w:vMerge w:val="restart"/>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较重要特性不合格</w:t>
            </w:r>
          </w:p>
        </w:tc>
        <w:tc>
          <w:tcPr>
            <w:tcW w:w="1624" w:type="dxa"/>
            <w:vMerge w:val="restart"/>
            <w:tcBorders>
              <w:top w:val="nil"/>
              <w:left w:val="single" w:color="auto" w:sz="4" w:space="0"/>
              <w:bottom w:val="single" w:color="auto" w:sz="4" w:space="0"/>
              <w:right w:val="single" w:color="auto" w:sz="8"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B类不合格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较重要质量特性严重不合格</w:t>
            </w: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c>
          <w:tcPr>
            <w:tcW w:w="1624" w:type="dxa"/>
            <w:vMerge w:val="continue"/>
            <w:tcBorders>
              <w:top w:val="nil"/>
              <w:left w:val="single" w:color="auto" w:sz="4" w:space="0"/>
              <w:bottom w:val="single" w:color="auto" w:sz="4" w:space="0"/>
              <w:right w:val="single" w:color="auto" w:sz="8"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重要质量特性轻微不合格</w:t>
            </w:r>
          </w:p>
        </w:tc>
        <w:tc>
          <w:tcPr>
            <w:tcW w:w="2700" w:type="dxa"/>
            <w:vMerge w:val="restart"/>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次要特性不合格</w:t>
            </w:r>
          </w:p>
        </w:tc>
        <w:tc>
          <w:tcPr>
            <w:tcW w:w="1624" w:type="dxa"/>
            <w:vMerge w:val="restart"/>
            <w:tcBorders>
              <w:top w:val="nil"/>
              <w:left w:val="single" w:color="auto" w:sz="4" w:space="0"/>
              <w:bottom w:val="single" w:color="auto" w:sz="4" w:space="0"/>
              <w:right w:val="single" w:color="auto" w:sz="8"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C类不合格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较要重质量特性较严重不合格</w:t>
            </w: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c>
          <w:tcPr>
            <w:tcW w:w="1624" w:type="dxa"/>
            <w:vMerge w:val="continue"/>
            <w:tcBorders>
              <w:top w:val="nil"/>
              <w:left w:val="single" w:color="auto" w:sz="4" w:space="0"/>
              <w:bottom w:val="single" w:color="auto" w:sz="4" w:space="0"/>
              <w:right w:val="single" w:color="auto" w:sz="8"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次要质量特性严重或较严重不合格</w:t>
            </w: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c>
          <w:tcPr>
            <w:tcW w:w="1624" w:type="dxa"/>
            <w:vMerge w:val="continue"/>
            <w:tcBorders>
              <w:top w:val="nil"/>
              <w:left w:val="single" w:color="auto" w:sz="4" w:space="0"/>
              <w:bottom w:val="single" w:color="auto" w:sz="4" w:space="0"/>
              <w:right w:val="single" w:color="auto" w:sz="8" w:space="0"/>
            </w:tcBorders>
            <w:vAlign w:val="center"/>
          </w:tcPr>
          <w:p>
            <w:pPr>
              <w:widowControl/>
              <w:spacing w:line="440" w:lineRule="exact"/>
              <w:jc w:val="left"/>
              <w:rPr>
                <w:rFonts w:hint="default" w:ascii="Times New Roman" w:hAnsi="Times New Roman" w:eastAsia="仿宋_GB2312" w:cs="Times New Roman"/>
                <w:b w:val="0"/>
                <w:bCs w:val="0"/>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widowControl/>
              <w:spacing w:line="440" w:lineRule="exact"/>
              <w:jc w:val="left"/>
              <w:rPr>
                <w:rFonts w:hint="eastAsia" w:ascii="仿宋_GB2312" w:hAnsi="仿宋_GB2312" w:eastAsia="仿宋_GB2312" w:cs="仿宋_GB2312"/>
                <w:b w:val="0"/>
                <w:bCs w:val="0"/>
                <w:kern w:val="0"/>
                <w:sz w:val="22"/>
              </w:rPr>
            </w:pPr>
            <w:r>
              <w:rPr>
                <w:rFonts w:hint="eastAsia" w:ascii="仿宋_GB2312" w:hAnsi="仿宋_GB2312" w:eastAsia="仿宋_GB2312" w:cs="仿宋_GB2312"/>
                <w:b w:val="0"/>
                <w:bCs w:val="0"/>
                <w:kern w:val="0"/>
                <w:sz w:val="22"/>
              </w:rPr>
              <w:t>较重质量特性轻微不合格</w:t>
            </w:r>
          </w:p>
        </w:tc>
        <w:tc>
          <w:tcPr>
            <w:tcW w:w="2700" w:type="dxa"/>
            <w:vMerge w:val="restart"/>
            <w:tcBorders>
              <w:top w:val="nil"/>
              <w:left w:val="single" w:color="auto" w:sz="4" w:space="0"/>
              <w:bottom w:val="single" w:color="000000" w:sz="8" w:space="0"/>
              <w:right w:val="single" w:color="auto" w:sz="4"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　/</w:t>
            </w:r>
          </w:p>
        </w:tc>
        <w:tc>
          <w:tcPr>
            <w:tcW w:w="1624" w:type="dxa"/>
            <w:vMerge w:val="restart"/>
            <w:tcBorders>
              <w:top w:val="nil"/>
              <w:left w:val="single" w:color="auto" w:sz="4" w:space="0"/>
              <w:bottom w:val="single" w:color="000000" w:sz="8" w:space="0"/>
              <w:right w:val="single" w:color="auto" w:sz="8" w:space="0"/>
            </w:tcBorders>
            <w:vAlign w:val="center"/>
          </w:tcPr>
          <w:p>
            <w:pPr>
              <w:widowControl/>
              <w:spacing w:line="440" w:lineRule="exact"/>
              <w:jc w:val="center"/>
              <w:rPr>
                <w:rFonts w:hint="default" w:ascii="Times New Roman" w:hAnsi="Times New Roman" w:eastAsia="仿宋_GB2312" w:cs="Times New Roman"/>
                <w:b w:val="0"/>
                <w:bCs w:val="0"/>
                <w:kern w:val="0"/>
                <w:sz w:val="22"/>
              </w:rPr>
            </w:pPr>
            <w:r>
              <w:rPr>
                <w:rFonts w:hint="default" w:ascii="Times New Roman" w:hAnsi="Times New Roman" w:eastAsia="仿宋_GB2312" w:cs="Times New Roman"/>
                <w:b w:val="0"/>
                <w:bCs w:val="0"/>
                <w:kern w:val="0"/>
                <w:sz w:val="22"/>
              </w:rPr>
              <w:t>D类不合格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8" w:space="0"/>
              <w:right w:val="single" w:color="auto" w:sz="4" w:space="0"/>
            </w:tcBorders>
            <w:vAlign w:val="center"/>
          </w:tcPr>
          <w:p>
            <w:pPr>
              <w:widowControl/>
              <w:spacing w:line="440"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次要质量特性轻微不合格</w:t>
            </w:r>
          </w:p>
        </w:tc>
        <w:tc>
          <w:tcPr>
            <w:tcW w:w="2700" w:type="dxa"/>
            <w:vMerge w:val="continue"/>
            <w:tcBorders>
              <w:top w:val="nil"/>
              <w:left w:val="single" w:color="auto" w:sz="4" w:space="0"/>
              <w:bottom w:val="single" w:color="000000" w:sz="8" w:space="0"/>
              <w:right w:val="single" w:color="auto" w:sz="4" w:space="0"/>
            </w:tcBorders>
            <w:vAlign w:val="center"/>
          </w:tcPr>
          <w:p>
            <w:pPr>
              <w:widowControl/>
              <w:spacing w:line="440" w:lineRule="exact"/>
              <w:jc w:val="left"/>
              <w:rPr>
                <w:rFonts w:eastAsia="等线"/>
                <w:kern w:val="0"/>
                <w:sz w:val="22"/>
              </w:rPr>
            </w:pPr>
          </w:p>
        </w:tc>
        <w:tc>
          <w:tcPr>
            <w:tcW w:w="1624" w:type="dxa"/>
            <w:vMerge w:val="continue"/>
            <w:tcBorders>
              <w:top w:val="nil"/>
              <w:left w:val="single" w:color="auto" w:sz="4" w:space="0"/>
              <w:bottom w:val="single" w:color="000000" w:sz="8" w:space="0"/>
              <w:right w:val="single" w:color="auto" w:sz="8" w:space="0"/>
            </w:tcBorders>
            <w:vAlign w:val="center"/>
          </w:tcPr>
          <w:p>
            <w:pPr>
              <w:widowControl/>
              <w:spacing w:line="440" w:lineRule="exact"/>
              <w:jc w:val="left"/>
              <w:rPr>
                <w:rFonts w:eastAsia="等线"/>
                <w:kern w:val="0"/>
                <w:sz w:val="2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szCs w:val="32"/>
        </w:rPr>
      </w:pPr>
      <w:r>
        <w:rPr>
          <w:rFonts w:hint="eastAsia" w:eastAsia="黑体" w:cs="Times New Roman"/>
          <w:szCs w:val="32"/>
          <w:lang w:eastAsia="zh-CN"/>
        </w:rPr>
        <w:t>七</w:t>
      </w:r>
      <w:bookmarkStart w:id="0" w:name="_GoBack"/>
      <w:bookmarkEnd w:id="0"/>
      <w:r>
        <w:rPr>
          <w:rFonts w:hint="default" w:ascii="Times New Roman" w:hAnsi="Times New Roman" w:eastAsia="黑体" w:cs="Times New Roman"/>
          <w:szCs w:val="32"/>
        </w:rPr>
        <w:t>、复检工作安排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44463"/>
    <w:rsid w:val="1CE333ED"/>
    <w:rsid w:val="5DB444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2019-10-08T06:19:00Z</dcterms:created>
  <dc:creator>曾永</dc:creator>
  <cp:lastModifiedBy>曾永</cp:lastModifiedBy>
  <dcterms:modified xsi:type="dcterms:W3CDTF">2019-10-08T06:22:32Z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