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2019年度广东省</w:t>
      </w:r>
      <w:bookmarkStart w:id="0" w:name="_Hlk15299563"/>
      <w:r>
        <w:rPr>
          <w:rFonts w:hint="eastAsia" w:ascii="方正小标宋简体" w:hAnsi="方正小标宋简体" w:eastAsia="方正小标宋简体" w:cs="方正小标宋简体"/>
          <w:kern w:val="0"/>
          <w:sz w:val="44"/>
          <w:szCs w:val="44"/>
        </w:rPr>
        <w:t>生活用纸（卫生纸、纸巾纸、纸尿裤（含纸尿片垫）、卫生巾）</w:t>
      </w:r>
      <w:bookmarkEnd w:id="0"/>
      <w:r>
        <w:rPr>
          <w:rFonts w:hint="eastAsia" w:ascii="方正小标宋简体" w:hAnsi="方正小标宋简体" w:eastAsia="方正小标宋简体" w:cs="方正小标宋简体"/>
          <w:kern w:val="0"/>
          <w:sz w:val="44"/>
          <w:szCs w:val="44"/>
        </w:rPr>
        <w:t>产品质量监督抽查实施</w:t>
      </w:r>
      <w:r>
        <w:rPr>
          <w:rFonts w:hint="eastAsia" w:ascii="方正小标宋简体" w:hAnsi="方正小标宋简体" w:eastAsia="方正小标宋简体" w:cs="方正小标宋简体"/>
          <w:kern w:val="0"/>
          <w:sz w:val="44"/>
          <w:szCs w:val="44"/>
          <w:lang w:eastAsia="zh-CN"/>
        </w:rPr>
        <w:t>细则</w:t>
      </w:r>
      <w:bookmarkStart w:id="3" w:name="_GoBack"/>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sz w:val="32"/>
          <w:szCs w:val="32"/>
        </w:rPr>
      </w:pPr>
      <w:bookmarkStart w:id="1" w:name="_Toc311051284"/>
      <w:r>
        <w:rPr>
          <w:rFonts w:hint="default" w:ascii="Times New Roman" w:hAnsi="Times New Roman" w:cs="Times New Roman"/>
          <w:sz w:val="32"/>
          <w:szCs w:val="32"/>
        </w:rPr>
        <w:t>本方案由广东省市场监督管理局制定</w:t>
      </w:r>
      <w:r>
        <w:rPr>
          <w:rFonts w:hint="eastAsia" w:cs="Times New Roman"/>
          <w:sz w:val="32"/>
          <w:szCs w:val="32"/>
          <w:lang w:eastAsia="zh-CN"/>
        </w:rPr>
        <w:t>，</w:t>
      </w:r>
      <w:r>
        <w:rPr>
          <w:rFonts w:hint="default" w:ascii="Times New Roman" w:hAnsi="Times New Roman" w:cs="Times New Roman"/>
          <w:sz w:val="32"/>
          <w:szCs w:val="32"/>
        </w:rPr>
        <w:t>适用于2019年度广东省市场监督管理局组织的生活用纸（</w:t>
      </w:r>
      <w:bookmarkStart w:id="2" w:name="_Hlk15299633"/>
      <w:r>
        <w:rPr>
          <w:rFonts w:hint="default" w:ascii="Times New Roman" w:hAnsi="Times New Roman" w:cs="Times New Roman"/>
          <w:sz w:val="32"/>
          <w:szCs w:val="32"/>
        </w:rPr>
        <w:t>卫生纸、纸巾纸、纸尿裤（含纸尿片垫）、卫生巾</w:t>
      </w:r>
      <w:bookmarkEnd w:id="2"/>
      <w:r>
        <w:rPr>
          <w:rFonts w:hint="default" w:ascii="Times New Roman" w:hAnsi="Times New Roman" w:cs="Times New Roman"/>
          <w:sz w:val="32"/>
          <w:szCs w:val="32"/>
        </w:rPr>
        <w:t>产品质量监督抽查的抽样、检验工作。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一、监督抽查的产品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sz w:val="32"/>
          <w:szCs w:val="32"/>
        </w:rPr>
      </w:pPr>
      <w:r>
        <w:rPr>
          <w:rFonts w:hint="default" w:ascii="Times New Roman" w:hAnsi="Times New Roman" w:eastAsia="楷体" w:cs="Times New Roman"/>
          <w:sz w:val="32"/>
          <w:szCs w:val="32"/>
        </w:rPr>
        <w:t>（一）抽查产品品种：</w:t>
      </w:r>
      <w:r>
        <w:rPr>
          <w:rFonts w:hint="default" w:ascii="Times New Roman" w:hAnsi="Times New Roman" w:cs="Times New Roman"/>
          <w:sz w:val="32"/>
          <w:szCs w:val="32"/>
        </w:rPr>
        <w:t>卫生纸、纸巾纸、纸尿裤（含纸尿片垫）、卫生巾。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（二）本次抽查的监督总体确定为：</w:t>
      </w:r>
      <w:r>
        <w:rPr>
          <w:rFonts w:hint="default" w:ascii="Times New Roman" w:hAnsi="Times New Roman" w:cs="Times New Roman"/>
          <w:sz w:val="32"/>
          <w:szCs w:val="32"/>
        </w:rPr>
        <w:t>广东省生产和流通领域与抽检的样本标称同一商标（或标称同一生产者）同一型号的产品集合。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sz w:val="32"/>
          <w:szCs w:val="32"/>
        </w:rPr>
      </w:pPr>
      <w:r>
        <w:rPr>
          <w:rFonts w:hint="default" w:ascii="Times New Roman" w:hAnsi="Times New Roman" w:eastAsia="楷体" w:cs="Times New Roman"/>
          <w:sz w:val="32"/>
          <w:szCs w:val="32"/>
        </w:rPr>
        <w:t>（三）抽查产品数量：</w:t>
      </w:r>
    </w:p>
    <w:tbl>
      <w:tblPr>
        <w:tblStyle w:val="3"/>
        <w:tblW w:w="7864" w:type="dxa"/>
        <w:jc w:val="center"/>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757"/>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15" w:type="dxa"/>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b/>
                <w:bCs/>
                <w:kern w:val="0"/>
                <w:sz w:val="30"/>
                <w:szCs w:val="30"/>
              </w:rPr>
            </w:pPr>
            <w:r>
              <w:rPr>
                <w:rFonts w:hint="default" w:ascii="Times New Roman" w:hAnsi="Times New Roman" w:cs="Times New Roman"/>
                <w:b/>
                <w:bCs/>
                <w:kern w:val="0"/>
                <w:sz w:val="30"/>
                <w:szCs w:val="30"/>
              </w:rPr>
              <w:t>被抽查样品品种</w:t>
            </w:r>
          </w:p>
        </w:tc>
        <w:tc>
          <w:tcPr>
            <w:tcW w:w="2757" w:type="dxa"/>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b/>
                <w:bCs/>
                <w:kern w:val="0"/>
                <w:sz w:val="30"/>
                <w:szCs w:val="30"/>
              </w:rPr>
            </w:pPr>
            <w:r>
              <w:rPr>
                <w:rFonts w:hint="default" w:ascii="Times New Roman" w:hAnsi="Times New Roman" w:cs="Times New Roman"/>
                <w:b/>
                <w:bCs/>
                <w:kern w:val="0"/>
                <w:sz w:val="30"/>
                <w:szCs w:val="30"/>
              </w:rPr>
              <w:t>第1组检验数量</w:t>
            </w:r>
          </w:p>
        </w:tc>
        <w:tc>
          <w:tcPr>
            <w:tcW w:w="2692" w:type="dxa"/>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b/>
                <w:bCs/>
                <w:kern w:val="0"/>
                <w:sz w:val="30"/>
                <w:szCs w:val="30"/>
              </w:rPr>
            </w:pPr>
            <w:r>
              <w:rPr>
                <w:rFonts w:hint="default" w:ascii="Times New Roman" w:hAnsi="Times New Roman" w:cs="Times New Roman"/>
                <w:b/>
                <w:bCs/>
                <w:kern w:val="0"/>
                <w:sz w:val="30"/>
                <w:szCs w:val="30"/>
              </w:rPr>
              <w:t>第2组备样数量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1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纸巾纸</w:t>
            </w:r>
          </w:p>
        </w:tc>
        <w:tc>
          <w:tcPr>
            <w:tcW w:w="275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12个独立销售包装</w:t>
            </w:r>
          </w:p>
        </w:tc>
        <w:tc>
          <w:tcPr>
            <w:tcW w:w="269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3个独立销售包装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1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卫生纸</w:t>
            </w:r>
          </w:p>
        </w:tc>
        <w:tc>
          <w:tcPr>
            <w:tcW w:w="275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12个独立销售包装</w:t>
            </w:r>
          </w:p>
        </w:tc>
        <w:tc>
          <w:tcPr>
            <w:tcW w:w="269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3个独立销售包装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1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婴儿纸尿裤</w:t>
            </w:r>
          </w:p>
        </w:tc>
        <w:tc>
          <w:tcPr>
            <w:tcW w:w="275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12个独立销售包装</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（不少于90片）</w:t>
            </w:r>
          </w:p>
        </w:tc>
        <w:tc>
          <w:tcPr>
            <w:tcW w:w="269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3个独立销售包装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1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卫生巾</w:t>
            </w:r>
          </w:p>
        </w:tc>
        <w:tc>
          <w:tcPr>
            <w:tcW w:w="275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12个独立销售包装（不少于90片）</w:t>
            </w:r>
          </w:p>
        </w:tc>
        <w:tc>
          <w:tcPr>
            <w:tcW w:w="269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3个独立销售包装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1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成人纸尿裤（含护理垫）</w:t>
            </w:r>
          </w:p>
        </w:tc>
        <w:tc>
          <w:tcPr>
            <w:tcW w:w="275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12个独立销售包装</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（不少于90片）</w:t>
            </w:r>
          </w:p>
        </w:tc>
        <w:tc>
          <w:tcPr>
            <w:tcW w:w="269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center"/>
              <w:outlineLvl w:val="9"/>
              <w:rPr>
                <w:rFonts w:hint="default" w:ascii="Times New Roman" w:hAnsi="Times New Roman" w:cs="Times New Roman"/>
                <w:kern w:val="0"/>
                <w:sz w:val="30"/>
                <w:szCs w:val="30"/>
              </w:rPr>
            </w:pPr>
            <w:r>
              <w:rPr>
                <w:rFonts w:hint="default" w:ascii="Times New Roman" w:hAnsi="Times New Roman" w:cs="Times New Roman"/>
                <w:kern w:val="0"/>
                <w:sz w:val="30"/>
                <w:szCs w:val="30"/>
              </w:rPr>
              <w:t>3个独立销售包装</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二、监督抽样检验程序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（一）抽样及复检程序依据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sz w:val="32"/>
          <w:szCs w:val="32"/>
        </w:rPr>
        <w:t>1</w:t>
      </w:r>
      <w:r>
        <w:rPr>
          <w:rFonts w:hint="eastAsia" w:ascii="Times New Roman" w:hAnsi="Times New Roman" w:eastAsia="楷体_GB2312" w:cs="Times New Roman"/>
          <w:sz w:val="32"/>
          <w:szCs w:val="32"/>
          <w:lang w:eastAsia="zh-CN"/>
        </w:rPr>
        <w:t>．</w:t>
      </w:r>
      <w:r>
        <w:rPr>
          <w:rFonts w:hint="default" w:ascii="Times New Roman" w:hAnsi="Times New Roman" w:cs="Times New Roman"/>
          <w:sz w:val="32"/>
          <w:szCs w:val="32"/>
        </w:rPr>
        <w:t>GB/T 28863-2012《产品质量监督抽样检验程序具有先验质量信息的情形》。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cs="Times New Roman"/>
          <w:sz w:val="32"/>
          <w:szCs w:val="32"/>
        </w:rPr>
        <w:t>GB/T 2828.4-2008《计数抽样检验程序第4部分：声称质量水平的评定程序》。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cs="Times New Roman"/>
          <w:sz w:val="32"/>
          <w:szCs w:val="32"/>
        </w:rPr>
        <w:t>GB/T 16306-2008 《声称质量水平复检与复验的评定程序》。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工商总局关于加强和规范网络交易产品质量抽查检验的意见（工商消字〔2015〕189号）。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sz w:val="32"/>
          <w:szCs w:val="32"/>
        </w:rPr>
        <w:t>（二）抽样方案。</w:t>
      </w:r>
      <w:r>
        <w:rPr>
          <w:rFonts w:hint="default" w:ascii="Times New Roman" w:hAnsi="Times New Roman" w:cs="Times New Roman"/>
          <w:sz w:val="32"/>
          <w:szCs w:val="32"/>
        </w:rPr>
        <w:t>卫生纸、纸巾纸、纸尿裤（含纸尿片垫）、卫生巾属于具有先验质量信息的情形，适用GB/T 28863-2012进行抽样、判定及复检。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抽样名单原则上应包括：上一年度国家和省级监督抽查不合格企业，消费者投诉较多或其他职能部门移交的问题企业，舆论与公众关注度高的企业，综合考虑城市、城乡结合部、农村等区域因素以及覆盖大、中、小企业分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在线下销售者处抽样时，被抽查市场主体由抽样所在地市场监管部门确定，应综合考虑城市、城乡结合部、农村等区域因素。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在线下销售者处抽样时，随机抽取2组样品。其中，第1组购买，用于检验；第2组封存在销售者处作备样。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在线上销售者处抽样2组样本均需购买，1组样本用于检验，1组样本为备样，备样封存于检验机构(未检验过的备样由承检机构负责退回经营者；复检的备样由承检机构通知复检申请人在复检前先行退回购买费用)。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eastAsia" w:eastAsia="黑体" w:cs="Times New Roman"/>
          <w:sz w:val="32"/>
          <w:szCs w:val="32"/>
          <w:lang w:eastAsia="zh-CN"/>
        </w:rPr>
        <w:t>三</w:t>
      </w:r>
      <w:r>
        <w:rPr>
          <w:rFonts w:hint="default" w:ascii="Times New Roman" w:hAnsi="Times New Roman" w:eastAsia="黑体" w:cs="Times New Roman"/>
          <w:sz w:val="32"/>
          <w:szCs w:val="32"/>
        </w:rPr>
        <w:t>、抽样现场要求、样品的处理、判定规则、检验报告报送要求均按照《广东省工商行政管理局关于广东省流通领域商品质量抽查检验的工作规范》（粤工商消字〔2016〕111号）要求及合同约定执行。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、检验依据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sz w:val="32"/>
          <w:szCs w:val="32"/>
        </w:rPr>
        <w:t>（一）本类产品的国家标准：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cs="Times New Roman"/>
          <w:sz w:val="32"/>
          <w:szCs w:val="32"/>
        </w:rPr>
        <w:t>GB/T 20808-2011 《纸巾纸》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cs="Times New Roman"/>
          <w:sz w:val="32"/>
          <w:szCs w:val="32"/>
        </w:rPr>
        <w:t>GB/T 20810-2006 《卫生纸（含卫生纸原纸）》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cs="Times New Roman"/>
          <w:sz w:val="32"/>
          <w:szCs w:val="32"/>
        </w:rPr>
        <w:t>GB/T 20810-2018《卫生纸（含卫生纸原纸）》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cs="Times New Roman"/>
          <w:sz w:val="32"/>
          <w:szCs w:val="32"/>
        </w:rPr>
        <w:t>GB/T 8939-2008 《卫生巾（含卫生护垫）》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5</w:t>
      </w:r>
      <w:r>
        <w:rPr>
          <w:rFonts w:hint="eastAsia" w:ascii="Times New Roman" w:hAnsi="Times New Roman" w:cs="Times New Roman"/>
          <w:sz w:val="32"/>
          <w:szCs w:val="32"/>
          <w:lang w:eastAsia="zh-CN"/>
        </w:rPr>
        <w:t>．</w:t>
      </w:r>
      <w:r>
        <w:rPr>
          <w:rFonts w:hint="default" w:ascii="Times New Roman" w:hAnsi="Times New Roman" w:cs="Times New Roman"/>
          <w:sz w:val="32"/>
          <w:szCs w:val="32"/>
        </w:rPr>
        <w:t>GB/T 8939-2018 《卫生巾（含卫生护垫）》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6</w:t>
      </w:r>
      <w:r>
        <w:rPr>
          <w:rFonts w:hint="eastAsia" w:ascii="Times New Roman" w:hAnsi="Times New Roman" w:cs="Times New Roman"/>
          <w:sz w:val="32"/>
          <w:szCs w:val="32"/>
          <w:lang w:eastAsia="zh-CN"/>
        </w:rPr>
        <w:t>．</w:t>
      </w:r>
      <w:r>
        <w:rPr>
          <w:rFonts w:hint="default" w:ascii="Times New Roman" w:hAnsi="Times New Roman" w:cs="Times New Roman"/>
          <w:sz w:val="32"/>
          <w:szCs w:val="32"/>
        </w:rPr>
        <w:t>GB/T 28004-2011 《纸尿裤（片、垫）》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7</w:t>
      </w:r>
      <w:r>
        <w:rPr>
          <w:rFonts w:hint="eastAsia" w:ascii="Times New Roman" w:hAnsi="Times New Roman" w:cs="Times New Roman"/>
          <w:sz w:val="32"/>
          <w:szCs w:val="32"/>
          <w:lang w:eastAsia="zh-CN"/>
        </w:rPr>
        <w:t>．</w:t>
      </w:r>
      <w:r>
        <w:rPr>
          <w:rFonts w:hint="default" w:ascii="Times New Roman" w:hAnsi="Times New Roman" w:cs="Times New Roman"/>
          <w:sz w:val="32"/>
          <w:szCs w:val="32"/>
        </w:rPr>
        <w:t>GB 15979-2002 《一次性使用卫生用品卫生标准》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8</w:t>
      </w:r>
      <w:r>
        <w:rPr>
          <w:rFonts w:hint="eastAsia" w:ascii="Times New Roman" w:hAnsi="Times New Roman" w:cs="Times New Roman"/>
          <w:sz w:val="32"/>
          <w:szCs w:val="32"/>
          <w:lang w:eastAsia="zh-CN"/>
        </w:rPr>
        <w:t>．</w:t>
      </w:r>
      <w:r>
        <w:rPr>
          <w:rFonts w:hint="default" w:ascii="Times New Roman" w:hAnsi="Times New Roman" w:cs="Times New Roman"/>
          <w:sz w:val="32"/>
          <w:szCs w:val="32"/>
        </w:rPr>
        <w:t>QB/T 4509-2013 《本色生活用纸》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default" w:ascii="Times New Roman" w:hAnsi="Times New Roman" w:eastAsia="仿宋" w:cs="Times New Roman"/>
          <w:spacing w:val="3"/>
          <w:sz w:val="32"/>
          <w:szCs w:val="32"/>
        </w:rPr>
      </w:pPr>
      <w:r>
        <w:rPr>
          <w:rFonts w:hint="default" w:ascii="Times New Roman" w:hAnsi="Times New Roman" w:eastAsia="仿宋" w:cs="Times New Roman"/>
          <w:spacing w:val="3"/>
          <w:sz w:val="32"/>
          <w:szCs w:val="32"/>
        </w:rPr>
        <w:t>9</w:t>
      </w:r>
      <w:r>
        <w:rPr>
          <w:rFonts w:hint="eastAsia" w:ascii="Times New Roman" w:hAnsi="Times New Roman" w:eastAsia="仿宋" w:cs="Times New Roman"/>
          <w:spacing w:val="3"/>
          <w:sz w:val="32"/>
          <w:szCs w:val="32"/>
          <w:lang w:eastAsia="zh-CN"/>
        </w:rPr>
        <w:t>．</w:t>
      </w:r>
      <w:r>
        <w:rPr>
          <w:rFonts w:hint="default" w:ascii="Times New Roman" w:hAnsi="Times New Roman" w:eastAsia="仿宋" w:cs="Times New Roman"/>
          <w:spacing w:val="3"/>
          <w:sz w:val="32"/>
          <w:szCs w:val="32"/>
        </w:rPr>
        <w:t>承检机构在抽样、复检程序中根据实际情况及检验程序的法定性与有效性予以补充。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楷体_GB2312" w:cs="Times New Roman"/>
          <w:sz w:val="32"/>
          <w:szCs w:val="32"/>
        </w:rPr>
        <w:t>（二）产品标示执行的标准或产品明示指标。</w:t>
      </w:r>
      <w:r>
        <w:rPr>
          <w:rFonts w:hint="default" w:ascii="Times New Roman" w:hAnsi="Times New Roman" w:cs="Times New Roman"/>
          <w:sz w:val="32"/>
          <w:szCs w:val="32"/>
        </w:rPr>
        <w:t>产品标示执行的标准或产品明示指标劣于相关强制性标准的，以相关强制性标准作为依据。被抽样产品未能提供有效企业标准的，按相关推荐性标准进行判定。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pacing w:val="-4"/>
          <w:sz w:val="32"/>
          <w:szCs w:val="32"/>
        </w:rPr>
      </w:pPr>
      <w:r>
        <w:rPr>
          <w:rFonts w:hint="default" w:ascii="Times New Roman" w:hAnsi="Times New Roman" w:eastAsia="楷体_GB2312" w:cs="Times New Roman"/>
          <w:sz w:val="32"/>
          <w:szCs w:val="32"/>
        </w:rPr>
        <w:t>（三）涉及本类产品质量判定相关法律法规、国家有关规定。</w:t>
      </w:r>
      <w:r>
        <w:rPr>
          <w:rFonts w:hint="default" w:ascii="Times New Roman" w:hAnsi="Times New Roman" w:cs="Times New Roman"/>
          <w:sz w:val="32"/>
          <w:szCs w:val="32"/>
        </w:rPr>
        <w:t>主要包括《中华人民共和国产品质量法》《中华人民共和国消费者权益保护法》《流通领域商品质量监督抽查办法》《产品质量监督抽查管理办法》《广东省查处生产销售假冒伪劣产品违法行为条例》等法律法规规章，《广东省工商行政管理局关于广东省流通领域商品质量抽查检验的工作规范》（粤工商消字〔2016〕111号）、《广东省质量技术监督局关于产品质量监督抽查的管理办法》（粤质监〔2014〕11号)等规范性文件及《广东省市场监督管理局产品质量监督抽查工作指导意见（试行）》（粤市监质监〔2019〕494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eastAsia" w:eastAsia="黑体" w:cs="Times New Roman"/>
          <w:sz w:val="32"/>
          <w:szCs w:val="32"/>
          <w:lang w:eastAsia="zh-CN"/>
        </w:rPr>
        <w:t>五</w:t>
      </w:r>
      <w:r>
        <w:rPr>
          <w:rFonts w:hint="default" w:ascii="Times New Roman" w:hAnsi="Times New Roman" w:eastAsia="黑体" w:cs="Times New Roman"/>
          <w:sz w:val="32"/>
          <w:szCs w:val="32"/>
        </w:rPr>
        <w:t>、主要检验项目及不合格类别的划分指标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（一）产品内在质量检验项目及其重要性划分表。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纸巾纸</w:t>
      </w:r>
    </w:p>
    <w:tbl>
      <w:tblPr>
        <w:tblStyle w:val="3"/>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835"/>
        <w:gridCol w:w="1418"/>
        <w:gridCol w:w="912"/>
        <w:gridCol w:w="1039"/>
        <w:gridCol w:w="900"/>
        <w:gridCol w:w="103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560" w:type="dxa"/>
            <w:vAlign w:val="center"/>
          </w:tcPr>
          <w:p>
            <w:pPr>
              <w:snapToGrid w:val="0"/>
              <w:jc w:val="center"/>
              <w:rPr>
                <w:rFonts w:hint="eastAsia" w:ascii="仿宋_GB2312"/>
                <w:sz w:val="20"/>
                <w:szCs w:val="20"/>
              </w:rPr>
            </w:pPr>
            <w:r>
              <w:rPr>
                <w:rFonts w:hint="eastAsia" w:ascii="仿宋_GB2312"/>
                <w:sz w:val="20"/>
                <w:szCs w:val="20"/>
              </w:rPr>
              <w:t>序号</w:t>
            </w:r>
          </w:p>
        </w:tc>
        <w:tc>
          <w:tcPr>
            <w:tcW w:w="2835" w:type="dxa"/>
            <w:vAlign w:val="center"/>
          </w:tcPr>
          <w:p>
            <w:pPr>
              <w:snapToGrid w:val="0"/>
              <w:jc w:val="center"/>
              <w:rPr>
                <w:rFonts w:hint="eastAsia" w:ascii="仿宋_GB2312"/>
                <w:sz w:val="20"/>
                <w:szCs w:val="20"/>
              </w:rPr>
            </w:pPr>
            <w:r>
              <w:rPr>
                <w:rFonts w:hint="eastAsia" w:ascii="仿宋_GB2312"/>
                <w:sz w:val="20"/>
                <w:szCs w:val="20"/>
              </w:rPr>
              <w:t>检验项目</w:t>
            </w:r>
          </w:p>
        </w:tc>
        <w:tc>
          <w:tcPr>
            <w:tcW w:w="1418" w:type="dxa"/>
            <w:vAlign w:val="center"/>
          </w:tcPr>
          <w:p>
            <w:pPr>
              <w:snapToGrid w:val="0"/>
              <w:jc w:val="center"/>
              <w:rPr>
                <w:rFonts w:hint="eastAsia" w:ascii="仿宋_GB2312"/>
                <w:sz w:val="20"/>
                <w:szCs w:val="20"/>
              </w:rPr>
            </w:pPr>
            <w:r>
              <w:rPr>
                <w:rFonts w:hint="eastAsia" w:ascii="仿宋_GB2312"/>
                <w:sz w:val="20"/>
                <w:szCs w:val="20"/>
              </w:rPr>
              <w:t>依据标准</w:t>
            </w:r>
          </w:p>
        </w:tc>
        <w:tc>
          <w:tcPr>
            <w:tcW w:w="912" w:type="dxa"/>
            <w:vAlign w:val="center"/>
          </w:tcPr>
          <w:p>
            <w:pPr>
              <w:jc w:val="center"/>
              <w:rPr>
                <w:rFonts w:ascii="仿宋_GB2312"/>
                <w:sz w:val="20"/>
                <w:szCs w:val="20"/>
              </w:rPr>
            </w:pPr>
            <w:r>
              <w:rPr>
                <w:rFonts w:hint="eastAsia" w:ascii="仿宋_GB2312"/>
                <w:sz w:val="20"/>
                <w:szCs w:val="20"/>
              </w:rPr>
              <w:t>强制性</w:t>
            </w:r>
          </w:p>
        </w:tc>
        <w:tc>
          <w:tcPr>
            <w:tcW w:w="1039" w:type="dxa"/>
            <w:vAlign w:val="center"/>
          </w:tcPr>
          <w:p>
            <w:pPr>
              <w:jc w:val="center"/>
              <w:rPr>
                <w:rFonts w:ascii="仿宋_GB2312"/>
                <w:sz w:val="20"/>
                <w:szCs w:val="20"/>
              </w:rPr>
            </w:pPr>
            <w:r>
              <w:rPr>
                <w:rFonts w:hint="eastAsia" w:ascii="仿宋_GB2312"/>
                <w:sz w:val="20"/>
                <w:szCs w:val="20"/>
              </w:rPr>
              <w:t>非强制性</w:t>
            </w:r>
          </w:p>
        </w:tc>
        <w:tc>
          <w:tcPr>
            <w:tcW w:w="900" w:type="dxa"/>
            <w:vAlign w:val="center"/>
          </w:tcPr>
          <w:p>
            <w:pPr>
              <w:jc w:val="center"/>
              <w:rPr>
                <w:rFonts w:ascii="仿宋_GB2312"/>
                <w:sz w:val="20"/>
                <w:szCs w:val="20"/>
              </w:rPr>
            </w:pPr>
            <w:r>
              <w:rPr>
                <w:rFonts w:hint="eastAsia" w:ascii="仿宋_GB2312"/>
                <w:sz w:val="20"/>
                <w:szCs w:val="20"/>
              </w:rPr>
              <w:t>重要项</w:t>
            </w:r>
          </w:p>
        </w:tc>
        <w:tc>
          <w:tcPr>
            <w:tcW w:w="1038" w:type="dxa"/>
            <w:vAlign w:val="center"/>
          </w:tcPr>
          <w:p>
            <w:pPr>
              <w:jc w:val="center"/>
              <w:rPr>
                <w:rFonts w:ascii="仿宋_GB2312"/>
                <w:sz w:val="20"/>
                <w:szCs w:val="20"/>
              </w:rPr>
            </w:pPr>
            <w:r>
              <w:rPr>
                <w:rFonts w:hint="eastAsia" w:ascii="仿宋_GB2312"/>
                <w:sz w:val="20"/>
                <w:szCs w:val="20"/>
              </w:rPr>
              <w:t>较重要项</w:t>
            </w:r>
          </w:p>
        </w:tc>
        <w:tc>
          <w:tcPr>
            <w:tcW w:w="848" w:type="dxa"/>
            <w:vAlign w:val="center"/>
          </w:tcPr>
          <w:p>
            <w:pPr>
              <w:jc w:val="center"/>
              <w:rPr>
                <w:rFonts w:ascii="仿宋_GB2312"/>
                <w:sz w:val="20"/>
                <w:szCs w:val="20"/>
              </w:rPr>
            </w:pPr>
            <w:r>
              <w:rPr>
                <w:rFonts w:hint="eastAsia" w:ascii="仿宋_GB2312"/>
                <w:sz w:val="20"/>
                <w:szCs w:val="20"/>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细菌菌落总数</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20808中4.8条</w:t>
            </w:r>
          </w:p>
        </w:tc>
        <w:tc>
          <w:tcPr>
            <w:tcW w:w="91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9" w:type="dxa"/>
            <w:vAlign w:val="center"/>
          </w:tcPr>
          <w:p>
            <w:pPr>
              <w:snapToGrid w:val="0"/>
              <w:jc w:val="center"/>
              <w:rPr>
                <w:rFonts w:hint="default" w:ascii="Times New Roman" w:hAnsi="Times New Roman" w:cs="Times New Roman"/>
                <w:sz w:val="20"/>
                <w:szCs w:val="20"/>
              </w:rPr>
            </w:pPr>
          </w:p>
        </w:tc>
        <w:tc>
          <w:tcPr>
            <w:tcW w:w="90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8" w:type="dxa"/>
            <w:vAlign w:val="center"/>
          </w:tcPr>
          <w:p>
            <w:pPr>
              <w:snapToGrid w:val="0"/>
              <w:jc w:val="center"/>
              <w:rPr>
                <w:rFonts w:hint="default" w:ascii="Times New Roman" w:hAnsi="Times New Roman" w:cs="Times New Roman"/>
                <w:sz w:val="20"/>
                <w:szCs w:val="20"/>
              </w:rPr>
            </w:pP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大肠菌群</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20808中4.8条</w:t>
            </w:r>
          </w:p>
        </w:tc>
        <w:tc>
          <w:tcPr>
            <w:tcW w:w="91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9" w:type="dxa"/>
            <w:vAlign w:val="center"/>
          </w:tcPr>
          <w:p>
            <w:pPr>
              <w:snapToGrid w:val="0"/>
              <w:jc w:val="center"/>
              <w:rPr>
                <w:rFonts w:hint="default" w:ascii="Times New Roman" w:hAnsi="Times New Roman" w:cs="Times New Roman"/>
                <w:sz w:val="20"/>
                <w:szCs w:val="20"/>
              </w:rPr>
            </w:pPr>
          </w:p>
        </w:tc>
        <w:tc>
          <w:tcPr>
            <w:tcW w:w="90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8" w:type="dxa"/>
            <w:vAlign w:val="center"/>
          </w:tcPr>
          <w:p>
            <w:pPr>
              <w:snapToGrid w:val="0"/>
              <w:jc w:val="center"/>
              <w:rPr>
                <w:rFonts w:hint="default" w:ascii="Times New Roman" w:hAnsi="Times New Roman" w:cs="Times New Roman"/>
                <w:sz w:val="20"/>
                <w:szCs w:val="20"/>
              </w:rPr>
            </w:pP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真菌菌落总数</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20808中4.8条</w:t>
            </w:r>
          </w:p>
        </w:tc>
        <w:tc>
          <w:tcPr>
            <w:tcW w:w="91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9" w:type="dxa"/>
            <w:vAlign w:val="center"/>
          </w:tcPr>
          <w:p>
            <w:pPr>
              <w:snapToGrid w:val="0"/>
              <w:jc w:val="center"/>
              <w:rPr>
                <w:rFonts w:hint="default" w:ascii="Times New Roman" w:hAnsi="Times New Roman" w:cs="Times New Roman"/>
                <w:sz w:val="20"/>
                <w:szCs w:val="20"/>
              </w:rPr>
            </w:pPr>
          </w:p>
        </w:tc>
        <w:tc>
          <w:tcPr>
            <w:tcW w:w="90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8" w:type="dxa"/>
            <w:vAlign w:val="center"/>
          </w:tcPr>
          <w:p>
            <w:pPr>
              <w:snapToGrid w:val="0"/>
              <w:jc w:val="center"/>
              <w:rPr>
                <w:rFonts w:hint="default" w:ascii="Times New Roman" w:hAnsi="Times New Roman" w:cs="Times New Roman"/>
                <w:sz w:val="20"/>
                <w:szCs w:val="20"/>
              </w:rPr>
            </w:pP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致病性化脓菌(绿脓杆菌、金黄色葡萄球菌、溶血性链球菌)</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20808中4.8条</w:t>
            </w:r>
          </w:p>
        </w:tc>
        <w:tc>
          <w:tcPr>
            <w:tcW w:w="91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9" w:type="dxa"/>
            <w:vAlign w:val="center"/>
          </w:tcPr>
          <w:p>
            <w:pPr>
              <w:snapToGrid w:val="0"/>
              <w:jc w:val="center"/>
              <w:rPr>
                <w:rFonts w:hint="default" w:ascii="Times New Roman" w:hAnsi="Times New Roman" w:cs="Times New Roman"/>
                <w:sz w:val="20"/>
                <w:szCs w:val="20"/>
              </w:rPr>
            </w:pPr>
          </w:p>
        </w:tc>
        <w:tc>
          <w:tcPr>
            <w:tcW w:w="90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8" w:type="dxa"/>
            <w:vAlign w:val="center"/>
          </w:tcPr>
          <w:p>
            <w:pPr>
              <w:snapToGrid w:val="0"/>
              <w:jc w:val="center"/>
              <w:rPr>
                <w:rFonts w:hint="default" w:ascii="Times New Roman" w:hAnsi="Times New Roman" w:cs="Times New Roman"/>
                <w:sz w:val="20"/>
                <w:szCs w:val="20"/>
              </w:rPr>
            </w:pP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亮度（白度）</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20808中4.1条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可迁移性荧光增白剂</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20808中4.1条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横向抗张指数</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20808中4.1条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灰分</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20808中4.1条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横向吸液高度</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20808中4.1条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柔软度</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20808中4.1条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纵向湿抗张强度</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20808中4.1条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bl>
    <w:p>
      <w:pPr>
        <w:spacing w:line="360" w:lineRule="auto"/>
        <w:ind w:firstLine="640" w:firstLineChars="200"/>
        <w:rPr>
          <w:rFonts w:hint="default" w:ascii="Times New Roman" w:hAnsi="Times New Roman" w:cs="Times New Roman"/>
          <w:szCs w:val="32"/>
        </w:rPr>
      </w:pPr>
      <w:r>
        <w:rPr>
          <w:rFonts w:hint="default" w:ascii="Times New Roman" w:hAnsi="Times New Roman" w:cs="Times New Roman"/>
          <w:szCs w:val="32"/>
        </w:rPr>
        <w:t>2</w:t>
      </w:r>
      <w:r>
        <w:rPr>
          <w:rFonts w:hint="default" w:ascii="Times New Roman" w:hAnsi="Times New Roman" w:cs="Times New Roman"/>
          <w:szCs w:val="32"/>
          <w:lang w:eastAsia="zh-CN"/>
        </w:rPr>
        <w:t>．</w:t>
      </w:r>
      <w:r>
        <w:rPr>
          <w:rFonts w:hint="default" w:ascii="Times New Roman" w:hAnsi="Times New Roman" w:cs="Times New Roman"/>
          <w:szCs w:val="32"/>
        </w:rPr>
        <w:t>卫生纸（含卫生纸原纸）</w:t>
      </w:r>
    </w:p>
    <w:tbl>
      <w:tblPr>
        <w:tblStyle w:val="3"/>
        <w:tblW w:w="9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410"/>
        <w:gridCol w:w="1916"/>
        <w:gridCol w:w="850"/>
        <w:gridCol w:w="1134"/>
        <w:gridCol w:w="851"/>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56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序号</w:t>
            </w:r>
          </w:p>
        </w:tc>
        <w:tc>
          <w:tcPr>
            <w:tcW w:w="241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检验项目</w:t>
            </w:r>
          </w:p>
        </w:tc>
        <w:tc>
          <w:tcPr>
            <w:tcW w:w="19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依据标准</w:t>
            </w:r>
          </w:p>
        </w:tc>
        <w:tc>
          <w:tcPr>
            <w:tcW w:w="85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强制性</w:t>
            </w:r>
          </w:p>
        </w:tc>
        <w:tc>
          <w:tcPr>
            <w:tcW w:w="1134"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非强制性</w:t>
            </w:r>
          </w:p>
        </w:tc>
        <w:tc>
          <w:tcPr>
            <w:tcW w:w="851"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重要项</w:t>
            </w:r>
          </w:p>
        </w:tc>
        <w:tc>
          <w:tcPr>
            <w:tcW w:w="1134"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较重要项</w:t>
            </w:r>
          </w:p>
        </w:tc>
        <w:tc>
          <w:tcPr>
            <w:tcW w:w="85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6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241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细菌菌落总数</w:t>
            </w:r>
          </w:p>
        </w:tc>
        <w:tc>
          <w:tcPr>
            <w:tcW w:w="19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20810-2006中4.2条或GB/T 20810-2018中5.3条</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50"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6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241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大肠菌群</w:t>
            </w:r>
          </w:p>
        </w:tc>
        <w:tc>
          <w:tcPr>
            <w:tcW w:w="19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20810-2006中4.2条或GB/T 20810-2018中5.3条</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50"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6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241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金黄色葡萄球菌</w:t>
            </w:r>
          </w:p>
        </w:tc>
        <w:tc>
          <w:tcPr>
            <w:tcW w:w="19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20810-2006中4.2条或GB/T 20810-2018中5.3条</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50"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6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241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溶血性链球菌</w:t>
            </w:r>
          </w:p>
        </w:tc>
        <w:tc>
          <w:tcPr>
            <w:tcW w:w="19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20810-2006中4.2条或GB/T 20810-2018中5.3条</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50"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6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241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横向吸液高度</w:t>
            </w:r>
          </w:p>
        </w:tc>
        <w:tc>
          <w:tcPr>
            <w:tcW w:w="19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20810-2006中4.1条或GB/T 20810-2018中5.1、5.2条</w:t>
            </w:r>
          </w:p>
        </w:tc>
        <w:tc>
          <w:tcPr>
            <w:tcW w:w="850"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0"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6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241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抗张指数</w:t>
            </w:r>
          </w:p>
        </w:tc>
        <w:tc>
          <w:tcPr>
            <w:tcW w:w="19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20810-2006中4.1条或GB/T 20810-2018中5.1、5.2条</w:t>
            </w:r>
          </w:p>
        </w:tc>
        <w:tc>
          <w:tcPr>
            <w:tcW w:w="850"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0"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6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241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尘埃度</w:t>
            </w:r>
          </w:p>
        </w:tc>
        <w:tc>
          <w:tcPr>
            <w:tcW w:w="19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20810-2006中4.1条或GB/T 20810-2018中5.1、5.2条</w:t>
            </w:r>
          </w:p>
        </w:tc>
        <w:tc>
          <w:tcPr>
            <w:tcW w:w="850"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0"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6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241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柔软度</w:t>
            </w:r>
          </w:p>
        </w:tc>
        <w:tc>
          <w:tcPr>
            <w:tcW w:w="19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 20810-2006中4.1条或GB/T 20810-2018中5.1、5.2条</w:t>
            </w:r>
          </w:p>
        </w:tc>
        <w:tc>
          <w:tcPr>
            <w:tcW w:w="850"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0" w:type="dxa"/>
            <w:vAlign w:val="top"/>
          </w:tcPr>
          <w:p>
            <w:pPr>
              <w:snapToGrid w:val="0"/>
              <w:jc w:val="center"/>
              <w:rPr>
                <w:rFonts w:hint="default" w:ascii="Times New Roman" w:hAnsi="Times New Roman" w:cs="Times New Roman"/>
                <w:sz w:val="20"/>
                <w:szCs w:val="20"/>
              </w:rPr>
            </w:pPr>
          </w:p>
        </w:tc>
      </w:tr>
    </w:tbl>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2019年7月1日以前生产的产品按GB/T 20810-2006进行判定，2019年7月1日以后生产的产品按GB/T 20810-2018进行判定。</w:t>
      </w:r>
    </w:p>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纸尿裤（含纸尿片）</w:t>
      </w:r>
    </w:p>
    <w:tbl>
      <w:tblPr>
        <w:tblStyle w:val="3"/>
        <w:tblW w:w="9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232"/>
        <w:gridCol w:w="1603"/>
        <w:gridCol w:w="1222"/>
        <w:gridCol w:w="850"/>
        <w:gridCol w:w="1134"/>
        <w:gridCol w:w="851"/>
        <w:gridCol w:w="105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序号</w:t>
            </w:r>
          </w:p>
        </w:tc>
        <w:tc>
          <w:tcPr>
            <w:tcW w:w="2835" w:type="dxa"/>
            <w:gridSpan w:val="2"/>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检验项目</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依据标准</w:t>
            </w:r>
          </w:p>
        </w:tc>
        <w:tc>
          <w:tcPr>
            <w:tcW w:w="85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强制性</w:t>
            </w:r>
          </w:p>
        </w:tc>
        <w:tc>
          <w:tcPr>
            <w:tcW w:w="1134"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非强制性</w:t>
            </w:r>
          </w:p>
        </w:tc>
        <w:tc>
          <w:tcPr>
            <w:tcW w:w="851"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重要项</w:t>
            </w:r>
          </w:p>
        </w:tc>
        <w:tc>
          <w:tcPr>
            <w:tcW w:w="1053"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较重要项</w:t>
            </w:r>
          </w:p>
        </w:tc>
        <w:tc>
          <w:tcPr>
            <w:tcW w:w="851"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2835" w:type="dxa"/>
            <w:gridSpan w:val="2"/>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细菌菌落总数</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top"/>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53" w:type="dxa"/>
            <w:vAlign w:val="center"/>
          </w:tcPr>
          <w:p>
            <w:pPr>
              <w:snapToGrid w:val="0"/>
              <w:jc w:val="center"/>
              <w:rPr>
                <w:rFonts w:hint="default" w:ascii="Times New Roman" w:hAnsi="Times New Roman" w:cs="Times New Roman"/>
                <w:sz w:val="20"/>
                <w:szCs w:val="20"/>
              </w:rPr>
            </w:pPr>
          </w:p>
        </w:tc>
        <w:tc>
          <w:tcPr>
            <w:tcW w:w="851"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2835" w:type="dxa"/>
            <w:gridSpan w:val="2"/>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大肠菌群</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top"/>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53" w:type="dxa"/>
            <w:vAlign w:val="center"/>
          </w:tcPr>
          <w:p>
            <w:pPr>
              <w:snapToGrid w:val="0"/>
              <w:jc w:val="center"/>
              <w:rPr>
                <w:rFonts w:hint="default" w:ascii="Times New Roman" w:hAnsi="Times New Roman" w:cs="Times New Roman"/>
                <w:sz w:val="20"/>
                <w:szCs w:val="20"/>
              </w:rPr>
            </w:pPr>
          </w:p>
        </w:tc>
        <w:tc>
          <w:tcPr>
            <w:tcW w:w="851"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2835" w:type="dxa"/>
            <w:gridSpan w:val="2"/>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真菌菌落总数</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top"/>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53" w:type="dxa"/>
            <w:vAlign w:val="center"/>
          </w:tcPr>
          <w:p>
            <w:pPr>
              <w:snapToGrid w:val="0"/>
              <w:jc w:val="center"/>
              <w:rPr>
                <w:rFonts w:hint="default" w:ascii="Times New Roman" w:hAnsi="Times New Roman" w:cs="Times New Roman"/>
                <w:sz w:val="20"/>
                <w:szCs w:val="20"/>
              </w:rPr>
            </w:pPr>
          </w:p>
        </w:tc>
        <w:tc>
          <w:tcPr>
            <w:tcW w:w="851"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2835" w:type="dxa"/>
            <w:gridSpan w:val="2"/>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致病性化脓菌(绿脓杆菌、金黄色葡萄球菌、溶血性链球菌)</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top"/>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53" w:type="dxa"/>
            <w:vAlign w:val="center"/>
          </w:tcPr>
          <w:p>
            <w:pPr>
              <w:snapToGrid w:val="0"/>
              <w:jc w:val="center"/>
              <w:rPr>
                <w:rFonts w:hint="default" w:ascii="Times New Roman" w:hAnsi="Times New Roman" w:cs="Times New Roman"/>
                <w:sz w:val="20"/>
                <w:szCs w:val="20"/>
              </w:rPr>
            </w:pPr>
          </w:p>
        </w:tc>
        <w:tc>
          <w:tcPr>
            <w:tcW w:w="851"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Merge w:val="restart"/>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232" w:type="dxa"/>
            <w:vMerge w:val="restart"/>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渗透</w:t>
            </w:r>
          </w:p>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性能</w:t>
            </w:r>
          </w:p>
        </w:tc>
        <w:tc>
          <w:tcPr>
            <w:tcW w:w="1603"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滑渗量</w:t>
            </w:r>
          </w:p>
        </w:tc>
        <w:tc>
          <w:tcPr>
            <w:tcW w:w="1222" w:type="dxa"/>
            <w:vMerge w:val="restart"/>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GB/T28004中5.1条</w:t>
            </w:r>
          </w:p>
        </w:tc>
        <w:tc>
          <w:tcPr>
            <w:tcW w:w="850" w:type="dxa"/>
            <w:vMerge w:val="restart"/>
            <w:vAlign w:val="center"/>
          </w:tcPr>
          <w:p>
            <w:pPr>
              <w:snapToGrid w:val="0"/>
              <w:jc w:val="center"/>
              <w:rPr>
                <w:rFonts w:hint="default" w:ascii="Times New Roman" w:hAnsi="Times New Roman" w:cs="Times New Roman"/>
                <w:sz w:val="20"/>
                <w:szCs w:val="20"/>
              </w:rPr>
            </w:pPr>
          </w:p>
        </w:tc>
        <w:tc>
          <w:tcPr>
            <w:tcW w:w="1134" w:type="dxa"/>
            <w:vMerge w:val="restart"/>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Merge w:val="restart"/>
            <w:vAlign w:val="center"/>
          </w:tcPr>
          <w:p>
            <w:pPr>
              <w:snapToGrid w:val="0"/>
              <w:jc w:val="center"/>
              <w:rPr>
                <w:rFonts w:hint="default" w:ascii="Times New Roman" w:hAnsi="Times New Roman" w:cs="Times New Roman"/>
                <w:sz w:val="20"/>
                <w:szCs w:val="20"/>
              </w:rPr>
            </w:pPr>
          </w:p>
        </w:tc>
        <w:tc>
          <w:tcPr>
            <w:tcW w:w="1053" w:type="dxa"/>
            <w:vMerge w:val="restart"/>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Merge w:val="restart"/>
            <w:vAlign w:val="center"/>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Merge w:val="continue"/>
            <w:vAlign w:val="center"/>
          </w:tcPr>
          <w:p>
            <w:pPr>
              <w:snapToGrid w:val="0"/>
              <w:jc w:val="center"/>
              <w:rPr>
                <w:rFonts w:hint="default" w:ascii="Times New Roman" w:hAnsi="Times New Roman" w:cs="Times New Roman"/>
                <w:sz w:val="20"/>
                <w:szCs w:val="20"/>
              </w:rPr>
            </w:pPr>
          </w:p>
        </w:tc>
        <w:tc>
          <w:tcPr>
            <w:tcW w:w="1232" w:type="dxa"/>
            <w:vMerge w:val="continue"/>
            <w:vAlign w:val="center"/>
          </w:tcPr>
          <w:p>
            <w:pPr>
              <w:snapToGrid w:val="0"/>
              <w:jc w:val="center"/>
              <w:rPr>
                <w:rFonts w:hint="default" w:ascii="Times New Roman" w:hAnsi="Times New Roman" w:cs="Times New Roman"/>
                <w:sz w:val="20"/>
                <w:szCs w:val="20"/>
              </w:rPr>
            </w:pPr>
          </w:p>
        </w:tc>
        <w:tc>
          <w:tcPr>
            <w:tcW w:w="1603"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回渗量</w:t>
            </w:r>
          </w:p>
        </w:tc>
        <w:tc>
          <w:tcPr>
            <w:tcW w:w="1222" w:type="dxa"/>
            <w:vMerge w:val="continue"/>
            <w:vAlign w:val="center"/>
          </w:tcPr>
          <w:p>
            <w:pPr>
              <w:snapToGrid w:val="0"/>
              <w:jc w:val="center"/>
              <w:rPr>
                <w:rFonts w:hint="default" w:ascii="Times New Roman" w:hAnsi="Times New Roman" w:cs="Times New Roman"/>
                <w:sz w:val="20"/>
                <w:szCs w:val="20"/>
              </w:rPr>
            </w:pPr>
          </w:p>
        </w:tc>
        <w:tc>
          <w:tcPr>
            <w:tcW w:w="850" w:type="dxa"/>
            <w:vMerge w:val="continue"/>
            <w:vAlign w:val="center"/>
          </w:tcPr>
          <w:p>
            <w:pPr>
              <w:snapToGrid w:val="0"/>
              <w:jc w:val="center"/>
              <w:rPr>
                <w:rFonts w:hint="default" w:ascii="Times New Roman" w:hAnsi="Times New Roman" w:cs="Times New Roman"/>
                <w:sz w:val="20"/>
                <w:szCs w:val="20"/>
              </w:rPr>
            </w:pPr>
          </w:p>
        </w:tc>
        <w:tc>
          <w:tcPr>
            <w:tcW w:w="1134" w:type="dxa"/>
            <w:vMerge w:val="continue"/>
            <w:vAlign w:val="center"/>
          </w:tcPr>
          <w:p>
            <w:pPr>
              <w:snapToGrid w:val="0"/>
              <w:jc w:val="center"/>
              <w:rPr>
                <w:rFonts w:hint="default" w:ascii="Times New Roman" w:hAnsi="Times New Roman" w:cs="Times New Roman"/>
                <w:sz w:val="20"/>
                <w:szCs w:val="20"/>
              </w:rPr>
            </w:pPr>
          </w:p>
        </w:tc>
        <w:tc>
          <w:tcPr>
            <w:tcW w:w="851" w:type="dxa"/>
            <w:vMerge w:val="continue"/>
            <w:vAlign w:val="center"/>
          </w:tcPr>
          <w:p>
            <w:pPr>
              <w:snapToGrid w:val="0"/>
              <w:jc w:val="center"/>
              <w:rPr>
                <w:rFonts w:hint="default" w:ascii="Times New Roman" w:hAnsi="Times New Roman" w:cs="Times New Roman"/>
                <w:sz w:val="20"/>
                <w:szCs w:val="20"/>
              </w:rPr>
            </w:pPr>
          </w:p>
        </w:tc>
        <w:tc>
          <w:tcPr>
            <w:tcW w:w="1053" w:type="dxa"/>
            <w:vMerge w:val="continue"/>
            <w:vAlign w:val="center"/>
          </w:tcPr>
          <w:p>
            <w:pPr>
              <w:snapToGrid w:val="0"/>
              <w:jc w:val="center"/>
              <w:rPr>
                <w:rFonts w:hint="default" w:ascii="Times New Roman" w:hAnsi="Times New Roman" w:cs="Times New Roman"/>
                <w:sz w:val="20"/>
                <w:szCs w:val="20"/>
              </w:rPr>
            </w:pPr>
          </w:p>
        </w:tc>
        <w:tc>
          <w:tcPr>
            <w:tcW w:w="851" w:type="dxa"/>
            <w:vMerge w:val="continue"/>
            <w:vAlign w:val="center"/>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Merge w:val="continue"/>
            <w:vAlign w:val="center"/>
          </w:tcPr>
          <w:p>
            <w:pPr>
              <w:snapToGrid w:val="0"/>
              <w:jc w:val="center"/>
              <w:rPr>
                <w:rFonts w:hint="default" w:ascii="Times New Roman" w:hAnsi="Times New Roman" w:cs="Times New Roman"/>
                <w:sz w:val="20"/>
                <w:szCs w:val="20"/>
              </w:rPr>
            </w:pPr>
          </w:p>
        </w:tc>
        <w:tc>
          <w:tcPr>
            <w:tcW w:w="1232" w:type="dxa"/>
            <w:vMerge w:val="continue"/>
            <w:vAlign w:val="center"/>
          </w:tcPr>
          <w:p>
            <w:pPr>
              <w:snapToGrid w:val="0"/>
              <w:jc w:val="center"/>
              <w:rPr>
                <w:rFonts w:hint="default" w:ascii="Times New Roman" w:hAnsi="Times New Roman" w:cs="Times New Roman"/>
                <w:sz w:val="20"/>
                <w:szCs w:val="20"/>
              </w:rPr>
            </w:pPr>
          </w:p>
        </w:tc>
        <w:tc>
          <w:tcPr>
            <w:tcW w:w="1603"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渗漏量</w:t>
            </w:r>
          </w:p>
        </w:tc>
        <w:tc>
          <w:tcPr>
            <w:tcW w:w="1222" w:type="dxa"/>
            <w:vMerge w:val="continue"/>
            <w:vAlign w:val="center"/>
          </w:tcPr>
          <w:p>
            <w:pPr>
              <w:snapToGrid w:val="0"/>
              <w:jc w:val="center"/>
              <w:rPr>
                <w:rFonts w:hint="default" w:ascii="Times New Roman" w:hAnsi="Times New Roman" w:cs="Times New Roman"/>
                <w:sz w:val="20"/>
                <w:szCs w:val="20"/>
              </w:rPr>
            </w:pPr>
          </w:p>
        </w:tc>
        <w:tc>
          <w:tcPr>
            <w:tcW w:w="850" w:type="dxa"/>
            <w:vMerge w:val="continue"/>
            <w:vAlign w:val="center"/>
          </w:tcPr>
          <w:p>
            <w:pPr>
              <w:snapToGrid w:val="0"/>
              <w:jc w:val="center"/>
              <w:rPr>
                <w:rFonts w:hint="default" w:ascii="Times New Roman" w:hAnsi="Times New Roman" w:cs="Times New Roman"/>
                <w:sz w:val="20"/>
                <w:szCs w:val="20"/>
              </w:rPr>
            </w:pPr>
          </w:p>
        </w:tc>
        <w:tc>
          <w:tcPr>
            <w:tcW w:w="1134" w:type="dxa"/>
            <w:vMerge w:val="continue"/>
            <w:vAlign w:val="center"/>
          </w:tcPr>
          <w:p>
            <w:pPr>
              <w:snapToGrid w:val="0"/>
              <w:jc w:val="center"/>
              <w:rPr>
                <w:rFonts w:hint="default" w:ascii="Times New Roman" w:hAnsi="Times New Roman" w:cs="Times New Roman"/>
                <w:sz w:val="20"/>
                <w:szCs w:val="20"/>
              </w:rPr>
            </w:pPr>
          </w:p>
        </w:tc>
        <w:tc>
          <w:tcPr>
            <w:tcW w:w="851" w:type="dxa"/>
            <w:vMerge w:val="continue"/>
            <w:vAlign w:val="center"/>
          </w:tcPr>
          <w:p>
            <w:pPr>
              <w:snapToGrid w:val="0"/>
              <w:jc w:val="center"/>
              <w:rPr>
                <w:rFonts w:hint="default" w:ascii="Times New Roman" w:hAnsi="Times New Roman" w:cs="Times New Roman"/>
                <w:sz w:val="20"/>
                <w:szCs w:val="20"/>
              </w:rPr>
            </w:pPr>
          </w:p>
        </w:tc>
        <w:tc>
          <w:tcPr>
            <w:tcW w:w="1053" w:type="dxa"/>
            <w:vMerge w:val="continue"/>
            <w:vAlign w:val="center"/>
          </w:tcPr>
          <w:p>
            <w:pPr>
              <w:snapToGrid w:val="0"/>
              <w:jc w:val="center"/>
              <w:rPr>
                <w:rFonts w:hint="default" w:ascii="Times New Roman" w:hAnsi="Times New Roman" w:cs="Times New Roman"/>
                <w:sz w:val="20"/>
                <w:szCs w:val="20"/>
              </w:rPr>
            </w:pPr>
          </w:p>
        </w:tc>
        <w:tc>
          <w:tcPr>
            <w:tcW w:w="851" w:type="dxa"/>
            <w:vMerge w:val="continue"/>
            <w:vAlign w:val="center"/>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2835" w:type="dxa"/>
            <w:gridSpan w:val="2"/>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pH</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GB/T28004中5.1条</w:t>
            </w:r>
          </w:p>
        </w:tc>
        <w:tc>
          <w:tcPr>
            <w:tcW w:w="850"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Align w:val="center"/>
          </w:tcPr>
          <w:p>
            <w:pPr>
              <w:snapToGrid w:val="0"/>
              <w:jc w:val="center"/>
              <w:rPr>
                <w:rFonts w:hint="default" w:ascii="Times New Roman" w:hAnsi="Times New Roman" w:cs="Times New Roman"/>
                <w:sz w:val="20"/>
                <w:szCs w:val="20"/>
              </w:rPr>
            </w:pPr>
          </w:p>
        </w:tc>
        <w:tc>
          <w:tcPr>
            <w:tcW w:w="1053"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Align w:val="center"/>
          </w:tcPr>
          <w:p>
            <w:pPr>
              <w:snapToGrid w:val="0"/>
              <w:jc w:val="center"/>
              <w:rPr>
                <w:rFonts w:hint="default" w:ascii="Times New Roman" w:hAnsi="Times New Roman" w:cs="Times New Roman"/>
                <w:sz w:val="20"/>
                <w:szCs w:val="20"/>
              </w:rPr>
            </w:pPr>
          </w:p>
        </w:tc>
      </w:tr>
    </w:tbl>
    <w:p>
      <w:pPr>
        <w:spacing w:line="360" w:lineRule="auto"/>
        <w:ind w:firstLine="640" w:firstLineChars="200"/>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医护用纸卫生床垫</w:t>
      </w:r>
    </w:p>
    <w:tbl>
      <w:tblPr>
        <w:tblStyle w:val="3"/>
        <w:tblW w:w="9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2835"/>
        <w:gridCol w:w="1222"/>
        <w:gridCol w:w="850"/>
        <w:gridCol w:w="1134"/>
        <w:gridCol w:w="851"/>
        <w:gridCol w:w="105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序号</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检验项目</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依据标准</w:t>
            </w:r>
          </w:p>
        </w:tc>
        <w:tc>
          <w:tcPr>
            <w:tcW w:w="85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强制性</w:t>
            </w:r>
          </w:p>
        </w:tc>
        <w:tc>
          <w:tcPr>
            <w:tcW w:w="1134"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非强制性</w:t>
            </w:r>
          </w:p>
        </w:tc>
        <w:tc>
          <w:tcPr>
            <w:tcW w:w="851"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重要项</w:t>
            </w:r>
          </w:p>
        </w:tc>
        <w:tc>
          <w:tcPr>
            <w:tcW w:w="1053"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较重要项</w:t>
            </w:r>
          </w:p>
        </w:tc>
        <w:tc>
          <w:tcPr>
            <w:tcW w:w="851"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细菌菌落总数</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top"/>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53" w:type="dxa"/>
            <w:vAlign w:val="center"/>
          </w:tcPr>
          <w:p>
            <w:pPr>
              <w:snapToGrid w:val="0"/>
              <w:jc w:val="center"/>
              <w:rPr>
                <w:rFonts w:hint="default" w:ascii="Times New Roman" w:hAnsi="Times New Roman" w:cs="Times New Roman"/>
                <w:sz w:val="20"/>
                <w:szCs w:val="20"/>
              </w:rPr>
            </w:pPr>
          </w:p>
        </w:tc>
        <w:tc>
          <w:tcPr>
            <w:tcW w:w="851"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大肠菌群</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top"/>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53" w:type="dxa"/>
            <w:vAlign w:val="center"/>
          </w:tcPr>
          <w:p>
            <w:pPr>
              <w:snapToGrid w:val="0"/>
              <w:jc w:val="center"/>
              <w:rPr>
                <w:rFonts w:hint="default" w:ascii="Times New Roman" w:hAnsi="Times New Roman" w:cs="Times New Roman"/>
                <w:sz w:val="20"/>
                <w:szCs w:val="20"/>
              </w:rPr>
            </w:pPr>
          </w:p>
        </w:tc>
        <w:tc>
          <w:tcPr>
            <w:tcW w:w="851"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真菌菌落总数</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top"/>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53" w:type="dxa"/>
            <w:vAlign w:val="center"/>
          </w:tcPr>
          <w:p>
            <w:pPr>
              <w:snapToGrid w:val="0"/>
              <w:jc w:val="center"/>
              <w:rPr>
                <w:rFonts w:hint="default" w:ascii="Times New Roman" w:hAnsi="Times New Roman" w:cs="Times New Roman"/>
                <w:sz w:val="20"/>
                <w:szCs w:val="20"/>
              </w:rPr>
            </w:pPr>
          </w:p>
        </w:tc>
        <w:tc>
          <w:tcPr>
            <w:tcW w:w="851"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致病性化脓菌(绿脓杆菌、金黄色葡萄球菌、溶血性链球菌)</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top"/>
          </w:tcPr>
          <w:p>
            <w:pPr>
              <w:snapToGrid w:val="0"/>
              <w:jc w:val="center"/>
              <w:rPr>
                <w:rFonts w:hint="default" w:ascii="Times New Roman" w:hAnsi="Times New Roman" w:cs="Times New Roman"/>
                <w:sz w:val="20"/>
                <w:szCs w:val="20"/>
              </w:rPr>
            </w:pPr>
          </w:p>
        </w:tc>
        <w:tc>
          <w:tcPr>
            <w:tcW w:w="851"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53" w:type="dxa"/>
            <w:vAlign w:val="center"/>
          </w:tcPr>
          <w:p>
            <w:pPr>
              <w:snapToGrid w:val="0"/>
              <w:jc w:val="center"/>
              <w:rPr>
                <w:rFonts w:hint="default" w:ascii="Times New Roman" w:hAnsi="Times New Roman" w:cs="Times New Roman"/>
                <w:sz w:val="20"/>
                <w:szCs w:val="20"/>
              </w:rPr>
            </w:pPr>
          </w:p>
        </w:tc>
        <w:tc>
          <w:tcPr>
            <w:tcW w:w="851"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渗透性能</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GB/T28004中5.1条</w:t>
            </w:r>
          </w:p>
        </w:tc>
        <w:tc>
          <w:tcPr>
            <w:tcW w:w="850"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Align w:val="center"/>
          </w:tcPr>
          <w:p>
            <w:pPr>
              <w:snapToGrid w:val="0"/>
              <w:jc w:val="center"/>
              <w:rPr>
                <w:rFonts w:hint="default" w:ascii="Times New Roman" w:hAnsi="Times New Roman" w:cs="Times New Roman"/>
                <w:sz w:val="20"/>
                <w:szCs w:val="20"/>
              </w:rPr>
            </w:pPr>
          </w:p>
        </w:tc>
        <w:tc>
          <w:tcPr>
            <w:tcW w:w="1053"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Align w:val="center"/>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pH</w:t>
            </w:r>
          </w:p>
        </w:tc>
        <w:tc>
          <w:tcPr>
            <w:tcW w:w="122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GB/T28004中5.1条</w:t>
            </w:r>
          </w:p>
        </w:tc>
        <w:tc>
          <w:tcPr>
            <w:tcW w:w="850"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Align w:val="center"/>
          </w:tcPr>
          <w:p>
            <w:pPr>
              <w:snapToGrid w:val="0"/>
              <w:jc w:val="center"/>
              <w:rPr>
                <w:rFonts w:hint="default" w:ascii="Times New Roman" w:hAnsi="Times New Roman" w:cs="Times New Roman"/>
                <w:sz w:val="20"/>
                <w:szCs w:val="20"/>
              </w:rPr>
            </w:pPr>
          </w:p>
        </w:tc>
        <w:tc>
          <w:tcPr>
            <w:tcW w:w="1053"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1" w:type="dxa"/>
            <w:vAlign w:val="center"/>
          </w:tcPr>
          <w:p>
            <w:pPr>
              <w:snapToGrid w:val="0"/>
              <w:jc w:val="center"/>
              <w:rPr>
                <w:rFonts w:hint="default" w:ascii="Times New Roman" w:hAnsi="Times New Roman" w:cs="Times New Roman"/>
                <w:sz w:val="20"/>
                <w:szCs w:val="20"/>
              </w:rPr>
            </w:pPr>
          </w:p>
        </w:tc>
      </w:tr>
    </w:tbl>
    <w:p>
      <w:pPr>
        <w:spacing w:line="360" w:lineRule="auto"/>
        <w:ind w:firstLine="640" w:firstLineChars="200"/>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卫生巾</w:t>
      </w:r>
    </w:p>
    <w:tbl>
      <w:tblPr>
        <w:tblStyle w:val="3"/>
        <w:tblW w:w="9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2908"/>
        <w:gridCol w:w="1418"/>
        <w:gridCol w:w="816"/>
        <w:gridCol w:w="1062"/>
        <w:gridCol w:w="850"/>
        <w:gridCol w:w="1134"/>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49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序号</w:t>
            </w:r>
          </w:p>
        </w:tc>
        <w:tc>
          <w:tcPr>
            <w:tcW w:w="290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检验项目</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依据标准</w:t>
            </w:r>
          </w:p>
        </w:tc>
        <w:tc>
          <w:tcPr>
            <w:tcW w:w="816"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强制性</w:t>
            </w:r>
          </w:p>
        </w:tc>
        <w:tc>
          <w:tcPr>
            <w:tcW w:w="1062"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非强制性</w:t>
            </w:r>
          </w:p>
        </w:tc>
        <w:tc>
          <w:tcPr>
            <w:tcW w:w="85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重要项</w:t>
            </w:r>
          </w:p>
        </w:tc>
        <w:tc>
          <w:tcPr>
            <w:tcW w:w="1134"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较重要项</w:t>
            </w:r>
          </w:p>
        </w:tc>
        <w:tc>
          <w:tcPr>
            <w:tcW w:w="828"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49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290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细菌菌落总数</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62" w:type="dxa"/>
            <w:vAlign w:val="center"/>
          </w:tcPr>
          <w:p>
            <w:pPr>
              <w:snapToGrid w:val="0"/>
              <w:jc w:val="center"/>
              <w:rPr>
                <w:rFonts w:hint="default" w:ascii="Times New Roman" w:hAnsi="Times New Roman" w:cs="Times New Roman"/>
                <w:sz w:val="20"/>
                <w:szCs w:val="20"/>
              </w:rPr>
            </w:pP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2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49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290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大肠菌群</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62" w:type="dxa"/>
            <w:vAlign w:val="center"/>
          </w:tcPr>
          <w:p>
            <w:pPr>
              <w:snapToGrid w:val="0"/>
              <w:jc w:val="center"/>
              <w:rPr>
                <w:rFonts w:hint="default" w:ascii="Times New Roman" w:hAnsi="Times New Roman" w:cs="Times New Roman"/>
                <w:sz w:val="20"/>
                <w:szCs w:val="20"/>
              </w:rPr>
            </w:pP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2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49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290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真菌菌落总数</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62" w:type="dxa"/>
            <w:vAlign w:val="center"/>
          </w:tcPr>
          <w:p>
            <w:pPr>
              <w:snapToGrid w:val="0"/>
              <w:jc w:val="center"/>
              <w:rPr>
                <w:rFonts w:hint="default" w:ascii="Times New Roman" w:hAnsi="Times New Roman" w:cs="Times New Roman"/>
                <w:sz w:val="20"/>
                <w:szCs w:val="20"/>
              </w:rPr>
            </w:pP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2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49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290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致病性化脓菌(绿脓杆菌、金黄色葡萄球菌、溶血性链球菌)</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GB15979</w:t>
            </w:r>
          </w:p>
        </w:tc>
        <w:tc>
          <w:tcPr>
            <w:tcW w:w="816"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62" w:type="dxa"/>
            <w:vAlign w:val="center"/>
          </w:tcPr>
          <w:p>
            <w:pPr>
              <w:snapToGrid w:val="0"/>
              <w:jc w:val="center"/>
              <w:rPr>
                <w:rFonts w:hint="default" w:ascii="Times New Roman" w:hAnsi="Times New Roman" w:cs="Times New Roman"/>
                <w:sz w:val="20"/>
                <w:szCs w:val="20"/>
              </w:rPr>
            </w:pPr>
          </w:p>
        </w:tc>
        <w:tc>
          <w:tcPr>
            <w:tcW w:w="85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134" w:type="dxa"/>
            <w:vAlign w:val="center"/>
          </w:tcPr>
          <w:p>
            <w:pPr>
              <w:snapToGrid w:val="0"/>
              <w:jc w:val="center"/>
              <w:rPr>
                <w:rFonts w:hint="default" w:ascii="Times New Roman" w:hAnsi="Times New Roman" w:cs="Times New Roman"/>
                <w:sz w:val="20"/>
                <w:szCs w:val="20"/>
              </w:rPr>
            </w:pPr>
          </w:p>
        </w:tc>
        <w:tc>
          <w:tcPr>
            <w:tcW w:w="82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49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290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吸水倍率</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GB/T8939中4.1、4.2条</w:t>
            </w:r>
          </w:p>
        </w:tc>
        <w:tc>
          <w:tcPr>
            <w:tcW w:w="816" w:type="dxa"/>
            <w:vAlign w:val="center"/>
          </w:tcPr>
          <w:p>
            <w:pPr>
              <w:snapToGrid w:val="0"/>
              <w:jc w:val="center"/>
              <w:rPr>
                <w:rFonts w:hint="default" w:ascii="Times New Roman" w:hAnsi="Times New Roman" w:cs="Times New Roman"/>
                <w:sz w:val="20"/>
                <w:szCs w:val="20"/>
              </w:rPr>
            </w:pPr>
          </w:p>
        </w:tc>
        <w:tc>
          <w:tcPr>
            <w:tcW w:w="106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0"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2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494" w:type="dxa"/>
            <w:vMerge w:val="restart"/>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290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*渗入量</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GB/T8939-2008中4.1条</w:t>
            </w:r>
          </w:p>
        </w:tc>
        <w:tc>
          <w:tcPr>
            <w:tcW w:w="816" w:type="dxa"/>
            <w:vMerge w:val="restart"/>
            <w:vAlign w:val="center"/>
          </w:tcPr>
          <w:p>
            <w:pPr>
              <w:snapToGrid w:val="0"/>
              <w:jc w:val="center"/>
              <w:rPr>
                <w:rFonts w:hint="default" w:ascii="Times New Roman" w:hAnsi="Times New Roman" w:cs="Times New Roman"/>
                <w:sz w:val="20"/>
                <w:szCs w:val="20"/>
              </w:rPr>
            </w:pPr>
          </w:p>
        </w:tc>
        <w:tc>
          <w:tcPr>
            <w:tcW w:w="1062" w:type="dxa"/>
            <w:vMerge w:val="restart"/>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0" w:type="dxa"/>
            <w:vMerge w:val="restart"/>
            <w:vAlign w:val="center"/>
          </w:tcPr>
          <w:p>
            <w:pPr>
              <w:snapToGrid w:val="0"/>
              <w:jc w:val="center"/>
              <w:rPr>
                <w:rFonts w:hint="default" w:ascii="Times New Roman" w:hAnsi="Times New Roman" w:cs="Times New Roman"/>
                <w:sz w:val="20"/>
                <w:szCs w:val="20"/>
              </w:rPr>
            </w:pPr>
          </w:p>
        </w:tc>
        <w:tc>
          <w:tcPr>
            <w:tcW w:w="1134" w:type="dxa"/>
            <w:vMerge w:val="restart"/>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28" w:type="dxa"/>
            <w:vMerge w:val="restart"/>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494" w:type="dxa"/>
            <w:vMerge w:val="continue"/>
            <w:vAlign w:val="center"/>
          </w:tcPr>
          <w:p>
            <w:pPr>
              <w:snapToGrid w:val="0"/>
              <w:jc w:val="center"/>
              <w:rPr>
                <w:rFonts w:hint="default" w:ascii="Times New Roman" w:hAnsi="Times New Roman" w:cs="Times New Roman"/>
                <w:sz w:val="20"/>
                <w:szCs w:val="20"/>
              </w:rPr>
            </w:pPr>
          </w:p>
        </w:tc>
        <w:tc>
          <w:tcPr>
            <w:tcW w:w="290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*吸收速度</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GB/T8939-2018中3.1条</w:t>
            </w:r>
          </w:p>
        </w:tc>
        <w:tc>
          <w:tcPr>
            <w:tcW w:w="816" w:type="dxa"/>
            <w:vMerge w:val="continue"/>
            <w:vAlign w:val="center"/>
          </w:tcPr>
          <w:p>
            <w:pPr>
              <w:snapToGrid w:val="0"/>
              <w:jc w:val="center"/>
              <w:rPr>
                <w:rFonts w:hint="default" w:ascii="Times New Roman" w:hAnsi="Times New Roman" w:cs="Times New Roman"/>
                <w:sz w:val="20"/>
                <w:szCs w:val="20"/>
              </w:rPr>
            </w:pPr>
          </w:p>
        </w:tc>
        <w:tc>
          <w:tcPr>
            <w:tcW w:w="1062" w:type="dxa"/>
            <w:vMerge w:val="continue"/>
            <w:vAlign w:val="center"/>
          </w:tcPr>
          <w:p>
            <w:pPr>
              <w:snapToGrid w:val="0"/>
              <w:jc w:val="center"/>
              <w:rPr>
                <w:rFonts w:hint="default" w:ascii="Times New Roman" w:hAnsi="Times New Roman" w:cs="Times New Roman"/>
                <w:sz w:val="20"/>
                <w:szCs w:val="20"/>
              </w:rPr>
            </w:pPr>
          </w:p>
        </w:tc>
        <w:tc>
          <w:tcPr>
            <w:tcW w:w="850" w:type="dxa"/>
            <w:vMerge w:val="continue"/>
            <w:vAlign w:val="center"/>
          </w:tcPr>
          <w:p>
            <w:pPr>
              <w:snapToGrid w:val="0"/>
              <w:jc w:val="center"/>
              <w:rPr>
                <w:rFonts w:hint="default" w:ascii="Times New Roman" w:hAnsi="Times New Roman" w:cs="Times New Roman"/>
                <w:sz w:val="20"/>
                <w:szCs w:val="20"/>
              </w:rPr>
            </w:pPr>
          </w:p>
        </w:tc>
        <w:tc>
          <w:tcPr>
            <w:tcW w:w="1134" w:type="dxa"/>
            <w:vMerge w:val="continue"/>
            <w:vAlign w:val="center"/>
          </w:tcPr>
          <w:p>
            <w:pPr>
              <w:snapToGrid w:val="0"/>
              <w:jc w:val="center"/>
              <w:rPr>
                <w:rFonts w:hint="default" w:ascii="Times New Roman" w:hAnsi="Times New Roman" w:cs="Times New Roman"/>
                <w:sz w:val="20"/>
                <w:szCs w:val="20"/>
              </w:rPr>
            </w:pPr>
          </w:p>
        </w:tc>
        <w:tc>
          <w:tcPr>
            <w:tcW w:w="828" w:type="dxa"/>
            <w:vMerge w:val="continue"/>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49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290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pH</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GB/T8939-2008中4.1、4.2条或GB/T8939-2018中3.1、3.2条</w:t>
            </w:r>
          </w:p>
        </w:tc>
        <w:tc>
          <w:tcPr>
            <w:tcW w:w="816" w:type="dxa"/>
            <w:vAlign w:val="center"/>
          </w:tcPr>
          <w:p>
            <w:pPr>
              <w:snapToGrid w:val="0"/>
              <w:jc w:val="center"/>
              <w:rPr>
                <w:rFonts w:hint="default" w:ascii="Times New Roman" w:hAnsi="Times New Roman" w:cs="Times New Roman"/>
                <w:sz w:val="20"/>
                <w:szCs w:val="20"/>
              </w:rPr>
            </w:pPr>
          </w:p>
        </w:tc>
        <w:tc>
          <w:tcPr>
            <w:tcW w:w="106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50" w:type="dxa"/>
            <w:vAlign w:val="center"/>
          </w:tcPr>
          <w:p>
            <w:pPr>
              <w:snapToGrid w:val="0"/>
              <w:jc w:val="center"/>
              <w:rPr>
                <w:rFonts w:hint="default" w:ascii="Times New Roman" w:hAnsi="Times New Roman" w:cs="Times New Roman"/>
                <w:sz w:val="20"/>
                <w:szCs w:val="20"/>
              </w:rPr>
            </w:pPr>
          </w:p>
        </w:tc>
        <w:tc>
          <w:tcPr>
            <w:tcW w:w="1134"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2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9510" w:type="dxa"/>
            <w:gridSpan w:val="8"/>
            <w:vAlign w:val="center"/>
          </w:tcPr>
          <w:p>
            <w:pPr>
              <w:snapToGrid w:val="0"/>
              <w:rPr>
                <w:rFonts w:hint="default" w:ascii="Times New Roman" w:hAnsi="Times New Roman" w:cs="Times New Roman"/>
                <w:sz w:val="20"/>
                <w:szCs w:val="20"/>
              </w:rPr>
            </w:pPr>
            <w:r>
              <w:rPr>
                <w:rFonts w:hint="default" w:ascii="Times New Roman" w:hAnsi="Times New Roman" w:cs="Times New Roman"/>
                <w:sz w:val="20"/>
                <w:szCs w:val="20"/>
              </w:rPr>
              <w:t>卫生巾日夜用混合包装只检验日用型。带*号的项目为卫生护垫不检项目。</w:t>
            </w:r>
          </w:p>
        </w:tc>
      </w:tr>
    </w:tbl>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2019年7月1日以前生产的产品按GB/T 8939-2008进行判定，2019年7月1日以后生产的产品按GB/T 8939-2018进行判定。</w:t>
      </w:r>
    </w:p>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szCs w:val="32"/>
          <w:lang w:eastAsia="zh-CN"/>
        </w:rPr>
        <w:t>．</w:t>
      </w:r>
      <w:r>
        <w:rPr>
          <w:rFonts w:hint="default" w:ascii="Times New Roman" w:hAnsi="Times New Roman" w:cs="Times New Roman"/>
          <w:szCs w:val="32"/>
        </w:rPr>
        <w:t>本色生活用纸</w:t>
      </w:r>
    </w:p>
    <w:tbl>
      <w:tblPr>
        <w:tblStyle w:val="3"/>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835"/>
        <w:gridCol w:w="1418"/>
        <w:gridCol w:w="912"/>
        <w:gridCol w:w="1039"/>
        <w:gridCol w:w="900"/>
        <w:gridCol w:w="103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序号</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检验项目</w:t>
            </w:r>
          </w:p>
        </w:tc>
        <w:tc>
          <w:tcPr>
            <w:tcW w:w="141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依据标准</w:t>
            </w:r>
          </w:p>
        </w:tc>
        <w:tc>
          <w:tcPr>
            <w:tcW w:w="912"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强制性</w:t>
            </w:r>
          </w:p>
        </w:tc>
        <w:tc>
          <w:tcPr>
            <w:tcW w:w="1039"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非强制性</w:t>
            </w:r>
          </w:p>
        </w:tc>
        <w:tc>
          <w:tcPr>
            <w:tcW w:w="900"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重要项</w:t>
            </w:r>
          </w:p>
        </w:tc>
        <w:tc>
          <w:tcPr>
            <w:tcW w:w="1038"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较重要项</w:t>
            </w:r>
          </w:p>
        </w:tc>
        <w:tc>
          <w:tcPr>
            <w:tcW w:w="848"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细菌菌落总数</w:t>
            </w:r>
          </w:p>
        </w:tc>
        <w:tc>
          <w:tcPr>
            <w:tcW w:w="1418" w:type="dxa"/>
            <w:vAlign w:val="center"/>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4509中5.5条</w:t>
            </w:r>
          </w:p>
        </w:tc>
        <w:tc>
          <w:tcPr>
            <w:tcW w:w="91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9" w:type="dxa"/>
            <w:vAlign w:val="center"/>
          </w:tcPr>
          <w:p>
            <w:pPr>
              <w:snapToGrid w:val="0"/>
              <w:jc w:val="center"/>
              <w:rPr>
                <w:rFonts w:hint="default" w:ascii="Times New Roman" w:hAnsi="Times New Roman" w:cs="Times New Roman"/>
                <w:sz w:val="20"/>
                <w:szCs w:val="20"/>
              </w:rPr>
            </w:pPr>
          </w:p>
        </w:tc>
        <w:tc>
          <w:tcPr>
            <w:tcW w:w="90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8" w:type="dxa"/>
            <w:vAlign w:val="center"/>
          </w:tcPr>
          <w:p>
            <w:pPr>
              <w:snapToGrid w:val="0"/>
              <w:jc w:val="center"/>
              <w:rPr>
                <w:rFonts w:hint="default" w:ascii="Times New Roman" w:hAnsi="Times New Roman" w:cs="Times New Roman"/>
                <w:sz w:val="20"/>
                <w:szCs w:val="20"/>
              </w:rPr>
            </w:pP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大肠菌群</w:t>
            </w:r>
          </w:p>
        </w:tc>
        <w:tc>
          <w:tcPr>
            <w:tcW w:w="1418" w:type="dxa"/>
            <w:vAlign w:val="top"/>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4509中5.5条</w:t>
            </w:r>
          </w:p>
        </w:tc>
        <w:tc>
          <w:tcPr>
            <w:tcW w:w="91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9" w:type="dxa"/>
            <w:vAlign w:val="center"/>
          </w:tcPr>
          <w:p>
            <w:pPr>
              <w:snapToGrid w:val="0"/>
              <w:jc w:val="center"/>
              <w:rPr>
                <w:rFonts w:hint="default" w:ascii="Times New Roman" w:hAnsi="Times New Roman" w:cs="Times New Roman"/>
                <w:sz w:val="20"/>
                <w:szCs w:val="20"/>
              </w:rPr>
            </w:pPr>
          </w:p>
        </w:tc>
        <w:tc>
          <w:tcPr>
            <w:tcW w:w="90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8" w:type="dxa"/>
            <w:vAlign w:val="center"/>
          </w:tcPr>
          <w:p>
            <w:pPr>
              <w:snapToGrid w:val="0"/>
              <w:jc w:val="center"/>
              <w:rPr>
                <w:rFonts w:hint="default" w:ascii="Times New Roman" w:hAnsi="Times New Roman" w:cs="Times New Roman"/>
                <w:sz w:val="20"/>
                <w:szCs w:val="20"/>
              </w:rPr>
            </w:pP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真菌菌落总数</w:t>
            </w:r>
          </w:p>
        </w:tc>
        <w:tc>
          <w:tcPr>
            <w:tcW w:w="1418" w:type="dxa"/>
            <w:vAlign w:val="center"/>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4509中5.5条</w:t>
            </w:r>
          </w:p>
        </w:tc>
        <w:tc>
          <w:tcPr>
            <w:tcW w:w="91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9" w:type="dxa"/>
            <w:vAlign w:val="center"/>
          </w:tcPr>
          <w:p>
            <w:pPr>
              <w:snapToGrid w:val="0"/>
              <w:jc w:val="center"/>
              <w:rPr>
                <w:rFonts w:hint="default" w:ascii="Times New Roman" w:hAnsi="Times New Roman" w:cs="Times New Roman"/>
                <w:sz w:val="20"/>
                <w:szCs w:val="20"/>
              </w:rPr>
            </w:pPr>
          </w:p>
        </w:tc>
        <w:tc>
          <w:tcPr>
            <w:tcW w:w="90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8" w:type="dxa"/>
            <w:vAlign w:val="center"/>
          </w:tcPr>
          <w:p>
            <w:pPr>
              <w:snapToGrid w:val="0"/>
              <w:jc w:val="center"/>
              <w:rPr>
                <w:rFonts w:hint="default" w:ascii="Times New Roman" w:hAnsi="Times New Roman" w:cs="Times New Roman"/>
                <w:sz w:val="20"/>
                <w:szCs w:val="20"/>
              </w:rPr>
            </w:pP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致病性化脓菌(绿脓杆菌、金黄色葡萄球菌、溶血性链球菌)</w:t>
            </w:r>
          </w:p>
        </w:tc>
        <w:tc>
          <w:tcPr>
            <w:tcW w:w="1418" w:type="dxa"/>
            <w:vAlign w:val="top"/>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4509中5.5条</w:t>
            </w:r>
          </w:p>
        </w:tc>
        <w:tc>
          <w:tcPr>
            <w:tcW w:w="912"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9" w:type="dxa"/>
            <w:vAlign w:val="center"/>
          </w:tcPr>
          <w:p>
            <w:pPr>
              <w:snapToGrid w:val="0"/>
              <w:jc w:val="center"/>
              <w:rPr>
                <w:rFonts w:hint="default" w:ascii="Times New Roman" w:hAnsi="Times New Roman" w:cs="Times New Roman"/>
                <w:sz w:val="20"/>
                <w:szCs w:val="20"/>
              </w:rPr>
            </w:pPr>
          </w:p>
        </w:tc>
        <w:tc>
          <w:tcPr>
            <w:tcW w:w="90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1038" w:type="dxa"/>
            <w:vAlign w:val="center"/>
          </w:tcPr>
          <w:p>
            <w:pPr>
              <w:snapToGrid w:val="0"/>
              <w:jc w:val="center"/>
              <w:rPr>
                <w:rFonts w:hint="default" w:ascii="Times New Roman" w:hAnsi="Times New Roman" w:cs="Times New Roman"/>
                <w:sz w:val="20"/>
                <w:szCs w:val="20"/>
              </w:rPr>
            </w:pP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亮度</w:t>
            </w:r>
          </w:p>
        </w:tc>
        <w:tc>
          <w:tcPr>
            <w:tcW w:w="1418" w:type="dxa"/>
            <w:vAlign w:val="center"/>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4509中6.3条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2835"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荧光性物质</w:t>
            </w:r>
          </w:p>
        </w:tc>
        <w:tc>
          <w:tcPr>
            <w:tcW w:w="1418" w:type="dxa"/>
            <w:vAlign w:val="center"/>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4509中6.4条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2835" w:type="dxa"/>
            <w:vAlign w:val="center"/>
          </w:tcPr>
          <w:p>
            <w:pPr>
              <w:snapToGrid w:val="0"/>
              <w:spacing w:line="300" w:lineRule="auto"/>
              <w:jc w:val="center"/>
              <w:rPr>
                <w:rFonts w:hint="default" w:ascii="Times New Roman" w:hAnsi="Times New Roman" w:cs="Times New Roman"/>
                <w:sz w:val="20"/>
                <w:szCs w:val="20"/>
              </w:rPr>
            </w:pPr>
            <w:r>
              <w:rPr>
                <w:rFonts w:hint="default" w:ascii="Times New Roman" w:hAnsi="Times New Roman" w:cs="Times New Roman"/>
                <w:sz w:val="20"/>
                <w:szCs w:val="20"/>
              </w:rPr>
              <w:t>灰分</w:t>
            </w:r>
          </w:p>
        </w:tc>
        <w:tc>
          <w:tcPr>
            <w:tcW w:w="1418" w:type="dxa"/>
            <w:vAlign w:val="center"/>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4509中6.5条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2835" w:type="dxa"/>
            <w:vAlign w:val="center"/>
          </w:tcPr>
          <w:p>
            <w:pPr>
              <w:snapToGrid w:val="0"/>
              <w:spacing w:line="300" w:lineRule="auto"/>
              <w:jc w:val="center"/>
              <w:rPr>
                <w:rFonts w:hint="default" w:ascii="Times New Roman" w:hAnsi="Times New Roman" w:cs="Times New Roman"/>
                <w:sz w:val="20"/>
                <w:szCs w:val="20"/>
              </w:rPr>
            </w:pPr>
            <w:r>
              <w:rPr>
                <w:rFonts w:hint="default" w:ascii="Times New Roman" w:hAnsi="Times New Roman" w:cs="Times New Roman"/>
                <w:sz w:val="20"/>
                <w:szCs w:val="20"/>
              </w:rPr>
              <w:t>横向吸液高度</w:t>
            </w:r>
          </w:p>
        </w:tc>
        <w:tc>
          <w:tcPr>
            <w:tcW w:w="1418" w:type="dxa"/>
            <w:vAlign w:val="center"/>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4509中6.6条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2835" w:type="dxa"/>
            <w:vAlign w:val="center"/>
          </w:tcPr>
          <w:p>
            <w:pPr>
              <w:snapToGrid w:val="0"/>
              <w:spacing w:line="300" w:lineRule="auto"/>
              <w:jc w:val="center"/>
              <w:rPr>
                <w:rFonts w:hint="default" w:ascii="Times New Roman" w:hAnsi="Times New Roman" w:cs="Times New Roman"/>
                <w:sz w:val="20"/>
                <w:szCs w:val="20"/>
              </w:rPr>
            </w:pPr>
            <w:r>
              <w:rPr>
                <w:rFonts w:hint="default" w:ascii="Times New Roman" w:hAnsi="Times New Roman" w:cs="Times New Roman"/>
                <w:sz w:val="20"/>
                <w:szCs w:val="20"/>
              </w:rPr>
              <w:t>抗张指数</w:t>
            </w:r>
          </w:p>
        </w:tc>
        <w:tc>
          <w:tcPr>
            <w:tcW w:w="1418" w:type="dxa"/>
            <w:vAlign w:val="center"/>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4509中6.7条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2835" w:type="dxa"/>
            <w:vAlign w:val="center"/>
          </w:tcPr>
          <w:p>
            <w:pPr>
              <w:snapToGrid w:val="0"/>
              <w:spacing w:line="300" w:lineRule="auto"/>
              <w:jc w:val="center"/>
              <w:rPr>
                <w:rFonts w:hint="default" w:ascii="Times New Roman" w:hAnsi="Times New Roman" w:cs="Times New Roman"/>
                <w:sz w:val="20"/>
                <w:szCs w:val="20"/>
              </w:rPr>
            </w:pPr>
            <w:r>
              <w:rPr>
                <w:rFonts w:hint="default" w:ascii="Times New Roman" w:hAnsi="Times New Roman" w:cs="Times New Roman"/>
                <w:sz w:val="20"/>
                <w:szCs w:val="20"/>
              </w:rPr>
              <w:t>纵向湿抗张强度</w:t>
            </w:r>
          </w:p>
        </w:tc>
        <w:tc>
          <w:tcPr>
            <w:tcW w:w="1418" w:type="dxa"/>
            <w:vAlign w:val="center"/>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4509中6.8条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0"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2835" w:type="dxa"/>
            <w:vAlign w:val="center"/>
          </w:tcPr>
          <w:p>
            <w:pPr>
              <w:snapToGrid w:val="0"/>
              <w:spacing w:line="300" w:lineRule="auto"/>
              <w:jc w:val="center"/>
              <w:rPr>
                <w:rFonts w:hint="default" w:ascii="Times New Roman" w:hAnsi="Times New Roman" w:cs="Times New Roman"/>
                <w:sz w:val="20"/>
                <w:szCs w:val="20"/>
              </w:rPr>
            </w:pPr>
            <w:r>
              <w:rPr>
                <w:rFonts w:hint="default" w:ascii="Times New Roman" w:hAnsi="Times New Roman" w:cs="Times New Roman"/>
                <w:sz w:val="20"/>
                <w:szCs w:val="20"/>
              </w:rPr>
              <w:t>柔软度</w:t>
            </w:r>
          </w:p>
        </w:tc>
        <w:tc>
          <w:tcPr>
            <w:tcW w:w="1418" w:type="dxa"/>
            <w:vAlign w:val="center"/>
          </w:tcPr>
          <w:p>
            <w:pPr>
              <w:adjustRightInd w:val="0"/>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QB/T 4509中6.9条</w:t>
            </w:r>
          </w:p>
        </w:tc>
        <w:tc>
          <w:tcPr>
            <w:tcW w:w="912" w:type="dxa"/>
            <w:vAlign w:val="center"/>
          </w:tcPr>
          <w:p>
            <w:pPr>
              <w:snapToGrid w:val="0"/>
              <w:jc w:val="center"/>
              <w:rPr>
                <w:rFonts w:hint="default" w:ascii="Times New Roman" w:hAnsi="Times New Roman" w:cs="Times New Roman"/>
                <w:sz w:val="20"/>
                <w:szCs w:val="20"/>
              </w:rPr>
            </w:pPr>
          </w:p>
        </w:tc>
        <w:tc>
          <w:tcPr>
            <w:tcW w:w="1039"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900" w:type="dxa"/>
            <w:vAlign w:val="center"/>
          </w:tcPr>
          <w:p>
            <w:pPr>
              <w:snapToGrid w:val="0"/>
              <w:jc w:val="center"/>
              <w:rPr>
                <w:rFonts w:hint="default" w:ascii="Times New Roman" w:hAnsi="Times New Roman" w:cs="Times New Roman"/>
                <w:sz w:val="20"/>
                <w:szCs w:val="20"/>
              </w:rPr>
            </w:pPr>
          </w:p>
        </w:tc>
        <w:tc>
          <w:tcPr>
            <w:tcW w:w="1038" w:type="dxa"/>
            <w:vAlign w:val="center"/>
          </w:tcPr>
          <w:p>
            <w:pPr>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w:t>
            </w:r>
          </w:p>
        </w:tc>
        <w:tc>
          <w:tcPr>
            <w:tcW w:w="848" w:type="dxa"/>
            <w:vAlign w:val="top"/>
          </w:tcPr>
          <w:p>
            <w:pPr>
              <w:snapToGrid w:val="0"/>
              <w:jc w:val="center"/>
              <w:rPr>
                <w:rFonts w:hint="default" w:ascii="Times New Roman" w:hAnsi="Times New Roman" w:cs="Times New Roman"/>
                <w:sz w:val="20"/>
                <w:szCs w:val="20"/>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当产品存在重要项不合格时属于严重不合格。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六</w:t>
      </w:r>
      <w:r>
        <w:rPr>
          <w:rFonts w:hint="default" w:ascii="Times New Roman" w:hAnsi="Times New Roman" w:eastAsia="黑体" w:cs="Times New Roman"/>
          <w:szCs w:val="32"/>
        </w:rPr>
        <w:t>、判定原则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依据所检相关质量特性的重要程度及检测结论，对样本单元进行综合判定。对于不合格的样本单元，判定结果分为A类不合格、B类不合格、C类不合格和D类不合格四类。样本单元不合格的分类见下表。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在样本单元上，存在重要计数型质量特性不合格或重要计量型质量特性严重不合格，判定样本单元为A类不合格；存在较重要计数型质量特性不合格或重要计量型质量特性较严重不合格或较重要计量型质量特性严重不合格，判定样本单位为B类不合格；存在次要计数型质量特性不合格，或重要计量型质量特性轻微不合格、较重要计量型质量特性严重不合格，或次要计量型质量特性严重或较严重不合格，判定样本单元为C类不合格；存在较重要计量型质量特性轻微不合格，或次要计量型质量特性轻微不合格，判定样本单元为D类不合格。</w:t>
      </w:r>
    </w:p>
    <w:tbl>
      <w:tblPr>
        <w:tblStyle w:val="3"/>
        <w:tblW w:w="9765" w:type="dxa"/>
        <w:tblInd w:w="-210" w:type="dxa"/>
        <w:tblLayout w:type="fixed"/>
        <w:tblCellMar>
          <w:top w:w="0" w:type="dxa"/>
          <w:left w:w="108" w:type="dxa"/>
          <w:bottom w:w="0" w:type="dxa"/>
          <w:right w:w="108" w:type="dxa"/>
        </w:tblCellMar>
      </w:tblPr>
      <w:tblGrid>
        <w:gridCol w:w="4545"/>
        <w:gridCol w:w="2925"/>
        <w:gridCol w:w="2295"/>
      </w:tblGrid>
      <w:tr>
        <w:tblPrEx>
          <w:tblLayout w:type="fixed"/>
          <w:tblCellMar>
            <w:top w:w="0" w:type="dxa"/>
            <w:left w:w="108" w:type="dxa"/>
            <w:bottom w:w="0" w:type="dxa"/>
            <w:right w:w="108" w:type="dxa"/>
          </w:tblCellMar>
        </w:tblPrEx>
        <w:trPr>
          <w:trHeight w:val="450" w:hRule="atLeast"/>
        </w:trPr>
        <w:tc>
          <w:tcPr>
            <w:tcW w:w="4545" w:type="dxa"/>
            <w:tcBorders>
              <w:top w:val="single" w:color="auto" w:sz="8"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计量型质量特性</w:t>
            </w:r>
          </w:p>
        </w:tc>
        <w:tc>
          <w:tcPr>
            <w:tcW w:w="2925" w:type="dxa"/>
            <w:tcBorders>
              <w:top w:val="single" w:color="auto" w:sz="8"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计数型质量特性</w:t>
            </w:r>
          </w:p>
        </w:tc>
        <w:tc>
          <w:tcPr>
            <w:tcW w:w="2295" w:type="dxa"/>
            <w:tcBorders>
              <w:top w:val="single" w:color="auto" w:sz="8" w:space="0"/>
              <w:left w:val="nil"/>
              <w:bottom w:val="single" w:color="auto" w:sz="4" w:space="0"/>
              <w:right w:val="single" w:color="auto" w:sz="8" w:space="0"/>
            </w:tcBorders>
            <w:vAlign w:val="center"/>
          </w:tcPr>
          <w:p>
            <w:pPr>
              <w:widowControl/>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不合格类型</w:t>
            </w:r>
          </w:p>
        </w:tc>
      </w:tr>
      <w:tr>
        <w:tblPrEx>
          <w:tblLayout w:type="fixed"/>
          <w:tblCellMar>
            <w:top w:w="0" w:type="dxa"/>
            <w:left w:w="108" w:type="dxa"/>
            <w:bottom w:w="0" w:type="dxa"/>
            <w:right w:w="108" w:type="dxa"/>
          </w:tblCellMar>
        </w:tblPrEx>
        <w:trPr>
          <w:trHeight w:val="360" w:hRule="atLeast"/>
        </w:trPr>
        <w:tc>
          <w:tcPr>
            <w:tcW w:w="4545"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重要质量特性严重不合格</w:t>
            </w:r>
          </w:p>
        </w:tc>
        <w:tc>
          <w:tcPr>
            <w:tcW w:w="29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重要特性不合格</w:t>
            </w:r>
          </w:p>
        </w:tc>
        <w:tc>
          <w:tcPr>
            <w:tcW w:w="2295"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A类不合格</w:t>
            </w:r>
          </w:p>
        </w:tc>
      </w:tr>
      <w:tr>
        <w:tblPrEx>
          <w:tblLayout w:type="fixed"/>
          <w:tblCellMar>
            <w:top w:w="0" w:type="dxa"/>
            <w:left w:w="108" w:type="dxa"/>
            <w:bottom w:w="0" w:type="dxa"/>
            <w:right w:w="108" w:type="dxa"/>
          </w:tblCellMar>
        </w:tblPrEx>
        <w:trPr>
          <w:trHeight w:val="360" w:hRule="atLeast"/>
        </w:trPr>
        <w:tc>
          <w:tcPr>
            <w:tcW w:w="4545"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重要质量特性较严重不合格</w:t>
            </w:r>
          </w:p>
        </w:tc>
        <w:tc>
          <w:tcPr>
            <w:tcW w:w="2925"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较重要特性不合格</w:t>
            </w:r>
          </w:p>
        </w:tc>
        <w:tc>
          <w:tcPr>
            <w:tcW w:w="2295" w:type="dxa"/>
            <w:vMerge w:val="restart"/>
            <w:tcBorders>
              <w:top w:val="nil"/>
              <w:left w:val="single" w:color="auto" w:sz="4" w:space="0"/>
              <w:bottom w:val="single" w:color="auto" w:sz="4" w:space="0"/>
              <w:right w:val="single" w:color="auto" w:sz="8" w:space="0"/>
            </w:tcBorders>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B类不合格</w:t>
            </w:r>
          </w:p>
        </w:tc>
      </w:tr>
      <w:tr>
        <w:tblPrEx>
          <w:tblLayout w:type="fixed"/>
          <w:tblCellMar>
            <w:top w:w="0" w:type="dxa"/>
            <w:left w:w="108" w:type="dxa"/>
            <w:bottom w:w="0" w:type="dxa"/>
            <w:right w:w="108" w:type="dxa"/>
          </w:tblCellMar>
        </w:tblPrEx>
        <w:trPr>
          <w:trHeight w:val="360" w:hRule="atLeast"/>
        </w:trPr>
        <w:tc>
          <w:tcPr>
            <w:tcW w:w="4545"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较重要质量特性严重不合格</w:t>
            </w:r>
          </w:p>
        </w:tc>
        <w:tc>
          <w:tcPr>
            <w:tcW w:w="292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p>
        </w:tc>
        <w:tc>
          <w:tcPr>
            <w:tcW w:w="2295" w:type="dxa"/>
            <w:vMerge w:val="continue"/>
            <w:tcBorders>
              <w:top w:val="nil"/>
              <w:left w:val="single" w:color="auto" w:sz="4" w:space="0"/>
              <w:bottom w:val="single" w:color="auto" w:sz="4" w:space="0"/>
              <w:right w:val="single" w:color="auto" w:sz="8" w:space="0"/>
            </w:tcBorders>
            <w:vAlign w:val="center"/>
          </w:tcPr>
          <w:p>
            <w:pPr>
              <w:widowControl/>
              <w:jc w:val="left"/>
              <w:rPr>
                <w:rFonts w:hint="default" w:ascii="Times New Roman" w:hAnsi="Times New Roman" w:eastAsia="仿宋_GB2312" w:cs="Times New Roman"/>
                <w:kern w:val="0"/>
                <w:sz w:val="32"/>
                <w:szCs w:val="32"/>
              </w:rPr>
            </w:pPr>
          </w:p>
        </w:tc>
      </w:tr>
      <w:tr>
        <w:tblPrEx>
          <w:tblLayout w:type="fixed"/>
          <w:tblCellMar>
            <w:top w:w="0" w:type="dxa"/>
            <w:left w:w="108" w:type="dxa"/>
            <w:bottom w:w="0" w:type="dxa"/>
            <w:right w:w="108" w:type="dxa"/>
          </w:tblCellMar>
        </w:tblPrEx>
        <w:trPr>
          <w:trHeight w:val="360" w:hRule="atLeast"/>
        </w:trPr>
        <w:tc>
          <w:tcPr>
            <w:tcW w:w="4545"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重要质量特性轻微不合格</w:t>
            </w:r>
          </w:p>
        </w:tc>
        <w:tc>
          <w:tcPr>
            <w:tcW w:w="2925"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次要特性不合格</w:t>
            </w:r>
          </w:p>
        </w:tc>
        <w:tc>
          <w:tcPr>
            <w:tcW w:w="2295" w:type="dxa"/>
            <w:vMerge w:val="restart"/>
            <w:tcBorders>
              <w:top w:val="nil"/>
              <w:left w:val="single" w:color="auto" w:sz="4" w:space="0"/>
              <w:bottom w:val="single" w:color="auto" w:sz="4" w:space="0"/>
              <w:right w:val="single" w:color="auto" w:sz="8" w:space="0"/>
            </w:tcBorders>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C类不合格</w:t>
            </w:r>
          </w:p>
        </w:tc>
      </w:tr>
      <w:tr>
        <w:tblPrEx>
          <w:tblLayout w:type="fixed"/>
          <w:tblCellMar>
            <w:top w:w="0" w:type="dxa"/>
            <w:left w:w="108" w:type="dxa"/>
            <w:bottom w:w="0" w:type="dxa"/>
            <w:right w:w="108" w:type="dxa"/>
          </w:tblCellMar>
        </w:tblPrEx>
        <w:trPr>
          <w:trHeight w:val="360" w:hRule="atLeast"/>
        </w:trPr>
        <w:tc>
          <w:tcPr>
            <w:tcW w:w="4545"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较要重质量特性较严重不合格</w:t>
            </w:r>
          </w:p>
        </w:tc>
        <w:tc>
          <w:tcPr>
            <w:tcW w:w="292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p>
        </w:tc>
        <w:tc>
          <w:tcPr>
            <w:tcW w:w="2295" w:type="dxa"/>
            <w:vMerge w:val="continue"/>
            <w:tcBorders>
              <w:top w:val="nil"/>
              <w:left w:val="single" w:color="auto" w:sz="4" w:space="0"/>
              <w:bottom w:val="single" w:color="auto" w:sz="4" w:space="0"/>
              <w:right w:val="single" w:color="auto" w:sz="8" w:space="0"/>
            </w:tcBorders>
            <w:vAlign w:val="center"/>
          </w:tcPr>
          <w:p>
            <w:pPr>
              <w:widowControl/>
              <w:jc w:val="left"/>
              <w:rPr>
                <w:rFonts w:hint="default" w:ascii="Times New Roman" w:hAnsi="Times New Roman" w:eastAsia="仿宋_GB2312" w:cs="Times New Roman"/>
                <w:kern w:val="0"/>
                <w:sz w:val="32"/>
                <w:szCs w:val="32"/>
              </w:rPr>
            </w:pPr>
          </w:p>
        </w:tc>
      </w:tr>
      <w:tr>
        <w:tblPrEx>
          <w:tblLayout w:type="fixed"/>
          <w:tblCellMar>
            <w:top w:w="0" w:type="dxa"/>
            <w:left w:w="108" w:type="dxa"/>
            <w:bottom w:w="0" w:type="dxa"/>
            <w:right w:w="108" w:type="dxa"/>
          </w:tblCellMar>
        </w:tblPrEx>
        <w:trPr>
          <w:trHeight w:val="360" w:hRule="atLeast"/>
        </w:trPr>
        <w:tc>
          <w:tcPr>
            <w:tcW w:w="4545"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次要质量特性严重或较严重不合格</w:t>
            </w:r>
          </w:p>
        </w:tc>
        <w:tc>
          <w:tcPr>
            <w:tcW w:w="292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p>
        </w:tc>
        <w:tc>
          <w:tcPr>
            <w:tcW w:w="2295" w:type="dxa"/>
            <w:vMerge w:val="continue"/>
            <w:tcBorders>
              <w:top w:val="nil"/>
              <w:left w:val="single" w:color="auto" w:sz="4" w:space="0"/>
              <w:bottom w:val="single" w:color="auto" w:sz="4" w:space="0"/>
              <w:right w:val="single" w:color="auto" w:sz="8" w:space="0"/>
            </w:tcBorders>
            <w:vAlign w:val="center"/>
          </w:tcPr>
          <w:p>
            <w:pPr>
              <w:widowControl/>
              <w:jc w:val="left"/>
              <w:rPr>
                <w:rFonts w:hint="default" w:ascii="Times New Roman" w:hAnsi="Times New Roman" w:eastAsia="仿宋_GB2312" w:cs="Times New Roman"/>
                <w:kern w:val="0"/>
                <w:sz w:val="32"/>
                <w:szCs w:val="32"/>
              </w:rPr>
            </w:pPr>
          </w:p>
        </w:tc>
      </w:tr>
      <w:tr>
        <w:tblPrEx>
          <w:tblLayout w:type="fixed"/>
          <w:tblCellMar>
            <w:top w:w="0" w:type="dxa"/>
            <w:left w:w="108" w:type="dxa"/>
            <w:bottom w:w="0" w:type="dxa"/>
            <w:right w:w="108" w:type="dxa"/>
          </w:tblCellMar>
        </w:tblPrEx>
        <w:trPr>
          <w:trHeight w:val="360" w:hRule="atLeast"/>
        </w:trPr>
        <w:tc>
          <w:tcPr>
            <w:tcW w:w="4545"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较重质量特性轻微不合格</w:t>
            </w:r>
          </w:p>
        </w:tc>
        <w:tc>
          <w:tcPr>
            <w:tcW w:w="2925" w:type="dxa"/>
            <w:vMerge w:val="restart"/>
            <w:tcBorders>
              <w:top w:val="nil"/>
              <w:left w:val="single" w:color="auto" w:sz="4" w:space="0"/>
              <w:bottom w:val="single" w:color="000000" w:sz="8" w:space="0"/>
              <w:right w:val="single" w:color="auto" w:sz="4" w:space="0"/>
            </w:tcBorders>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tc>
        <w:tc>
          <w:tcPr>
            <w:tcW w:w="2295" w:type="dxa"/>
            <w:vMerge w:val="restart"/>
            <w:tcBorders>
              <w:top w:val="nil"/>
              <w:left w:val="single" w:color="auto" w:sz="4"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D类不合格</w:t>
            </w:r>
          </w:p>
        </w:tc>
      </w:tr>
      <w:tr>
        <w:tblPrEx>
          <w:tblLayout w:type="fixed"/>
          <w:tblCellMar>
            <w:top w:w="0" w:type="dxa"/>
            <w:left w:w="108" w:type="dxa"/>
            <w:bottom w:w="0" w:type="dxa"/>
            <w:right w:w="108" w:type="dxa"/>
          </w:tblCellMar>
        </w:tblPrEx>
        <w:trPr>
          <w:trHeight w:val="360" w:hRule="atLeast"/>
        </w:trPr>
        <w:tc>
          <w:tcPr>
            <w:tcW w:w="4545" w:type="dxa"/>
            <w:tcBorders>
              <w:top w:val="nil"/>
              <w:left w:val="single" w:color="auto" w:sz="8" w:space="0"/>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次要质量特性轻微不合格</w:t>
            </w:r>
          </w:p>
        </w:tc>
        <w:tc>
          <w:tcPr>
            <w:tcW w:w="2925" w:type="dxa"/>
            <w:vMerge w:val="continue"/>
            <w:tcBorders>
              <w:top w:val="nil"/>
              <w:left w:val="single" w:color="auto" w:sz="4" w:space="0"/>
              <w:bottom w:val="single" w:color="000000" w:sz="8" w:space="0"/>
              <w:right w:val="single" w:color="auto" w:sz="4" w:space="0"/>
            </w:tcBorders>
            <w:vAlign w:val="center"/>
          </w:tcPr>
          <w:p>
            <w:pPr>
              <w:widowControl/>
              <w:jc w:val="left"/>
              <w:rPr>
                <w:rFonts w:hint="default" w:ascii="Times New Roman" w:hAnsi="Times New Roman" w:eastAsia="仿宋_GB2312" w:cs="Times New Roman"/>
                <w:kern w:val="0"/>
                <w:sz w:val="32"/>
                <w:szCs w:val="32"/>
              </w:rPr>
            </w:pPr>
          </w:p>
        </w:tc>
        <w:tc>
          <w:tcPr>
            <w:tcW w:w="2295" w:type="dxa"/>
            <w:vMerge w:val="continue"/>
            <w:tcBorders>
              <w:top w:val="nil"/>
              <w:left w:val="single" w:color="auto" w:sz="4" w:space="0"/>
              <w:bottom w:val="single" w:color="000000" w:sz="8" w:space="0"/>
              <w:right w:val="single" w:color="auto" w:sz="8" w:space="0"/>
            </w:tcBorders>
            <w:vAlign w:val="center"/>
          </w:tcPr>
          <w:p>
            <w:pPr>
              <w:widowControl/>
              <w:jc w:val="left"/>
              <w:rPr>
                <w:rFonts w:hint="default" w:ascii="Times New Roman" w:hAnsi="Times New Roman" w:eastAsia="仿宋_GB2312" w:cs="Times New Roman"/>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对样品单元所检项目均合格的，对被检产品的总体不作综合判定结论。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未经对样品单元的判定结论进行复检并作出复检结论的，以上判定结论为最终抽检结论；经对样品单元的判定结论进行复检并重新作出复检结论的，依据复检结论重新对被检产品的总体作出判定。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szCs w:val="32"/>
        </w:rPr>
      </w:pPr>
      <w:r>
        <w:rPr>
          <w:rFonts w:hint="eastAsia" w:eastAsia="黑体" w:cs="Times New Roman"/>
          <w:szCs w:val="32"/>
          <w:lang w:eastAsia="zh-CN"/>
        </w:rPr>
        <w:t>七</w:t>
      </w:r>
      <w:r>
        <w:rPr>
          <w:rFonts w:hint="default" w:ascii="Times New Roman" w:hAnsi="Times New Roman" w:eastAsia="黑体" w:cs="Times New Roman"/>
          <w:szCs w:val="32"/>
        </w:rPr>
        <w:t>、复检工作安排</w:t>
      </w:r>
    </w:p>
    <w:bookmarkEnd w:id="1"/>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被抽样的销售者或者样品标称的生产者申请复检的，应向广东省市场监督管理局提出复检申请，由广东省市场监督管理局根据复检受理原则处理。复检工作安排按照《广东省工商行政管理局关于广东省流通领域商品质量抽查检验的工作规范》（粤工商消字〔2016〕111号）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05DB5"/>
    <w:rsid w:val="0C005DB5"/>
    <w:rsid w:val="362025F2"/>
    <w:rsid w:val="3DAA1B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2019-10-08T06:17:00Z</dcterms:created>
  <dc:creator>曾永</dc:creator>
  <cp:lastModifiedBy>曾永</cp:lastModifiedBy>
  <dcterms:modified xsi:type="dcterms:W3CDTF">2019-10-08T06:28:38Z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