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E1" w:rsidRDefault="00DB07D6" w:rsidP="002946CD">
      <w:pPr>
        <w:ind w:firstLineChars="200" w:firstLine="2513"/>
        <w:jc w:val="right"/>
        <w:rPr>
          <w:lang w:eastAsia="zh-CN"/>
        </w:rPr>
      </w:pPr>
      <w:r>
        <w:rPr>
          <w:rFonts w:ascii="Times New Roman" w:hAnsi="Times New Roman" w:hint="eastAsia"/>
          <w:b/>
          <w:bCs/>
          <w:color w:val="000000"/>
          <w:w w:val="130"/>
          <w:sz w:val="96"/>
          <w:szCs w:val="96"/>
          <w:lang w:eastAsia="zh-CN"/>
        </w:rPr>
        <w:t>DB</w:t>
      </w:r>
    </w:p>
    <w:p w:rsidR="003C17E1" w:rsidRDefault="002571C8">
      <w:pPr>
        <w:jc w:val="center"/>
        <w:rPr>
          <w:rFonts w:asciiTheme="majorEastAsia" w:eastAsiaTheme="majorEastAsia" w:hAnsi="Arial" w:cs="Arial"/>
          <w:sz w:val="72"/>
          <w:szCs w:val="72"/>
          <w:lang w:eastAsia="zh-CN"/>
        </w:rPr>
      </w:pPr>
      <w:r w:rsidRPr="002571C8">
        <w:rPr>
          <w:rFonts w:asciiTheme="majorEastAsia" w:eastAsiaTheme="majorEastAsia" w:hAnsi="Arial" w:cs="Arial"/>
          <w:sz w:val="36"/>
          <w:szCs w:val="36"/>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9.5pt;height:23.25pt" fillcolor="black">
            <v:textpath style="font-family:&quot;宋体&quot;" trim="t" fitpath="t" string="山   西   省   地   方   标   准"/>
          </v:shape>
        </w:pict>
      </w:r>
      <w:r w:rsidR="00DB07D6">
        <w:rPr>
          <w:rFonts w:asciiTheme="majorEastAsia" w:eastAsiaTheme="majorEastAsia" w:hAnsi="Arial" w:cs="Arial"/>
          <w:sz w:val="72"/>
          <w:szCs w:val="72"/>
          <w:lang w:eastAsia="zh-CN"/>
        </w:rPr>
        <w:t xml:space="preserve"> </w:t>
      </w:r>
    </w:p>
    <w:p w:rsidR="003C17E1" w:rsidRDefault="00DB07D6">
      <w:pPr>
        <w:wordWrap w:val="0"/>
        <w:jc w:val="right"/>
        <w:rPr>
          <w:lang w:eastAsia="zh-CN"/>
        </w:rPr>
      </w:pPr>
      <w:r>
        <w:rPr>
          <w:rFonts w:hint="eastAsia"/>
          <w:lang w:eastAsia="zh-CN"/>
        </w:rPr>
        <w:t>DB/T XXXXXX</w:t>
      </w:r>
      <w:r>
        <w:rPr>
          <w:rFonts w:hint="eastAsia"/>
          <w:sz w:val="28"/>
          <w:szCs w:val="28"/>
          <w:lang w:eastAsia="zh-CN"/>
        </w:rPr>
        <w:t>—</w:t>
      </w:r>
      <w:r>
        <w:rPr>
          <w:rFonts w:hint="eastAsia"/>
          <w:lang w:eastAsia="zh-CN"/>
        </w:rPr>
        <w:t>XXXX</w:t>
      </w:r>
    </w:p>
    <w:p w:rsidR="003C17E1" w:rsidRDefault="002571C8">
      <w:pPr>
        <w:jc w:val="right"/>
        <w:rPr>
          <w:rFonts w:ascii="宋体" w:eastAsia="宋体" w:hAnsi="宋体"/>
          <w:sz w:val="44"/>
          <w:szCs w:val="44"/>
          <w:lang w:eastAsia="zh-CN"/>
        </w:rPr>
      </w:pPr>
      <w:r>
        <w:rPr>
          <w:rFonts w:ascii="宋体" w:eastAsia="宋体" w:hAnsi="宋体"/>
          <w:sz w:val="44"/>
          <w:szCs w:val="44"/>
          <w:lang w:eastAsia="zh-CN" w:bidi="ar-SA"/>
        </w:rPr>
        <w:pict>
          <v:shapetype id="_x0000_t32" coordsize="21600,21600" o:spt="32" o:oned="t" path="m,l21600,21600e" filled="f">
            <v:path arrowok="t" fillok="f" o:connecttype="none"/>
            <o:lock v:ext="edit" shapetype="t"/>
          </v:shapetype>
          <v:shape id="_x0000_s1026" type="#_x0000_t32" style="position:absolute;left:0;text-align:left;margin-left:-16.5pt;margin-top:3.25pt;width:444pt;height:0;z-index:251658240" o:connectortype="straight"/>
        </w:pict>
      </w:r>
    </w:p>
    <w:p w:rsidR="003C17E1" w:rsidRDefault="003C17E1">
      <w:pPr>
        <w:rPr>
          <w:rFonts w:ascii="宋体" w:eastAsia="宋体" w:hAnsi="宋体"/>
          <w:sz w:val="44"/>
          <w:szCs w:val="44"/>
          <w:lang w:eastAsia="zh-CN"/>
        </w:rPr>
      </w:pPr>
    </w:p>
    <w:p w:rsidR="003C17E1" w:rsidRDefault="003C17E1">
      <w:pPr>
        <w:rPr>
          <w:rFonts w:ascii="宋体" w:eastAsia="宋体" w:hAnsi="宋体"/>
          <w:sz w:val="44"/>
          <w:szCs w:val="44"/>
          <w:lang w:eastAsia="zh-CN"/>
        </w:rPr>
      </w:pPr>
    </w:p>
    <w:p w:rsidR="003C17E1" w:rsidRDefault="00DB07D6">
      <w:pPr>
        <w:jc w:val="center"/>
        <w:rPr>
          <w:rFonts w:ascii="黑体" w:eastAsia="黑体" w:hAnsi="黑体"/>
          <w:b/>
          <w:sz w:val="44"/>
          <w:szCs w:val="44"/>
          <w:lang w:eastAsia="zh-CN"/>
        </w:rPr>
      </w:pPr>
      <w:r>
        <w:rPr>
          <w:rFonts w:ascii="黑体" w:eastAsia="黑体" w:hAnsi="黑体" w:hint="eastAsia"/>
          <w:b/>
          <w:sz w:val="44"/>
          <w:szCs w:val="44"/>
          <w:lang w:eastAsia="zh-CN"/>
        </w:rPr>
        <w:t>药品委托储存配送服务机构基本要求</w:t>
      </w:r>
    </w:p>
    <w:p w:rsidR="003C17E1" w:rsidRDefault="003C17E1">
      <w:pPr>
        <w:jc w:val="center"/>
        <w:rPr>
          <w:rFonts w:ascii="宋体" w:eastAsia="宋体" w:hAnsi="宋体"/>
          <w:sz w:val="44"/>
          <w:szCs w:val="44"/>
          <w:lang w:eastAsia="zh-CN"/>
        </w:rPr>
      </w:pPr>
    </w:p>
    <w:p w:rsidR="003C17E1" w:rsidRDefault="003C17E1">
      <w:pPr>
        <w:jc w:val="center"/>
        <w:rPr>
          <w:rFonts w:ascii="宋体" w:eastAsia="宋体" w:hAnsi="宋体"/>
          <w:sz w:val="44"/>
          <w:szCs w:val="44"/>
          <w:lang w:eastAsia="zh-CN"/>
        </w:rPr>
      </w:pPr>
    </w:p>
    <w:p w:rsidR="003C17E1" w:rsidRDefault="003C17E1">
      <w:pPr>
        <w:jc w:val="center"/>
        <w:rPr>
          <w:rFonts w:ascii="宋体" w:eastAsia="宋体" w:hAnsi="宋体"/>
          <w:sz w:val="44"/>
          <w:szCs w:val="44"/>
          <w:lang w:eastAsia="zh-CN"/>
        </w:rPr>
      </w:pPr>
    </w:p>
    <w:p w:rsidR="003C17E1" w:rsidRDefault="003C17E1">
      <w:pPr>
        <w:jc w:val="center"/>
        <w:rPr>
          <w:rFonts w:ascii="宋体" w:eastAsia="宋体" w:hAnsi="宋体"/>
          <w:sz w:val="44"/>
          <w:szCs w:val="44"/>
          <w:lang w:eastAsia="zh-CN"/>
        </w:rPr>
      </w:pPr>
    </w:p>
    <w:p w:rsidR="003C17E1" w:rsidRDefault="003C17E1">
      <w:pPr>
        <w:rPr>
          <w:rFonts w:ascii="宋体" w:eastAsia="宋体" w:hAnsi="宋体"/>
          <w:sz w:val="44"/>
          <w:szCs w:val="44"/>
          <w:lang w:eastAsia="zh-CN"/>
        </w:rPr>
      </w:pPr>
    </w:p>
    <w:p w:rsidR="003C17E1" w:rsidRDefault="003C17E1">
      <w:pPr>
        <w:jc w:val="center"/>
        <w:rPr>
          <w:rFonts w:ascii="宋体" w:eastAsia="宋体" w:hAnsi="宋体"/>
          <w:sz w:val="44"/>
          <w:szCs w:val="44"/>
          <w:lang w:eastAsia="zh-CN"/>
        </w:rPr>
      </w:pPr>
    </w:p>
    <w:p w:rsidR="003C17E1" w:rsidRDefault="003C17E1">
      <w:pPr>
        <w:jc w:val="center"/>
        <w:rPr>
          <w:rFonts w:ascii="宋体" w:eastAsia="宋体" w:hAnsi="宋体"/>
          <w:sz w:val="44"/>
          <w:szCs w:val="44"/>
          <w:lang w:eastAsia="zh-CN"/>
        </w:rPr>
      </w:pPr>
    </w:p>
    <w:p w:rsidR="003C17E1" w:rsidRDefault="002571C8">
      <w:pPr>
        <w:spacing w:line="600" w:lineRule="exact"/>
        <w:ind w:rightChars="-605" w:right="-1331"/>
        <w:rPr>
          <w:rFonts w:ascii="宋体" w:eastAsia="宋体" w:hAnsi="宋体"/>
          <w:sz w:val="28"/>
          <w:szCs w:val="28"/>
          <w:lang w:eastAsia="zh-CN"/>
        </w:rPr>
      </w:pPr>
      <w:r w:rsidRPr="002571C8">
        <w:rPr>
          <w:rFonts w:ascii="宋体" w:eastAsia="宋体" w:hAnsi="宋体"/>
          <w:sz w:val="44"/>
          <w:szCs w:val="44"/>
          <w:lang w:eastAsia="zh-CN" w:bidi="ar-SA"/>
        </w:rPr>
        <w:pict>
          <v:shape id="_x0000_s1027" type="#_x0000_t32" style="position:absolute;margin-left:-16.5pt;margin-top:30.1pt;width:457.5pt;height:0;z-index:251659264" o:connectortype="straight"/>
        </w:pict>
      </w:r>
      <w:r w:rsidR="00DB07D6">
        <w:rPr>
          <w:rFonts w:ascii="宋体" w:eastAsia="宋体" w:hAnsi="宋体" w:hint="eastAsia"/>
          <w:sz w:val="28"/>
          <w:szCs w:val="28"/>
          <w:lang w:eastAsia="zh-CN"/>
        </w:rPr>
        <w:t xml:space="preserve">XXXX-XX-XX发布                                XXXX-XX-XX实施          </w:t>
      </w:r>
    </w:p>
    <w:p w:rsidR="003C17E1" w:rsidRDefault="00DB07D6">
      <w:pPr>
        <w:spacing w:line="240" w:lineRule="auto"/>
        <w:jc w:val="center"/>
        <w:rPr>
          <w:rFonts w:ascii="黑体" w:eastAsia="黑体" w:hAnsi="黑体" w:cs="Gautami"/>
          <w:b/>
          <w:sz w:val="32"/>
          <w:szCs w:val="32"/>
          <w:lang w:eastAsia="zh-CN"/>
        </w:rPr>
      </w:pPr>
      <w:r>
        <w:rPr>
          <w:rFonts w:asciiTheme="majorEastAsia" w:eastAsiaTheme="majorEastAsia" w:cs="Gautami" w:hint="eastAsia"/>
          <w:b/>
          <w:sz w:val="44"/>
          <w:szCs w:val="44"/>
          <w:lang w:eastAsia="zh-CN"/>
        </w:rPr>
        <w:t xml:space="preserve">山西省市场监督管理局   </w:t>
      </w:r>
      <w:r>
        <w:rPr>
          <w:rFonts w:ascii="黑体" w:eastAsia="黑体" w:hAnsi="黑体" w:cs="Gautami" w:hint="eastAsia"/>
          <w:b/>
          <w:sz w:val="32"/>
          <w:szCs w:val="32"/>
          <w:lang w:eastAsia="zh-CN"/>
        </w:rPr>
        <w:t>发 布</w:t>
      </w:r>
    </w:p>
    <w:bookmarkStart w:id="0" w:name="_Toc13422_WPSOffice_Type2" w:displacedByCustomXml="next"/>
    <w:sdt>
      <w:sdtPr>
        <w:rPr>
          <w:rFonts w:ascii="宋体" w:eastAsia="宋体" w:hAnsi="宋体"/>
          <w:sz w:val="21"/>
          <w:szCs w:val="20"/>
          <w:lang w:eastAsia="zh-CN" w:bidi="ar-SA"/>
        </w:rPr>
        <w:id w:val="147460683"/>
        <w:docPartObj>
          <w:docPartGallery w:val="Table of Contents"/>
          <w:docPartUnique/>
        </w:docPartObj>
      </w:sdtPr>
      <w:sdtEndPr>
        <w:rPr>
          <w:rFonts w:asciiTheme="minorHAnsi" w:eastAsiaTheme="minorEastAsia" w:hAnsiTheme="minorHAnsi"/>
          <w:b/>
          <w:bCs/>
        </w:rPr>
      </w:sdtEndPr>
      <w:sdtContent>
        <w:p w:rsidR="003C17E1" w:rsidRDefault="00DB07D6">
          <w:pPr>
            <w:spacing w:line="240" w:lineRule="auto"/>
            <w:jc w:val="center"/>
            <w:rPr>
              <w:rFonts w:ascii="宋体" w:eastAsia="宋体" w:hAnsi="宋体"/>
              <w:sz w:val="21"/>
              <w:lang w:eastAsia="zh-CN"/>
            </w:rPr>
          </w:pPr>
          <w:r w:rsidRPr="002946CD">
            <w:rPr>
              <w:rFonts w:ascii="宋体" w:eastAsia="宋体" w:hAnsi="宋体"/>
              <w:sz w:val="24"/>
              <w:szCs w:val="24"/>
            </w:rPr>
            <w:t>目</w:t>
          </w:r>
          <w:r w:rsidRPr="002946CD">
            <w:rPr>
              <w:rFonts w:ascii="宋体" w:eastAsia="宋体" w:hAnsi="宋体" w:hint="eastAsia"/>
              <w:sz w:val="24"/>
              <w:szCs w:val="24"/>
              <w:lang w:eastAsia="zh-CN"/>
            </w:rPr>
            <w:t xml:space="preserve"> 次</w:t>
          </w:r>
        </w:p>
        <w:p w:rsidR="003C17E1" w:rsidRDefault="003C17E1">
          <w:pPr>
            <w:spacing w:line="240" w:lineRule="auto"/>
            <w:jc w:val="center"/>
            <w:rPr>
              <w:rFonts w:ascii="宋体" w:eastAsia="宋体" w:hAnsi="宋体"/>
              <w:sz w:val="21"/>
            </w:rPr>
          </w:pPr>
        </w:p>
        <w:p w:rsidR="003C17E1" w:rsidRPr="002946CD" w:rsidRDefault="002571C8">
          <w:pPr>
            <w:pStyle w:val="WPSOffice1"/>
            <w:tabs>
              <w:tab w:val="right" w:leader="dot" w:pos="8306"/>
            </w:tabs>
            <w:spacing w:line="360" w:lineRule="auto"/>
            <w:rPr>
              <w:rFonts w:ascii="宋体" w:eastAsia="宋体" w:hAnsi="宋体" w:cs="宋体"/>
              <w:sz w:val="21"/>
              <w:szCs w:val="21"/>
            </w:rPr>
          </w:pPr>
          <w:hyperlink w:anchor="_Toc19857_WPSOffice_Level1" w:history="1">
            <w:r w:rsidR="00DB07D6" w:rsidRPr="002946CD">
              <w:rPr>
                <w:rFonts w:ascii="宋体" w:eastAsia="宋体" w:hAnsi="宋体" w:cs="宋体" w:hint="eastAsia"/>
                <w:sz w:val="21"/>
                <w:szCs w:val="21"/>
              </w:rPr>
              <w:t>前  言</w:t>
            </w:r>
            <w:r w:rsidR="00DB07D6" w:rsidRPr="002946CD">
              <w:rPr>
                <w:rFonts w:ascii="宋体" w:eastAsia="宋体" w:hAnsi="宋体" w:cs="宋体" w:hint="eastAsia"/>
                <w:sz w:val="21"/>
                <w:szCs w:val="21"/>
              </w:rPr>
              <w:tab/>
            </w:r>
            <w:r w:rsidR="002946CD" w:rsidRPr="002946CD">
              <w:rPr>
                <w:rFonts w:ascii="宋体" w:eastAsia="宋体" w:hAnsi="宋体" w:cs="宋体" w:hint="eastAsia"/>
                <w:sz w:val="21"/>
                <w:szCs w:val="21"/>
              </w:rPr>
              <w:t>Ⅲ</w:t>
            </w:r>
          </w:hyperlink>
          <w:bookmarkStart w:id="1" w:name="_GoBack"/>
          <w:bookmarkEnd w:id="1"/>
        </w:p>
        <w:p w:rsidR="003C17E1" w:rsidRPr="002946CD" w:rsidRDefault="002571C8">
          <w:pPr>
            <w:pStyle w:val="WPSOffice1"/>
            <w:tabs>
              <w:tab w:val="right" w:leader="dot" w:pos="8306"/>
            </w:tabs>
            <w:spacing w:line="360" w:lineRule="auto"/>
            <w:rPr>
              <w:rFonts w:ascii="宋体" w:eastAsia="宋体" w:hAnsi="宋体" w:cs="宋体"/>
              <w:sz w:val="21"/>
              <w:szCs w:val="21"/>
            </w:rPr>
          </w:pPr>
          <w:hyperlink w:anchor="_Toc17075_WPSOffice_Level1" w:history="1">
            <w:r w:rsidR="00DB07D6" w:rsidRPr="002946CD">
              <w:rPr>
                <w:rFonts w:ascii="宋体" w:eastAsia="宋体" w:hAnsi="宋体" w:cs="宋体" w:hint="eastAsia"/>
                <w:sz w:val="21"/>
                <w:szCs w:val="21"/>
              </w:rPr>
              <w:t>1. 范围</w:t>
            </w:r>
            <w:r w:rsidR="00DB07D6" w:rsidRPr="002946CD">
              <w:rPr>
                <w:rFonts w:ascii="宋体" w:eastAsia="宋体" w:hAnsi="宋体" w:cs="宋体" w:hint="eastAsia"/>
                <w:sz w:val="21"/>
                <w:szCs w:val="21"/>
              </w:rPr>
              <w:tab/>
            </w:r>
            <w:bookmarkStart w:id="2" w:name="_Toc17075_WPSOffice_Level1Page"/>
            <w:r w:rsidR="00DB07D6" w:rsidRPr="002946CD">
              <w:rPr>
                <w:rFonts w:ascii="宋体" w:eastAsia="宋体" w:hAnsi="宋体" w:cs="宋体" w:hint="eastAsia"/>
                <w:sz w:val="21"/>
                <w:szCs w:val="21"/>
              </w:rPr>
              <w:t>1</w:t>
            </w:r>
            <w:bookmarkEnd w:id="2"/>
          </w:hyperlink>
        </w:p>
        <w:p w:rsidR="003C17E1" w:rsidRPr="002946CD" w:rsidRDefault="002571C8">
          <w:pPr>
            <w:pStyle w:val="WPSOffice1"/>
            <w:tabs>
              <w:tab w:val="right" w:leader="dot" w:pos="8306"/>
            </w:tabs>
            <w:spacing w:line="360" w:lineRule="auto"/>
            <w:rPr>
              <w:rFonts w:ascii="宋体" w:eastAsia="宋体" w:hAnsi="宋体" w:cs="宋体"/>
              <w:sz w:val="21"/>
              <w:szCs w:val="21"/>
            </w:rPr>
          </w:pPr>
          <w:hyperlink w:anchor="_Toc20598_WPSOffice_Level1" w:history="1">
            <w:r w:rsidR="00DB07D6" w:rsidRPr="002946CD">
              <w:rPr>
                <w:rFonts w:ascii="宋体" w:eastAsia="宋体" w:hAnsi="宋体" w:cs="宋体" w:hint="eastAsia"/>
                <w:sz w:val="21"/>
                <w:szCs w:val="21"/>
              </w:rPr>
              <w:t>2. 规范性引用文件</w:t>
            </w:r>
            <w:r w:rsidR="00DB07D6" w:rsidRPr="002946CD">
              <w:rPr>
                <w:rFonts w:ascii="宋体" w:eastAsia="宋体" w:hAnsi="宋体" w:cs="宋体" w:hint="eastAsia"/>
                <w:sz w:val="21"/>
                <w:szCs w:val="21"/>
              </w:rPr>
              <w:tab/>
            </w:r>
            <w:bookmarkStart w:id="3" w:name="_Toc20598_WPSOffice_Level1Page"/>
            <w:r w:rsidR="00DB07D6" w:rsidRPr="002946CD">
              <w:rPr>
                <w:rFonts w:ascii="宋体" w:eastAsia="宋体" w:hAnsi="宋体" w:cs="宋体" w:hint="eastAsia"/>
                <w:sz w:val="21"/>
                <w:szCs w:val="21"/>
              </w:rPr>
              <w:t>1</w:t>
            </w:r>
            <w:bookmarkEnd w:id="3"/>
          </w:hyperlink>
        </w:p>
        <w:p w:rsidR="003C17E1" w:rsidRPr="002946CD" w:rsidRDefault="002571C8">
          <w:pPr>
            <w:pStyle w:val="WPSOffice1"/>
            <w:tabs>
              <w:tab w:val="right" w:leader="dot" w:pos="8306"/>
            </w:tabs>
            <w:spacing w:line="360" w:lineRule="auto"/>
            <w:rPr>
              <w:rFonts w:ascii="宋体" w:eastAsia="宋体" w:hAnsi="宋体" w:cs="宋体"/>
              <w:sz w:val="21"/>
              <w:szCs w:val="21"/>
            </w:rPr>
          </w:pPr>
          <w:hyperlink w:anchor="_Toc420_WPSOffice_Level1" w:history="1">
            <w:r w:rsidR="00DB07D6" w:rsidRPr="002946CD">
              <w:rPr>
                <w:rFonts w:ascii="宋体" w:eastAsia="宋体" w:hAnsi="宋体" w:cs="宋体" w:hint="eastAsia"/>
                <w:sz w:val="21"/>
                <w:szCs w:val="21"/>
              </w:rPr>
              <w:t>3. 术语与定义</w:t>
            </w:r>
            <w:r w:rsidR="00DB07D6" w:rsidRPr="002946CD">
              <w:rPr>
                <w:rFonts w:ascii="宋体" w:eastAsia="宋体" w:hAnsi="宋体" w:cs="宋体" w:hint="eastAsia"/>
                <w:sz w:val="21"/>
                <w:szCs w:val="21"/>
              </w:rPr>
              <w:tab/>
            </w:r>
            <w:bookmarkStart w:id="4" w:name="_Toc420_WPSOffice_Level1Page"/>
            <w:r w:rsidR="00DB07D6" w:rsidRPr="002946CD">
              <w:rPr>
                <w:rFonts w:ascii="宋体" w:eastAsia="宋体" w:hAnsi="宋体" w:cs="宋体" w:hint="eastAsia"/>
                <w:sz w:val="21"/>
                <w:szCs w:val="21"/>
              </w:rPr>
              <w:t>1</w:t>
            </w:r>
            <w:bookmarkEnd w:id="4"/>
          </w:hyperlink>
        </w:p>
        <w:p w:rsidR="003C17E1" w:rsidRPr="002946CD" w:rsidRDefault="002571C8">
          <w:pPr>
            <w:pStyle w:val="WPSOffice1"/>
            <w:tabs>
              <w:tab w:val="right" w:leader="dot" w:pos="8306"/>
            </w:tabs>
            <w:spacing w:line="360" w:lineRule="auto"/>
            <w:rPr>
              <w:rFonts w:ascii="宋体" w:eastAsia="宋体" w:hAnsi="宋体" w:cs="宋体"/>
              <w:sz w:val="21"/>
              <w:szCs w:val="21"/>
            </w:rPr>
          </w:pPr>
          <w:hyperlink w:anchor="_Toc4647_WPSOffice_Level1" w:history="1">
            <w:r w:rsidR="00DB07D6" w:rsidRPr="002946CD">
              <w:rPr>
                <w:rFonts w:ascii="宋体" w:eastAsia="宋体" w:hAnsi="宋体" w:cs="宋体" w:hint="eastAsia"/>
                <w:sz w:val="21"/>
                <w:szCs w:val="21"/>
              </w:rPr>
              <w:t>4. 总体要求</w:t>
            </w:r>
            <w:r w:rsidR="00DB07D6" w:rsidRPr="002946CD">
              <w:rPr>
                <w:rFonts w:ascii="宋体" w:eastAsia="宋体" w:hAnsi="宋体" w:cs="宋体" w:hint="eastAsia"/>
                <w:sz w:val="21"/>
                <w:szCs w:val="21"/>
              </w:rPr>
              <w:tab/>
            </w:r>
            <w:bookmarkStart w:id="5" w:name="_Toc4647_WPSOffice_Level1Page"/>
            <w:r w:rsidR="00DB07D6" w:rsidRPr="002946CD">
              <w:rPr>
                <w:rFonts w:ascii="宋体" w:eastAsia="宋体" w:hAnsi="宋体" w:cs="宋体" w:hint="eastAsia"/>
                <w:sz w:val="21"/>
                <w:szCs w:val="21"/>
              </w:rPr>
              <w:t>2</w:t>
            </w:r>
            <w:bookmarkEnd w:id="5"/>
          </w:hyperlink>
        </w:p>
        <w:p w:rsidR="003C17E1" w:rsidRPr="002946CD" w:rsidRDefault="002571C8">
          <w:pPr>
            <w:pStyle w:val="WPSOffice1"/>
            <w:tabs>
              <w:tab w:val="right" w:leader="dot" w:pos="8306"/>
            </w:tabs>
            <w:spacing w:line="360" w:lineRule="auto"/>
            <w:rPr>
              <w:rFonts w:ascii="宋体" w:eastAsia="宋体" w:hAnsi="宋体" w:cs="宋体"/>
              <w:sz w:val="21"/>
              <w:szCs w:val="21"/>
            </w:rPr>
          </w:pPr>
          <w:hyperlink w:anchor="_Toc6695_WPSOffice_Level1" w:history="1">
            <w:r w:rsidR="00DB07D6" w:rsidRPr="002946CD">
              <w:rPr>
                <w:rFonts w:ascii="宋体" w:eastAsia="宋体" w:hAnsi="宋体" w:cs="宋体" w:hint="eastAsia"/>
                <w:sz w:val="21"/>
                <w:szCs w:val="21"/>
              </w:rPr>
              <w:t>5. 组织机构与人员</w:t>
            </w:r>
            <w:r w:rsidR="00DB07D6" w:rsidRPr="002946CD">
              <w:rPr>
                <w:rFonts w:ascii="宋体" w:eastAsia="宋体" w:hAnsi="宋体" w:cs="宋体" w:hint="eastAsia"/>
                <w:sz w:val="21"/>
                <w:szCs w:val="21"/>
              </w:rPr>
              <w:tab/>
            </w:r>
            <w:bookmarkStart w:id="6" w:name="_Toc6695_WPSOffice_Level1Page"/>
            <w:r w:rsidR="00DB07D6" w:rsidRPr="002946CD">
              <w:rPr>
                <w:rFonts w:ascii="宋体" w:eastAsia="宋体" w:hAnsi="宋体" w:cs="宋体" w:hint="eastAsia"/>
                <w:sz w:val="21"/>
                <w:szCs w:val="21"/>
              </w:rPr>
              <w:t>2</w:t>
            </w:r>
            <w:bookmarkEnd w:id="6"/>
          </w:hyperlink>
        </w:p>
        <w:p w:rsidR="003C17E1" w:rsidRPr="002946CD" w:rsidRDefault="002571C8">
          <w:pPr>
            <w:pStyle w:val="WPSOffice1"/>
            <w:tabs>
              <w:tab w:val="right" w:leader="dot" w:pos="8306"/>
            </w:tabs>
            <w:spacing w:line="360" w:lineRule="auto"/>
            <w:rPr>
              <w:rFonts w:ascii="宋体" w:eastAsia="宋体" w:hAnsi="宋体" w:cs="宋体"/>
              <w:sz w:val="21"/>
              <w:szCs w:val="21"/>
            </w:rPr>
          </w:pPr>
          <w:hyperlink w:anchor="_Toc9346_WPSOffice_Level1" w:history="1">
            <w:r w:rsidR="00DB07D6" w:rsidRPr="002946CD">
              <w:rPr>
                <w:rFonts w:ascii="宋体" w:eastAsia="宋体" w:hAnsi="宋体" w:cs="宋体" w:hint="eastAsia"/>
                <w:sz w:val="21"/>
                <w:szCs w:val="21"/>
              </w:rPr>
              <w:t>6. 设施设备</w:t>
            </w:r>
            <w:r w:rsidR="00DB07D6" w:rsidRPr="002946CD">
              <w:rPr>
                <w:rFonts w:ascii="宋体" w:eastAsia="宋体" w:hAnsi="宋体" w:cs="宋体" w:hint="eastAsia"/>
                <w:sz w:val="21"/>
                <w:szCs w:val="21"/>
              </w:rPr>
              <w:tab/>
            </w:r>
            <w:bookmarkStart w:id="7" w:name="_Toc9346_WPSOffice_Level1Page"/>
            <w:r w:rsidR="00DB07D6" w:rsidRPr="002946CD">
              <w:rPr>
                <w:rFonts w:ascii="宋体" w:eastAsia="宋体" w:hAnsi="宋体" w:cs="宋体" w:hint="eastAsia"/>
                <w:sz w:val="21"/>
                <w:szCs w:val="21"/>
              </w:rPr>
              <w:t>3</w:t>
            </w:r>
            <w:bookmarkEnd w:id="7"/>
          </w:hyperlink>
        </w:p>
        <w:p w:rsidR="003C17E1" w:rsidRPr="002946CD" w:rsidRDefault="002571C8">
          <w:pPr>
            <w:pStyle w:val="WPSOffice1"/>
            <w:tabs>
              <w:tab w:val="right" w:leader="dot" w:pos="8306"/>
            </w:tabs>
            <w:spacing w:line="360" w:lineRule="auto"/>
            <w:rPr>
              <w:rFonts w:ascii="宋体" w:eastAsia="宋体" w:hAnsi="宋体" w:cs="宋体"/>
              <w:sz w:val="21"/>
              <w:szCs w:val="21"/>
            </w:rPr>
          </w:pPr>
          <w:hyperlink w:anchor="_Toc29071_WPSOffice_Level1" w:history="1">
            <w:r w:rsidR="00DB07D6" w:rsidRPr="002946CD">
              <w:rPr>
                <w:rFonts w:ascii="宋体" w:eastAsia="宋体" w:hAnsi="宋体" w:cs="宋体" w:hint="eastAsia"/>
                <w:sz w:val="21"/>
                <w:szCs w:val="21"/>
              </w:rPr>
              <w:t>7. 信息管理系统</w:t>
            </w:r>
            <w:r w:rsidR="00DB07D6" w:rsidRPr="002946CD">
              <w:rPr>
                <w:rFonts w:ascii="宋体" w:eastAsia="宋体" w:hAnsi="宋体" w:cs="宋体" w:hint="eastAsia"/>
                <w:sz w:val="21"/>
                <w:szCs w:val="21"/>
              </w:rPr>
              <w:tab/>
            </w:r>
            <w:bookmarkStart w:id="8" w:name="_Toc29071_WPSOffice_Level1Page"/>
            <w:r w:rsidR="00DB07D6" w:rsidRPr="002946CD">
              <w:rPr>
                <w:rFonts w:ascii="宋体" w:eastAsia="宋体" w:hAnsi="宋体" w:cs="宋体" w:hint="eastAsia"/>
                <w:sz w:val="21"/>
                <w:szCs w:val="21"/>
              </w:rPr>
              <w:t>5</w:t>
            </w:r>
            <w:bookmarkEnd w:id="8"/>
          </w:hyperlink>
        </w:p>
        <w:p w:rsidR="003C17E1" w:rsidRDefault="002571C8">
          <w:pPr>
            <w:pStyle w:val="WPSOffice1"/>
            <w:tabs>
              <w:tab w:val="right" w:leader="dot" w:pos="8306"/>
            </w:tabs>
            <w:spacing w:line="360" w:lineRule="auto"/>
          </w:pPr>
          <w:hyperlink w:anchor="_Toc3196_WPSOffice_Level1" w:history="1">
            <w:r w:rsidR="00DB07D6" w:rsidRPr="002946CD">
              <w:rPr>
                <w:rFonts w:ascii="宋体" w:eastAsia="宋体" w:hAnsi="宋体" w:cs="宋体" w:hint="eastAsia"/>
                <w:sz w:val="21"/>
                <w:szCs w:val="21"/>
              </w:rPr>
              <w:t>8. 质量管理体系文件</w:t>
            </w:r>
            <w:r w:rsidR="00DB07D6" w:rsidRPr="002946CD">
              <w:rPr>
                <w:rFonts w:ascii="宋体" w:eastAsia="宋体" w:hAnsi="宋体" w:cs="宋体" w:hint="eastAsia"/>
                <w:sz w:val="21"/>
                <w:szCs w:val="21"/>
              </w:rPr>
              <w:tab/>
            </w:r>
            <w:bookmarkStart w:id="9" w:name="_Toc3196_WPSOffice_Level1Page"/>
            <w:r w:rsidR="00DB07D6" w:rsidRPr="002946CD">
              <w:rPr>
                <w:rFonts w:ascii="宋体" w:eastAsia="宋体" w:hAnsi="宋体" w:cs="宋体" w:hint="eastAsia"/>
                <w:sz w:val="21"/>
                <w:szCs w:val="21"/>
              </w:rPr>
              <w:t>6</w:t>
            </w:r>
            <w:bookmarkEnd w:id="9"/>
          </w:hyperlink>
        </w:p>
        <w:p w:rsidR="003C17E1" w:rsidRDefault="002571C8">
          <w:pPr>
            <w:pStyle w:val="WPSOffice1"/>
            <w:tabs>
              <w:tab w:val="right" w:leader="dot" w:pos="8306"/>
            </w:tabs>
          </w:pPr>
        </w:p>
        <w:bookmarkEnd w:id="0" w:displacedByCustomXml="next"/>
      </w:sdtContent>
    </w:sdt>
    <w:p w:rsidR="003C17E1" w:rsidRDefault="00DB07D6">
      <w:pPr>
        <w:rPr>
          <w:rFonts w:ascii="黑体" w:eastAsia="黑体" w:hAnsi="黑体" w:cs="Gautami"/>
          <w:sz w:val="32"/>
          <w:szCs w:val="32"/>
          <w:lang w:eastAsia="zh-CN"/>
        </w:rPr>
      </w:pPr>
      <w:bookmarkStart w:id="10" w:name="_Toc15155_WPSOffice_Level1"/>
      <w:bookmarkStart w:id="11" w:name="_Toc16819_WPSOffice_Level1"/>
      <w:bookmarkStart w:id="12" w:name="_Toc26983_WPSOffice_Level1"/>
      <w:bookmarkStart w:id="13" w:name="_Toc22949_WPSOffice_Level1"/>
      <w:bookmarkStart w:id="14" w:name="_Toc30273_WPSOffice_Level1"/>
      <w:bookmarkStart w:id="15" w:name="_Toc19857_WPSOffice_Level1"/>
      <w:r>
        <w:rPr>
          <w:rFonts w:ascii="黑体" w:eastAsia="黑体" w:hAnsi="黑体" w:cs="Gautami" w:hint="eastAsia"/>
          <w:sz w:val="32"/>
          <w:szCs w:val="32"/>
          <w:lang w:eastAsia="zh-CN"/>
        </w:rPr>
        <w:br w:type="page"/>
      </w:r>
    </w:p>
    <w:p w:rsidR="003C17E1" w:rsidRDefault="00DB07D6">
      <w:pPr>
        <w:spacing w:line="360" w:lineRule="auto"/>
        <w:jc w:val="center"/>
        <w:outlineLvl w:val="0"/>
        <w:rPr>
          <w:rFonts w:ascii="黑体" w:eastAsia="黑体" w:hAnsi="黑体"/>
          <w:sz w:val="32"/>
          <w:szCs w:val="32"/>
          <w:lang w:eastAsia="zh-CN"/>
        </w:rPr>
      </w:pPr>
      <w:r>
        <w:rPr>
          <w:rFonts w:ascii="黑体" w:eastAsia="黑体" w:hAnsi="黑体" w:cs="Gautami" w:hint="eastAsia"/>
          <w:sz w:val="32"/>
          <w:szCs w:val="32"/>
          <w:lang w:eastAsia="zh-CN"/>
        </w:rPr>
        <w:lastRenderedPageBreak/>
        <w:t>前  言</w:t>
      </w:r>
      <w:bookmarkEnd w:id="10"/>
      <w:bookmarkEnd w:id="11"/>
      <w:bookmarkEnd w:id="12"/>
      <w:bookmarkEnd w:id="13"/>
      <w:bookmarkEnd w:id="14"/>
      <w:bookmarkEnd w:id="15"/>
    </w:p>
    <w:p w:rsidR="003C17E1" w:rsidRDefault="003C17E1">
      <w:pPr>
        <w:widowControl w:val="0"/>
        <w:spacing w:after="0" w:line="240" w:lineRule="auto"/>
        <w:jc w:val="both"/>
        <w:rPr>
          <w:rFonts w:ascii="宋体" w:eastAsia="宋体" w:hAnsi="宋体" w:cs="宋体"/>
          <w:kern w:val="2"/>
          <w:sz w:val="21"/>
          <w:lang w:eastAsia="zh-CN" w:bidi="ar-SA"/>
        </w:rPr>
      </w:pPr>
    </w:p>
    <w:p w:rsidR="003C17E1" w:rsidRDefault="00DB07D6">
      <w:pPr>
        <w:widowControl w:val="0"/>
        <w:spacing w:after="0" w:line="240" w:lineRule="auto"/>
        <w:jc w:val="both"/>
        <w:rPr>
          <w:rFonts w:ascii="宋体" w:eastAsia="宋体" w:hAnsi="宋体" w:cs="宋体"/>
          <w:kern w:val="2"/>
          <w:sz w:val="21"/>
          <w:lang w:eastAsia="zh-CN" w:bidi="ar-SA"/>
        </w:rPr>
      </w:pPr>
      <w:r>
        <w:rPr>
          <w:rFonts w:ascii="宋体" w:eastAsia="宋体" w:hAnsi="宋体" w:cs="宋体" w:hint="eastAsia"/>
          <w:kern w:val="2"/>
          <w:sz w:val="21"/>
          <w:lang w:eastAsia="zh-CN" w:bidi="ar-SA"/>
        </w:rPr>
        <w:t>本标准按D</w:t>
      </w:r>
      <w:r>
        <w:rPr>
          <w:rFonts w:ascii="宋体" w:eastAsia="宋体" w:hAnsi="宋体" w:cs="宋体"/>
          <w:kern w:val="2"/>
          <w:sz w:val="21"/>
          <w:lang w:eastAsia="zh-CN" w:bidi="ar-SA"/>
        </w:rPr>
        <w:t>B/T 1.1-2009</w:t>
      </w:r>
      <w:r>
        <w:rPr>
          <w:rFonts w:ascii="宋体" w:eastAsia="宋体" w:hAnsi="宋体" w:cs="宋体" w:hint="eastAsia"/>
          <w:kern w:val="2"/>
          <w:sz w:val="21"/>
          <w:lang w:eastAsia="zh-CN" w:bidi="ar-SA"/>
        </w:rPr>
        <w:t>给出的规则起草。</w:t>
      </w:r>
      <w:r>
        <w:rPr>
          <w:rFonts w:ascii="宋体" w:eastAsia="宋体" w:hAnsi="宋体" w:cs="宋体"/>
          <w:kern w:val="2"/>
          <w:sz w:val="21"/>
          <w:lang w:eastAsia="zh-CN" w:bidi="ar-SA"/>
        </w:rPr>
        <w:t xml:space="preserve"> </w:t>
      </w:r>
    </w:p>
    <w:p w:rsidR="003C17E1" w:rsidRDefault="00DB07D6">
      <w:pPr>
        <w:widowControl w:val="0"/>
        <w:spacing w:after="0" w:line="240" w:lineRule="auto"/>
        <w:jc w:val="both"/>
        <w:rPr>
          <w:rFonts w:ascii="宋体" w:eastAsia="宋体" w:hAnsi="宋体" w:cs="宋体"/>
          <w:kern w:val="2"/>
          <w:sz w:val="21"/>
          <w:lang w:eastAsia="zh-CN" w:bidi="ar-SA"/>
        </w:rPr>
      </w:pPr>
      <w:r>
        <w:rPr>
          <w:rFonts w:ascii="宋体" w:eastAsia="宋体" w:hAnsi="宋体" w:cs="宋体" w:hint="eastAsia"/>
          <w:kern w:val="2"/>
          <w:sz w:val="21"/>
          <w:lang w:eastAsia="zh-CN" w:bidi="ar-SA"/>
        </w:rPr>
        <w:t>本标准由山西省药品监督管理局提出并归口。</w:t>
      </w:r>
      <w:r>
        <w:rPr>
          <w:rFonts w:ascii="宋体" w:eastAsia="宋体" w:hAnsi="宋体" w:cs="宋体"/>
          <w:kern w:val="2"/>
          <w:sz w:val="21"/>
          <w:lang w:eastAsia="zh-CN" w:bidi="ar-SA"/>
        </w:rPr>
        <w:t xml:space="preserve"> </w:t>
      </w:r>
    </w:p>
    <w:p w:rsidR="003C17E1" w:rsidRDefault="00DB07D6">
      <w:pPr>
        <w:widowControl w:val="0"/>
        <w:spacing w:after="0" w:line="240" w:lineRule="auto"/>
        <w:ind w:left="1575" w:hangingChars="750" w:hanging="1575"/>
        <w:jc w:val="both"/>
        <w:rPr>
          <w:rFonts w:ascii="宋体" w:eastAsia="宋体" w:hAnsi="宋体" w:cs="宋体"/>
          <w:kern w:val="2"/>
          <w:sz w:val="21"/>
          <w:lang w:eastAsia="zh-CN" w:bidi="ar-SA"/>
        </w:rPr>
      </w:pPr>
      <w:r>
        <w:rPr>
          <w:rFonts w:ascii="宋体" w:eastAsia="宋体" w:hAnsi="宋体" w:cs="宋体" w:hint="eastAsia"/>
          <w:kern w:val="2"/>
          <w:sz w:val="21"/>
          <w:lang w:eastAsia="zh-CN" w:bidi="ar-SA"/>
        </w:rPr>
        <w:t>本标准起草单位：</w:t>
      </w:r>
    </w:p>
    <w:p w:rsidR="003C17E1" w:rsidRDefault="00DB07D6">
      <w:pPr>
        <w:widowControl w:val="0"/>
        <w:spacing w:after="0" w:line="240" w:lineRule="auto"/>
        <w:ind w:left="2" w:firstLineChars="200" w:firstLine="420"/>
        <w:jc w:val="both"/>
        <w:rPr>
          <w:rFonts w:ascii="宋体" w:eastAsia="宋体" w:hAnsi="宋体" w:cs="宋体"/>
          <w:kern w:val="2"/>
          <w:sz w:val="21"/>
          <w:lang w:eastAsia="zh-CN" w:bidi="ar-SA"/>
        </w:rPr>
      </w:pPr>
      <w:r>
        <w:rPr>
          <w:rFonts w:ascii="宋体" w:eastAsia="宋体" w:hAnsi="宋体" w:cs="宋体" w:hint="eastAsia"/>
          <w:kern w:val="2"/>
          <w:sz w:val="21"/>
          <w:lang w:eastAsia="zh-CN" w:bidi="ar-SA"/>
        </w:rPr>
        <w:t>山西省药品监督管理局、晋中市市场监督管理局、</w:t>
      </w:r>
    </w:p>
    <w:p w:rsidR="003C17E1" w:rsidRDefault="00DB07D6">
      <w:pPr>
        <w:widowControl w:val="0"/>
        <w:spacing w:after="0" w:line="240" w:lineRule="auto"/>
        <w:ind w:left="2" w:firstLineChars="200" w:firstLine="420"/>
        <w:jc w:val="both"/>
        <w:rPr>
          <w:rFonts w:ascii="宋体" w:eastAsia="宋体" w:hAnsi="宋体" w:cs="宋体"/>
          <w:kern w:val="2"/>
          <w:sz w:val="21"/>
          <w:lang w:eastAsia="zh-CN" w:bidi="ar-SA"/>
        </w:rPr>
      </w:pPr>
      <w:r>
        <w:rPr>
          <w:rFonts w:ascii="宋体" w:eastAsia="宋体" w:hAnsi="宋体" w:cs="宋体" w:hint="eastAsia"/>
          <w:kern w:val="2"/>
          <w:sz w:val="21"/>
          <w:lang w:eastAsia="zh-CN" w:bidi="ar-SA"/>
        </w:rPr>
        <w:t>山西省食品药品检验所、国药集团山西有限公司、</w:t>
      </w:r>
    </w:p>
    <w:p w:rsidR="003C17E1" w:rsidRDefault="00DB07D6">
      <w:pPr>
        <w:widowControl w:val="0"/>
        <w:spacing w:after="0" w:line="240" w:lineRule="auto"/>
        <w:ind w:left="2" w:firstLineChars="200" w:firstLine="420"/>
        <w:jc w:val="both"/>
        <w:rPr>
          <w:rFonts w:ascii="宋体" w:eastAsia="宋体" w:hAnsi="宋体" w:cs="宋体"/>
          <w:kern w:val="2"/>
          <w:sz w:val="21"/>
          <w:lang w:eastAsia="zh-CN" w:bidi="ar-SA"/>
        </w:rPr>
      </w:pPr>
      <w:r>
        <w:rPr>
          <w:rFonts w:ascii="宋体" w:eastAsia="宋体" w:hAnsi="宋体" w:cs="宋体" w:hint="eastAsia"/>
          <w:kern w:val="2"/>
          <w:sz w:val="21"/>
          <w:lang w:eastAsia="zh-CN" w:bidi="ar-SA"/>
        </w:rPr>
        <w:t>山西天士力康美徕医药有限公司、山西九州通医药有限公司</w:t>
      </w:r>
    </w:p>
    <w:p w:rsidR="003C17E1" w:rsidRDefault="00DB07D6">
      <w:pPr>
        <w:widowControl w:val="0"/>
        <w:spacing w:after="0" w:line="240" w:lineRule="auto"/>
        <w:jc w:val="both"/>
        <w:rPr>
          <w:rFonts w:ascii="宋体" w:eastAsia="宋体" w:hAnsi="宋体" w:cs="宋体"/>
          <w:kern w:val="2"/>
          <w:sz w:val="21"/>
          <w:lang w:eastAsia="zh-CN" w:bidi="ar-SA"/>
        </w:rPr>
      </w:pPr>
      <w:bookmarkStart w:id="16" w:name="_Toc16350_WPSOffice_Level2"/>
      <w:r>
        <w:rPr>
          <w:rFonts w:ascii="宋体" w:eastAsia="宋体" w:hAnsi="宋体" w:cs="宋体" w:hint="eastAsia"/>
          <w:kern w:val="2"/>
          <w:sz w:val="21"/>
          <w:lang w:eastAsia="zh-CN" w:bidi="ar-SA"/>
        </w:rPr>
        <w:t>本标准的主要起草人：</w:t>
      </w:r>
      <w:bookmarkEnd w:id="16"/>
    </w:p>
    <w:p w:rsidR="003C17E1" w:rsidRDefault="00DB07D6">
      <w:pPr>
        <w:widowControl w:val="0"/>
        <w:spacing w:after="0" w:line="240" w:lineRule="auto"/>
        <w:ind w:firstLineChars="200" w:firstLine="420"/>
        <w:rPr>
          <w:rFonts w:ascii="宋体" w:eastAsia="宋体" w:hAnsi="宋体" w:cs="宋体"/>
          <w:kern w:val="2"/>
          <w:sz w:val="21"/>
          <w:lang w:eastAsia="zh-CN" w:bidi="ar-SA"/>
        </w:rPr>
      </w:pPr>
      <w:r>
        <w:rPr>
          <w:rFonts w:ascii="宋体" w:eastAsia="宋体" w:hAnsi="宋体" w:cs="宋体" w:hint="eastAsia"/>
          <w:kern w:val="2"/>
          <w:sz w:val="21"/>
          <w:lang w:eastAsia="zh-CN" w:bidi="ar-SA"/>
        </w:rPr>
        <w:t>张雪航、武 伟、王小芳、杨国伟、张 栋、李伟业、田 方、乔红梅、闫全花、王志华</w:t>
      </w:r>
    </w:p>
    <w:p w:rsidR="003C17E1" w:rsidRDefault="003C17E1">
      <w:pPr>
        <w:rPr>
          <w:rFonts w:ascii="宋体" w:eastAsia="宋体" w:cs="宋体"/>
          <w:color w:val="000000"/>
          <w:sz w:val="21"/>
          <w:szCs w:val="21"/>
          <w:lang w:eastAsia="zh-CN" w:bidi="ar-SA"/>
        </w:rPr>
      </w:pPr>
    </w:p>
    <w:p w:rsidR="003C17E1" w:rsidRDefault="003C17E1">
      <w:pPr>
        <w:jc w:val="center"/>
        <w:rPr>
          <w:rFonts w:asciiTheme="minorEastAsia" w:hAnsiTheme="minorEastAsia" w:cs="Gautami"/>
          <w:b/>
          <w:sz w:val="36"/>
          <w:szCs w:val="36"/>
          <w:lang w:eastAsia="zh-CN"/>
        </w:rPr>
        <w:sectPr w:rsidR="003C17E1">
          <w:headerReference w:type="default" r:id="rId8"/>
          <w:footerReference w:type="default" r:id="rId9"/>
          <w:headerReference w:type="first" r:id="rId10"/>
          <w:pgSz w:w="11906" w:h="16838"/>
          <w:pgMar w:top="1440" w:right="1800" w:bottom="1440" w:left="1800" w:header="851" w:footer="992" w:gutter="0"/>
          <w:pgNumType w:fmt="upperRoman" w:start="1"/>
          <w:cols w:space="425"/>
          <w:titlePg/>
          <w:docGrid w:type="lines" w:linePitch="312"/>
        </w:sectPr>
      </w:pPr>
      <w:bookmarkStart w:id="17" w:name="_Toc16350_WPSOffice_Level1"/>
    </w:p>
    <w:p w:rsidR="003C17E1" w:rsidRDefault="00DB07D6">
      <w:pPr>
        <w:spacing w:line="460" w:lineRule="exact"/>
        <w:jc w:val="center"/>
        <w:rPr>
          <w:rFonts w:ascii="黑体" w:eastAsia="黑体" w:hAnsi="黑体"/>
          <w:b/>
          <w:sz w:val="44"/>
          <w:szCs w:val="44"/>
          <w:lang w:eastAsia="zh-CN"/>
        </w:rPr>
      </w:pPr>
      <w:bookmarkStart w:id="18" w:name="_Toc10745_WPSOffice_Level1"/>
      <w:bookmarkStart w:id="19" w:name="_Toc22016_WPSOffice_Level1"/>
      <w:bookmarkStart w:id="20" w:name="_Toc13422_WPSOffice_Level1"/>
      <w:bookmarkStart w:id="21" w:name="_Toc5717_WPSOffice_Level1"/>
      <w:bookmarkStart w:id="22" w:name="_Toc14834_WPSOffice_Level1"/>
      <w:bookmarkStart w:id="23" w:name="_Toc20813_WPSOffice_Level1"/>
      <w:bookmarkStart w:id="24" w:name="_Toc21225_WPSOffice_Level1"/>
      <w:bookmarkStart w:id="25" w:name="_Toc31162_WPSOffice_Level1"/>
      <w:bookmarkStart w:id="26" w:name="_Toc9129_WPSOffice_Level1"/>
      <w:bookmarkStart w:id="27" w:name="_Toc30920_WPSOffice_Level1"/>
      <w:bookmarkStart w:id="28" w:name="_Toc21946_WPSOffice_Level1"/>
      <w:bookmarkStart w:id="29" w:name="_Toc19649_WPSOffice_Level1"/>
      <w:bookmarkEnd w:id="17"/>
      <w:r>
        <w:rPr>
          <w:rFonts w:ascii="黑体" w:eastAsia="黑体" w:hAnsi="黑体" w:cs="Gautami" w:hint="eastAsia"/>
          <w:sz w:val="32"/>
          <w:szCs w:val="32"/>
          <w:lang w:eastAsia="zh-CN"/>
        </w:rPr>
        <w:lastRenderedPageBreak/>
        <w:t>药品委托储存配送服务机构基本要求</w:t>
      </w:r>
      <w:bookmarkEnd w:id="18"/>
      <w:bookmarkEnd w:id="19"/>
      <w:bookmarkEnd w:id="20"/>
    </w:p>
    <w:p w:rsidR="003C17E1" w:rsidRDefault="00DB07D6">
      <w:pPr>
        <w:widowControl w:val="0"/>
        <w:spacing w:after="0" w:line="460" w:lineRule="exact"/>
        <w:outlineLvl w:val="0"/>
        <w:rPr>
          <w:rFonts w:ascii="黑体" w:eastAsia="黑体" w:hAnsi="黑体" w:cs="黑体"/>
          <w:kern w:val="2"/>
          <w:sz w:val="21"/>
          <w:szCs w:val="21"/>
          <w:lang w:eastAsia="zh-CN" w:bidi="ar-SA"/>
        </w:rPr>
      </w:pPr>
      <w:bookmarkStart w:id="30" w:name="_Toc4520"/>
      <w:bookmarkStart w:id="31" w:name="_Toc4864_WPSOffice_Level1"/>
      <w:bookmarkStart w:id="32" w:name="_Toc5748_WPSOffice_Level1"/>
      <w:bookmarkStart w:id="33" w:name="_Toc28094_WPSOffice_Level1"/>
      <w:bookmarkStart w:id="34" w:name="_Toc5561_WPSOffice_Level1"/>
      <w:bookmarkStart w:id="35" w:name="_Toc17345_WPSOffice_Level1"/>
      <w:bookmarkStart w:id="36" w:name="_Toc24914_WPSOffice_Level1"/>
      <w:bookmarkStart w:id="37" w:name="_Toc23616_WPSOffice_Level1"/>
      <w:bookmarkStart w:id="38" w:name="_Toc17075_WPSOffice_Level1"/>
      <w:bookmarkStart w:id="39" w:name="_Toc3031_WPSOffice_Level2"/>
      <w:bookmarkEnd w:id="21"/>
      <w:bookmarkEnd w:id="22"/>
      <w:bookmarkEnd w:id="23"/>
      <w:bookmarkEnd w:id="24"/>
      <w:bookmarkEnd w:id="25"/>
      <w:bookmarkEnd w:id="26"/>
      <w:bookmarkEnd w:id="27"/>
      <w:bookmarkEnd w:id="28"/>
      <w:bookmarkEnd w:id="29"/>
      <w:r>
        <w:rPr>
          <w:rFonts w:ascii="黑体" w:eastAsia="黑体" w:hAnsi="黑体" w:cs="黑体" w:hint="eastAsia"/>
          <w:kern w:val="2"/>
          <w:sz w:val="21"/>
          <w:szCs w:val="21"/>
          <w:lang w:eastAsia="zh-CN" w:bidi="ar-SA"/>
        </w:rPr>
        <w:t>1. 范围</w:t>
      </w:r>
      <w:bookmarkEnd w:id="30"/>
      <w:bookmarkEnd w:id="31"/>
      <w:bookmarkEnd w:id="32"/>
      <w:bookmarkEnd w:id="33"/>
      <w:bookmarkEnd w:id="34"/>
      <w:bookmarkEnd w:id="35"/>
      <w:bookmarkEnd w:id="36"/>
      <w:bookmarkEnd w:id="37"/>
      <w:bookmarkEnd w:id="38"/>
    </w:p>
    <w:p w:rsidR="003C17E1" w:rsidRDefault="00DB07D6">
      <w:pPr>
        <w:widowControl w:val="0"/>
        <w:spacing w:after="0" w:line="460" w:lineRule="exact"/>
        <w:ind w:firstLineChars="200" w:firstLine="420"/>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本标准规定了药品委托储存配送服务机构基本要求的术语与定义、总体要求、组织机构与人员、设施与设备、信息管理系统及质量管理体系文件。</w:t>
      </w:r>
    </w:p>
    <w:p w:rsidR="003C17E1" w:rsidRDefault="00DB07D6">
      <w:pPr>
        <w:widowControl w:val="0"/>
        <w:spacing w:after="0" w:line="460" w:lineRule="exact"/>
        <w:ind w:firstLineChars="200" w:firstLine="420"/>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本标准适用于提供药品委托储存配送的药品物流服务相关机构的基本要求。</w:t>
      </w:r>
    </w:p>
    <w:p w:rsidR="003C17E1" w:rsidRDefault="00DB07D6">
      <w:pPr>
        <w:widowControl w:val="0"/>
        <w:spacing w:after="0" w:line="460" w:lineRule="exact"/>
        <w:outlineLvl w:val="0"/>
        <w:rPr>
          <w:rFonts w:ascii="黑体" w:eastAsia="黑体" w:hAnsi="黑体" w:cs="黑体"/>
          <w:kern w:val="2"/>
          <w:sz w:val="21"/>
          <w:szCs w:val="21"/>
          <w:lang w:eastAsia="zh-CN" w:bidi="ar-SA"/>
        </w:rPr>
      </w:pPr>
      <w:bookmarkStart w:id="40" w:name="_Toc10717_WPSOffice_Level1"/>
      <w:bookmarkStart w:id="41" w:name="_Toc25620_WPSOffice_Level1"/>
      <w:bookmarkStart w:id="42" w:name="_Toc17267_WPSOffice_Level1"/>
      <w:bookmarkStart w:id="43" w:name="_Toc917_WPSOffice_Level1"/>
      <w:bookmarkStart w:id="44" w:name="_Toc21129_WPSOffice_Level1"/>
      <w:bookmarkStart w:id="45" w:name="_Toc9734_WPSOffice_Level1"/>
      <w:bookmarkStart w:id="46" w:name="_Toc20598_WPSOffice_Level1"/>
      <w:r>
        <w:rPr>
          <w:rFonts w:ascii="黑体" w:eastAsia="黑体" w:hAnsi="黑体" w:cs="黑体" w:hint="eastAsia"/>
          <w:kern w:val="2"/>
          <w:sz w:val="21"/>
          <w:szCs w:val="21"/>
          <w:lang w:eastAsia="zh-CN" w:bidi="ar-SA"/>
        </w:rPr>
        <w:t xml:space="preserve">2. </w:t>
      </w:r>
      <w:bookmarkEnd w:id="40"/>
      <w:bookmarkEnd w:id="41"/>
      <w:bookmarkEnd w:id="42"/>
      <w:bookmarkEnd w:id="43"/>
      <w:bookmarkEnd w:id="44"/>
      <w:r>
        <w:rPr>
          <w:rFonts w:ascii="黑体" w:eastAsia="黑体" w:hAnsi="黑体" w:cs="黑体" w:hint="eastAsia"/>
          <w:kern w:val="2"/>
          <w:sz w:val="21"/>
          <w:szCs w:val="21"/>
          <w:lang w:eastAsia="zh-CN" w:bidi="ar-SA"/>
        </w:rPr>
        <w:t>规范性引用文件</w:t>
      </w:r>
      <w:bookmarkEnd w:id="45"/>
      <w:bookmarkEnd w:id="46"/>
    </w:p>
    <w:p w:rsidR="003C17E1" w:rsidRDefault="00DB07D6">
      <w:pPr>
        <w:widowControl w:val="0"/>
        <w:spacing w:after="0" w:line="460" w:lineRule="exact"/>
        <w:ind w:firstLineChars="200" w:firstLine="420"/>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下列文件对于本标准的应用是必不可少的。凡是注日期的引用依据，仅注日期的版本适用于本规范；凡是不注日期的引用依据，其最新版本（包括所有的修改单）适用于本标准。</w:t>
      </w:r>
    </w:p>
    <w:p w:rsidR="003C17E1" w:rsidRDefault="00DB07D6">
      <w:pPr>
        <w:widowControl w:val="0"/>
        <w:spacing w:after="0" w:line="460" w:lineRule="exact"/>
        <w:ind w:firstLineChars="200" w:firstLine="420"/>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《中华人民共和国国家标准物流企业分类与评估指标》（GB/T 19680-2013）</w:t>
      </w:r>
    </w:p>
    <w:bookmarkEnd w:id="39"/>
    <w:p w:rsidR="003C17E1" w:rsidRDefault="00DB07D6">
      <w:pPr>
        <w:widowControl w:val="0"/>
        <w:spacing w:after="0" w:line="460" w:lineRule="exact"/>
        <w:ind w:firstLineChars="200" w:firstLine="420"/>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《关于加强药品监督管理促进药品现代物流发展的意见》（国食药监市【2005】160号）</w:t>
      </w:r>
    </w:p>
    <w:p w:rsidR="003C17E1" w:rsidRDefault="00DB07D6">
      <w:pPr>
        <w:widowControl w:val="0"/>
        <w:spacing w:after="0" w:line="460" w:lineRule="exact"/>
        <w:ind w:firstLineChars="200" w:firstLine="420"/>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关于贯彻执行《关于加强药品监督管理促进药品现代物流发展的意见》有关问题的通知（国食药监市【2005】318号）</w:t>
      </w:r>
    </w:p>
    <w:p w:rsidR="003C17E1" w:rsidRDefault="00DB07D6">
      <w:pPr>
        <w:widowControl w:val="0"/>
        <w:spacing w:after="0" w:line="460" w:lineRule="exact"/>
        <w:ind w:firstLineChars="200" w:firstLine="420"/>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《国务院办公厅关于进一步改革完善药品生产流通使用政策的若干意见》</w:t>
      </w:r>
    </w:p>
    <w:p w:rsidR="003C17E1" w:rsidRDefault="00DB07D6">
      <w:pPr>
        <w:widowControl w:val="0"/>
        <w:spacing w:after="0" w:line="460" w:lineRule="exact"/>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（国办发【2017】13号）</w:t>
      </w:r>
    </w:p>
    <w:p w:rsidR="003C17E1" w:rsidRDefault="00DB07D6">
      <w:pPr>
        <w:widowControl w:val="0"/>
        <w:spacing w:after="0" w:line="460" w:lineRule="exact"/>
        <w:outlineLvl w:val="0"/>
        <w:rPr>
          <w:rFonts w:ascii="黑体" w:eastAsia="黑体" w:hAnsi="黑体" w:cs="黑体"/>
          <w:kern w:val="2"/>
          <w:sz w:val="21"/>
          <w:szCs w:val="21"/>
          <w:lang w:eastAsia="zh-CN" w:bidi="ar-SA"/>
        </w:rPr>
      </w:pPr>
      <w:bookmarkStart w:id="47" w:name="_Toc24731_WPSOffice_Level1"/>
      <w:bookmarkStart w:id="48" w:name="_Toc17752_WPSOffice_Level1"/>
      <w:bookmarkStart w:id="49" w:name="_Toc1456_WPSOffice_Level1"/>
      <w:bookmarkStart w:id="50" w:name="_Toc10160_WPSOffice_Level1"/>
      <w:bookmarkStart w:id="51" w:name="_Toc19988_WPSOffice_Level1"/>
      <w:bookmarkStart w:id="52" w:name="_Toc17232_WPSOffice_Level1"/>
      <w:bookmarkStart w:id="53" w:name="_Toc420_WPSOffice_Level1"/>
      <w:r>
        <w:rPr>
          <w:rFonts w:ascii="黑体" w:eastAsia="黑体" w:hAnsi="黑体" w:cs="黑体" w:hint="eastAsia"/>
          <w:kern w:val="2"/>
          <w:sz w:val="21"/>
          <w:szCs w:val="21"/>
          <w:lang w:eastAsia="zh-CN" w:bidi="ar-SA"/>
        </w:rPr>
        <w:t>3. 术语与定义</w:t>
      </w:r>
      <w:bookmarkEnd w:id="47"/>
      <w:bookmarkEnd w:id="48"/>
      <w:bookmarkEnd w:id="49"/>
      <w:bookmarkEnd w:id="50"/>
      <w:bookmarkEnd w:id="51"/>
      <w:bookmarkEnd w:id="52"/>
      <w:bookmarkEnd w:id="53"/>
    </w:p>
    <w:p w:rsidR="003C17E1" w:rsidRDefault="00DB07D6">
      <w:pPr>
        <w:widowControl w:val="0"/>
        <w:spacing w:after="0" w:line="460" w:lineRule="exact"/>
        <w:ind w:firstLineChars="150" w:firstLine="315"/>
        <w:outlineLvl w:val="0"/>
        <w:rPr>
          <w:rFonts w:ascii="黑体" w:eastAsia="黑体" w:hAnsi="黑体" w:cs="黑体"/>
          <w:kern w:val="2"/>
          <w:sz w:val="21"/>
          <w:szCs w:val="21"/>
          <w:lang w:eastAsia="zh-CN" w:bidi="ar-SA"/>
        </w:rPr>
      </w:pPr>
      <w:r>
        <w:rPr>
          <w:rFonts w:ascii="宋体" w:eastAsia="宋体" w:hAnsi="宋体" w:cs="宋体" w:hint="eastAsia"/>
          <w:kern w:val="2"/>
          <w:sz w:val="21"/>
          <w:szCs w:val="21"/>
          <w:lang w:eastAsia="zh-CN" w:bidi="ar-SA"/>
        </w:rPr>
        <w:t>下列术语与定义适用于本标准。</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54" w:name="_Toc5748_WPSOffice_Level2"/>
      <w:bookmarkStart w:id="55" w:name="_Toc25620_WPSOffice_Level2"/>
      <w:bookmarkStart w:id="56" w:name="_Toc10717_WPSOffice_Level2"/>
      <w:bookmarkStart w:id="57" w:name="_Toc5654_WPSOffice_Level2"/>
      <w:r>
        <w:rPr>
          <w:rFonts w:ascii="黑体" w:eastAsia="黑体" w:hAnsi="黑体" w:cs="黑体" w:hint="eastAsia"/>
          <w:kern w:val="2"/>
          <w:sz w:val="21"/>
          <w:szCs w:val="21"/>
          <w:lang w:eastAsia="zh-CN" w:bidi="ar-SA"/>
        </w:rPr>
        <w:t>3.1</w:t>
      </w:r>
    </w:p>
    <w:p w:rsidR="003C17E1" w:rsidRDefault="00DB07D6">
      <w:pPr>
        <w:widowControl w:val="0"/>
        <w:spacing w:after="0" w:line="460" w:lineRule="exact"/>
        <w:ind w:firstLineChars="200" w:firstLine="42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药品物流</w:t>
      </w:r>
      <w:bookmarkEnd w:id="54"/>
      <w:r>
        <w:rPr>
          <w:rFonts w:ascii="宋体" w:eastAsia="宋体" w:hAnsi="宋体" w:cs="宋体" w:hint="eastAsia"/>
          <w:kern w:val="2"/>
          <w:sz w:val="21"/>
          <w:szCs w:val="21"/>
          <w:lang w:eastAsia="zh-CN"/>
        </w:rPr>
        <w:t>服务</w:t>
      </w:r>
      <w:bookmarkEnd w:id="55"/>
      <w:bookmarkEnd w:id="56"/>
      <w:bookmarkEnd w:id="57"/>
    </w:p>
    <w:p w:rsidR="003C17E1" w:rsidRDefault="00DB07D6">
      <w:pPr>
        <w:widowControl w:val="0"/>
        <w:spacing w:after="0" w:line="460" w:lineRule="exact"/>
        <w:ind w:firstLineChars="200" w:firstLine="420"/>
        <w:outlineLvl w:val="1"/>
        <w:rPr>
          <w:rFonts w:ascii="宋体" w:eastAsia="宋体" w:hAnsi="宋体" w:cs="宋体"/>
          <w:kern w:val="2"/>
          <w:sz w:val="21"/>
          <w:szCs w:val="21"/>
          <w:lang w:eastAsia="zh-CN"/>
        </w:rPr>
      </w:pPr>
      <w:bookmarkStart w:id="58" w:name="_Toc17267_WPSOffice_Level2"/>
      <w:r>
        <w:rPr>
          <w:rFonts w:ascii="宋体" w:eastAsia="宋体" w:hAnsi="宋体" w:cs="宋体" w:hint="eastAsia"/>
          <w:kern w:val="2"/>
          <w:sz w:val="21"/>
          <w:szCs w:val="21"/>
          <w:lang w:eastAsia="zh-CN"/>
        </w:rPr>
        <w:t>符合《药品经营质量管理规范》要求，具备与其经营范围和规模相适应的仓储、配送设施设备、信息管理系统等条件的企业，通过对药品入库收货验收、在库储存养护、出库分拣复核、运输配送、回执管理和信息管理等基本功能的组织与管理，保证药品在流通过程中的质量稳定性，并满足药品生产、批发、零售企业及医疗机构等药品供应流转需求的物流活动。</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59" w:name="_Toc10160_WPSOffice_Level2"/>
      <w:bookmarkStart w:id="60" w:name="_Toc1456_WPSOffice_Level2"/>
      <w:bookmarkStart w:id="61" w:name="_Toc5561_WPSOffice_Level2"/>
      <w:r>
        <w:rPr>
          <w:rFonts w:ascii="黑体" w:eastAsia="黑体" w:hAnsi="黑体" w:cs="黑体" w:hint="eastAsia"/>
          <w:kern w:val="2"/>
          <w:sz w:val="21"/>
          <w:szCs w:val="21"/>
          <w:lang w:eastAsia="zh-CN" w:bidi="ar-SA"/>
        </w:rPr>
        <w:t>3.2</w:t>
      </w:r>
    </w:p>
    <w:p w:rsidR="003C17E1" w:rsidRDefault="00DB07D6">
      <w:pPr>
        <w:widowControl w:val="0"/>
        <w:spacing w:after="0" w:line="460" w:lineRule="exact"/>
        <w:ind w:firstLineChars="150" w:firstLine="315"/>
        <w:outlineLvl w:val="1"/>
        <w:rPr>
          <w:rFonts w:ascii="宋体" w:eastAsia="宋体" w:hAnsi="宋体" w:cs="宋体"/>
          <w:kern w:val="2"/>
          <w:sz w:val="21"/>
          <w:szCs w:val="21"/>
          <w:lang w:eastAsia="zh-CN"/>
        </w:rPr>
      </w:pPr>
      <w:r>
        <w:rPr>
          <w:rFonts w:ascii="黑体" w:eastAsia="黑体" w:hAnsi="黑体" w:cs="黑体" w:hint="eastAsia"/>
          <w:kern w:val="2"/>
          <w:sz w:val="21"/>
          <w:szCs w:val="21"/>
          <w:lang w:eastAsia="zh-CN" w:bidi="ar-SA"/>
        </w:rPr>
        <w:t xml:space="preserve"> </w:t>
      </w:r>
      <w:bookmarkEnd w:id="58"/>
      <w:r>
        <w:rPr>
          <w:rFonts w:ascii="宋体" w:eastAsia="宋体" w:hAnsi="宋体" w:cs="宋体" w:hint="eastAsia"/>
          <w:kern w:val="2"/>
          <w:sz w:val="21"/>
          <w:szCs w:val="21"/>
          <w:lang w:eastAsia="zh-CN"/>
        </w:rPr>
        <w:t>药品委托储存配送</w:t>
      </w:r>
      <w:bookmarkEnd w:id="59"/>
      <w:bookmarkEnd w:id="60"/>
      <w:bookmarkEnd w:id="61"/>
    </w:p>
    <w:p w:rsidR="003C17E1" w:rsidRDefault="00DB07D6">
      <w:pPr>
        <w:widowControl w:val="0"/>
        <w:spacing w:after="0" w:line="460" w:lineRule="exact"/>
        <w:ind w:firstLineChars="202" w:firstLine="424"/>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药品生产、经营企业将所生产和经营的药品委托给第三方机构进行储存、配送的业务模式。</w:t>
      </w:r>
    </w:p>
    <w:p w:rsidR="003C17E1" w:rsidRDefault="00DB07D6">
      <w:pPr>
        <w:widowControl w:val="0"/>
        <w:spacing w:after="0" w:line="460" w:lineRule="exact"/>
        <w:rPr>
          <w:rFonts w:ascii="黑体" w:eastAsia="黑体" w:hAnsi="黑体" w:cs="黑体"/>
          <w:kern w:val="2"/>
          <w:sz w:val="21"/>
          <w:szCs w:val="21"/>
          <w:lang w:eastAsia="zh-CN" w:bidi="ar-SA"/>
        </w:rPr>
      </w:pPr>
      <w:bookmarkStart w:id="62" w:name="_Toc3470_WPSOffice_Level2"/>
      <w:bookmarkStart w:id="63" w:name="_Toc13785_WPSOffice_Level2"/>
      <w:bookmarkStart w:id="64" w:name="_Toc14633_WPSOffice_Level2"/>
      <w:bookmarkStart w:id="65" w:name="_Toc21129_WPSOffice_Level2"/>
      <w:r>
        <w:rPr>
          <w:rFonts w:ascii="黑体" w:eastAsia="黑体" w:hAnsi="黑体" w:cs="黑体" w:hint="eastAsia"/>
          <w:kern w:val="2"/>
          <w:sz w:val="21"/>
          <w:szCs w:val="21"/>
          <w:lang w:eastAsia="zh-CN" w:bidi="ar-SA"/>
        </w:rPr>
        <w:t xml:space="preserve">3.3 </w:t>
      </w:r>
      <w:bookmarkEnd w:id="62"/>
      <w:bookmarkEnd w:id="63"/>
      <w:bookmarkEnd w:id="64"/>
    </w:p>
    <w:p w:rsidR="003C17E1" w:rsidRDefault="00DB07D6">
      <w:pPr>
        <w:widowControl w:val="0"/>
        <w:spacing w:after="0" w:line="460" w:lineRule="exact"/>
        <w:ind w:firstLineChars="200" w:firstLine="420"/>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异地分仓中心</w:t>
      </w:r>
      <w:bookmarkEnd w:id="65"/>
    </w:p>
    <w:p w:rsidR="003C17E1" w:rsidRDefault="00DB07D6">
      <w:pPr>
        <w:widowControl w:val="0"/>
        <w:spacing w:after="0" w:line="460" w:lineRule="exact"/>
        <w:ind w:firstLine="420"/>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指持有药品经营许可证的集团企业，根据委托储存配送的实际要求，利用其控股范围内</w:t>
      </w:r>
      <w:r>
        <w:rPr>
          <w:rFonts w:ascii="宋体" w:eastAsia="宋体" w:hAnsi="宋体" w:cs="宋体" w:hint="eastAsia"/>
          <w:kern w:val="2"/>
          <w:sz w:val="21"/>
          <w:szCs w:val="21"/>
          <w:lang w:eastAsia="zh-CN" w:bidi="ar-SA"/>
        </w:rPr>
        <w:lastRenderedPageBreak/>
        <w:t>的分子公司仓库设立分仓中心，与集团总部质量管理体系、信息管理系统实现统一管理，能够覆盖委托储存配送的全过程，配合集团总部物流总仓实现多仓协同，完成委托储存、配送业务的部门机构。</w:t>
      </w:r>
    </w:p>
    <w:p w:rsidR="003C17E1" w:rsidRDefault="00DB07D6">
      <w:pPr>
        <w:widowControl w:val="0"/>
        <w:spacing w:after="0" w:line="460" w:lineRule="exact"/>
        <w:rPr>
          <w:rFonts w:ascii="黑体" w:eastAsia="黑体" w:hAnsi="黑体" w:cs="黑体"/>
          <w:kern w:val="2"/>
          <w:sz w:val="21"/>
          <w:szCs w:val="21"/>
          <w:lang w:eastAsia="zh-CN"/>
        </w:rPr>
      </w:pPr>
      <w:bookmarkStart w:id="66" w:name="_Toc2827_WPSOffice_Level1"/>
      <w:bookmarkStart w:id="67" w:name="_Toc4647_WPSOffice_Level1"/>
      <w:r>
        <w:rPr>
          <w:rFonts w:ascii="黑体" w:eastAsia="黑体" w:hAnsi="黑体" w:cs="黑体" w:hint="eastAsia"/>
          <w:kern w:val="2"/>
          <w:sz w:val="21"/>
          <w:szCs w:val="21"/>
          <w:lang w:eastAsia="zh-CN" w:bidi="ar-SA"/>
        </w:rPr>
        <w:t xml:space="preserve">4. </w:t>
      </w:r>
      <w:r>
        <w:rPr>
          <w:rFonts w:ascii="黑体" w:eastAsia="黑体" w:hAnsi="黑体" w:cs="黑体" w:hint="eastAsia"/>
          <w:kern w:val="2"/>
          <w:sz w:val="21"/>
          <w:szCs w:val="21"/>
          <w:lang w:eastAsia="zh-CN"/>
        </w:rPr>
        <w:t>总体要求</w:t>
      </w:r>
      <w:bookmarkEnd w:id="66"/>
      <w:bookmarkEnd w:id="67"/>
    </w:p>
    <w:p w:rsidR="003C17E1" w:rsidRDefault="00DB07D6">
      <w:pPr>
        <w:widowControl w:val="0"/>
        <w:spacing w:after="0" w:line="460" w:lineRule="exact"/>
        <w:rPr>
          <w:rFonts w:ascii="黑体" w:eastAsia="黑体" w:hAnsi="黑体" w:cs="黑体"/>
          <w:kern w:val="2"/>
          <w:sz w:val="21"/>
          <w:szCs w:val="21"/>
          <w:lang w:eastAsia="zh-CN"/>
        </w:rPr>
      </w:pPr>
      <w:r>
        <w:rPr>
          <w:rFonts w:ascii="黑体" w:eastAsia="黑体" w:hAnsi="黑体" w:cs="黑体" w:hint="eastAsia"/>
          <w:kern w:val="2"/>
          <w:sz w:val="21"/>
          <w:szCs w:val="21"/>
          <w:lang w:eastAsia="zh-CN"/>
        </w:rPr>
        <w:t xml:space="preserve">    </w:t>
      </w:r>
      <w:r>
        <w:rPr>
          <w:rFonts w:asciiTheme="minorEastAsia" w:hAnsiTheme="minorEastAsia" w:cs="宋体" w:hint="eastAsia"/>
          <w:sz w:val="21"/>
          <w:szCs w:val="21"/>
          <w:lang w:eastAsia="zh-CN"/>
        </w:rPr>
        <w:t>开展药品委托储存业务的服务机构须为独立法人的药品批发企业；开展药品委托配送业务的服务机构须为独立法人的药品批发企业，或具有合法资质，且符合本标准委托配送要求的物流服务相关企业；涉及人员、设施设备、信息管理系统及质量管理体系等内容均应符合法律法规要求。</w:t>
      </w:r>
    </w:p>
    <w:p w:rsidR="003C17E1" w:rsidRDefault="00DB07D6">
      <w:pPr>
        <w:widowControl w:val="0"/>
        <w:spacing w:after="0" w:line="460" w:lineRule="exact"/>
        <w:outlineLvl w:val="0"/>
        <w:rPr>
          <w:rFonts w:ascii="黑体" w:eastAsia="黑体" w:hAnsi="黑体" w:cs="黑体"/>
          <w:kern w:val="2"/>
          <w:sz w:val="21"/>
          <w:szCs w:val="21"/>
          <w:lang w:eastAsia="zh-CN"/>
        </w:rPr>
      </w:pPr>
      <w:bookmarkStart w:id="68" w:name="_Toc16849_WPSOffice_Level1"/>
      <w:bookmarkStart w:id="69" w:name="_Toc4571_WPSOffice_Level1"/>
      <w:bookmarkStart w:id="70" w:name="_Toc13785_WPSOffice_Level1"/>
      <w:bookmarkStart w:id="71" w:name="_Toc3470_WPSOffice_Level1"/>
      <w:bookmarkStart w:id="72" w:name="_Toc27713_WPSOffice_Level1"/>
      <w:bookmarkStart w:id="73" w:name="_Toc26304_WPSOffice_Level1"/>
      <w:bookmarkStart w:id="74" w:name="_Toc6695_WPSOffice_Level1"/>
      <w:r>
        <w:rPr>
          <w:rFonts w:ascii="黑体" w:eastAsia="黑体" w:hAnsi="黑体" w:cs="黑体" w:hint="eastAsia"/>
          <w:kern w:val="2"/>
          <w:sz w:val="21"/>
          <w:szCs w:val="21"/>
          <w:lang w:eastAsia="zh-CN" w:bidi="ar-SA"/>
        </w:rPr>
        <w:t xml:space="preserve">5. </w:t>
      </w:r>
      <w:r>
        <w:rPr>
          <w:rFonts w:ascii="黑体" w:eastAsia="黑体" w:hAnsi="黑体" w:cs="黑体" w:hint="eastAsia"/>
          <w:kern w:val="2"/>
          <w:sz w:val="21"/>
          <w:szCs w:val="21"/>
          <w:lang w:eastAsia="zh-CN"/>
        </w:rPr>
        <w:t>组织机构与人员</w:t>
      </w:r>
      <w:bookmarkEnd w:id="68"/>
      <w:bookmarkEnd w:id="69"/>
      <w:bookmarkEnd w:id="70"/>
      <w:bookmarkEnd w:id="71"/>
      <w:bookmarkEnd w:id="72"/>
      <w:bookmarkEnd w:id="73"/>
      <w:bookmarkEnd w:id="74"/>
    </w:p>
    <w:p w:rsidR="003C17E1" w:rsidRDefault="00DB07D6">
      <w:pPr>
        <w:widowControl w:val="0"/>
        <w:spacing w:after="0" w:line="460" w:lineRule="exact"/>
        <w:outlineLvl w:val="1"/>
        <w:rPr>
          <w:rFonts w:ascii="黑体" w:eastAsia="黑体" w:hAnsi="黑体" w:cs="黑体"/>
          <w:kern w:val="2"/>
          <w:sz w:val="21"/>
          <w:szCs w:val="21"/>
          <w:lang w:eastAsia="zh-CN"/>
        </w:rPr>
      </w:pPr>
      <w:bookmarkStart w:id="75" w:name="_Toc11920_WPSOffice_Level2"/>
      <w:bookmarkStart w:id="76" w:name="_Toc15846_WPSOffice_Level2"/>
      <w:bookmarkStart w:id="77" w:name="_Toc24731_WPSOffice_Level2"/>
      <w:bookmarkStart w:id="78" w:name="_Toc19988_WPSOffice_Level2"/>
      <w:r>
        <w:rPr>
          <w:rFonts w:ascii="黑体" w:eastAsia="黑体" w:hAnsi="黑体" w:cs="黑体" w:hint="eastAsia"/>
          <w:kern w:val="2"/>
          <w:sz w:val="21"/>
          <w:szCs w:val="21"/>
          <w:lang w:eastAsia="zh-CN" w:bidi="ar-SA"/>
        </w:rPr>
        <w:t xml:space="preserve">5.1 </w:t>
      </w:r>
      <w:bookmarkEnd w:id="75"/>
      <w:bookmarkEnd w:id="76"/>
      <w:bookmarkEnd w:id="77"/>
      <w:r>
        <w:rPr>
          <w:rFonts w:ascii="宋体" w:eastAsia="宋体" w:hAnsi="宋体" w:cs="宋体" w:hint="eastAsia"/>
          <w:kern w:val="2"/>
          <w:sz w:val="21"/>
          <w:szCs w:val="21"/>
          <w:lang w:eastAsia="zh-CN" w:bidi="ar-SA"/>
        </w:rPr>
        <w:t>开展药品委托储存配送的企业应当设置与经营规模和业务范围相适应的质量管理机构、信息管理机构、物流管理机构、异地分仓中心等相关部门机构，并依据开展业务的范围配备相应的药品质量管理、验收、养护、物流管理、设备管理、信息技术管理等专业技术人员。</w:t>
      </w:r>
    </w:p>
    <w:p w:rsidR="003C17E1" w:rsidRDefault="00DB07D6">
      <w:pPr>
        <w:widowControl w:val="0"/>
        <w:spacing w:after="0" w:line="460" w:lineRule="exact"/>
        <w:ind w:firstLine="420"/>
        <w:outlineLvl w:val="1"/>
        <w:rPr>
          <w:rFonts w:ascii="宋体" w:eastAsia="宋体" w:hAnsi="宋体" w:cs="宋体"/>
          <w:kern w:val="2"/>
          <w:sz w:val="21"/>
          <w:szCs w:val="21"/>
          <w:lang w:eastAsia="zh-CN" w:bidi="ar-SA"/>
        </w:rPr>
      </w:pPr>
      <w:r>
        <w:rPr>
          <w:rFonts w:ascii="宋体" w:eastAsia="宋体" w:hAnsi="宋体" w:cs="宋体" w:hint="eastAsia"/>
          <w:kern w:val="2"/>
          <w:sz w:val="21"/>
          <w:szCs w:val="21"/>
          <w:lang w:eastAsia="zh-CN" w:bidi="ar-SA"/>
        </w:rPr>
        <w:t>开展药品委托储存配送的企业还应建立药品委托储存配送质量安全领导组，由企业负责人担任领导组长，质量负责人、信息管理机构、物流管理机构分管领导担任副组长，成员包括质量管理机构、信息管理机构、物流管理机构、异地分仓中心等机构负责人。</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79" w:name="_Toc5654_WPSOffice_Level3"/>
      <w:r>
        <w:rPr>
          <w:rFonts w:ascii="黑体" w:eastAsia="黑体" w:hAnsi="黑体" w:cs="黑体" w:hint="eastAsia"/>
          <w:kern w:val="2"/>
          <w:sz w:val="21"/>
          <w:szCs w:val="21"/>
          <w:lang w:eastAsia="zh-CN" w:bidi="ar-SA"/>
        </w:rPr>
        <w:t>5.1.1</w:t>
      </w:r>
      <w:bookmarkEnd w:id="79"/>
      <w:r>
        <w:rPr>
          <w:rFonts w:ascii="宋体" w:eastAsia="宋体" w:hAnsi="宋体" w:cs="宋体" w:hint="eastAsia"/>
          <w:sz w:val="21"/>
          <w:szCs w:val="21"/>
          <w:lang w:eastAsia="zh-CN"/>
        </w:rPr>
        <w:t>企业负责人是药品质量的主要责任人，负责提供必要的条件，保证质量管理部门和质量管理人员有效履行职责，确保企业实现质量目标并按照《药品经营质量管理规范》等相关要求开展药品委托储存配送业务。</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80" w:name="_Toc5561_WPSOffice_Level3"/>
      <w:r>
        <w:rPr>
          <w:rFonts w:ascii="黑体" w:eastAsia="黑体" w:hAnsi="黑体" w:cs="黑体" w:hint="eastAsia"/>
          <w:kern w:val="2"/>
          <w:sz w:val="21"/>
          <w:szCs w:val="21"/>
          <w:lang w:eastAsia="zh-CN" w:bidi="ar-SA"/>
        </w:rPr>
        <w:t>5.1.2</w:t>
      </w:r>
      <w:bookmarkEnd w:id="80"/>
      <w:r>
        <w:rPr>
          <w:rFonts w:ascii="宋体" w:eastAsia="宋体" w:hAnsi="宋体" w:cs="宋体" w:hint="eastAsia"/>
          <w:sz w:val="21"/>
          <w:szCs w:val="21"/>
          <w:lang w:eastAsia="zh-CN"/>
        </w:rPr>
        <w:t>质量负责人全面负责药品质量管理工作，独立履行职责，在企业内部对药品质量管理具有裁决权。</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81" w:name="_Toc16402_WPSOffice_Level3"/>
      <w:r>
        <w:rPr>
          <w:rFonts w:ascii="黑体" w:eastAsia="黑体" w:hAnsi="黑体" w:cs="黑体" w:hint="eastAsia"/>
          <w:kern w:val="2"/>
          <w:sz w:val="21"/>
          <w:szCs w:val="21"/>
          <w:lang w:eastAsia="zh-CN" w:bidi="ar-SA"/>
        </w:rPr>
        <w:t>5.1.</w:t>
      </w:r>
      <w:bookmarkEnd w:id="78"/>
      <w:r>
        <w:rPr>
          <w:rFonts w:ascii="黑体" w:eastAsia="黑体" w:hAnsi="黑体" w:cs="黑体" w:hint="eastAsia"/>
          <w:kern w:val="2"/>
          <w:sz w:val="21"/>
          <w:szCs w:val="21"/>
          <w:lang w:eastAsia="zh-CN" w:bidi="ar-SA"/>
        </w:rPr>
        <w:t>3</w:t>
      </w:r>
      <w:bookmarkEnd w:id="81"/>
      <w:r>
        <w:rPr>
          <w:rFonts w:ascii="宋体" w:eastAsia="宋体" w:hAnsi="宋体" w:cs="宋体" w:hint="eastAsia"/>
          <w:kern w:val="2"/>
          <w:sz w:val="21"/>
          <w:szCs w:val="21"/>
          <w:lang w:eastAsia="zh-CN" w:bidi="ar-SA"/>
        </w:rPr>
        <w:t>质量管理部门应行使质量管理职能，落实《药品经营质量管理规范》，有效开展质量管理工作。负责</w:t>
      </w:r>
      <w:r>
        <w:rPr>
          <w:rFonts w:ascii="宋体" w:eastAsia="宋体" w:hAnsi="宋体" w:cs="宋体" w:hint="eastAsia"/>
          <w:sz w:val="21"/>
          <w:szCs w:val="21"/>
          <w:lang w:eastAsia="zh-CN"/>
        </w:rPr>
        <w:t>委托企业及委托药品</w:t>
      </w:r>
      <w:r>
        <w:rPr>
          <w:rFonts w:ascii="宋体" w:eastAsia="宋体" w:hAnsi="宋体" w:cs="宋体" w:hint="eastAsia"/>
          <w:kern w:val="2"/>
          <w:sz w:val="21"/>
          <w:szCs w:val="21"/>
          <w:lang w:eastAsia="zh-CN" w:bidi="ar-SA"/>
        </w:rPr>
        <w:t>的审核与核对、验收等质量管理工作，指导并监督</w:t>
      </w:r>
      <w:r>
        <w:rPr>
          <w:rFonts w:ascii="宋体" w:eastAsia="宋体" w:hAnsi="宋体" w:cs="宋体" w:hint="eastAsia"/>
          <w:sz w:val="21"/>
          <w:szCs w:val="21"/>
          <w:lang w:eastAsia="zh-CN"/>
        </w:rPr>
        <w:t>药品</w:t>
      </w:r>
      <w:r>
        <w:rPr>
          <w:rFonts w:ascii="宋体" w:eastAsia="宋体" w:hAnsi="宋体" w:cs="宋体" w:hint="eastAsia"/>
          <w:kern w:val="2"/>
          <w:sz w:val="21"/>
          <w:szCs w:val="21"/>
          <w:lang w:eastAsia="zh-CN" w:bidi="ar-SA"/>
        </w:rPr>
        <w:t>储存、养护、运输、退货等环节的质量管理工作。质量管理部门的职责不得由其他部门及人员履行。</w:t>
      </w:r>
    </w:p>
    <w:p w:rsidR="003C17E1" w:rsidRDefault="00DB07D6">
      <w:pPr>
        <w:widowControl w:val="0"/>
        <w:spacing w:after="0" w:line="460" w:lineRule="exact"/>
        <w:outlineLvl w:val="1"/>
        <w:rPr>
          <w:rFonts w:ascii="宋体" w:eastAsia="宋体" w:hAnsi="宋体" w:cs="宋体"/>
          <w:kern w:val="2"/>
          <w:sz w:val="21"/>
          <w:szCs w:val="21"/>
          <w:lang w:eastAsia="zh-CN" w:bidi="ar-SA"/>
        </w:rPr>
      </w:pPr>
      <w:bookmarkStart w:id="82" w:name="_Toc23426_WPSOffice_Level3"/>
      <w:r>
        <w:rPr>
          <w:rFonts w:ascii="黑体" w:eastAsia="黑体" w:hAnsi="黑体" w:cs="黑体" w:hint="eastAsia"/>
          <w:kern w:val="2"/>
          <w:sz w:val="21"/>
          <w:szCs w:val="21"/>
          <w:lang w:eastAsia="zh-CN" w:bidi="ar-SA"/>
        </w:rPr>
        <w:t>5.1.4</w:t>
      </w:r>
      <w:bookmarkEnd w:id="82"/>
      <w:r>
        <w:rPr>
          <w:rFonts w:asciiTheme="minorEastAsia" w:hAnsiTheme="minorEastAsia" w:cs="宋体" w:hint="eastAsia"/>
          <w:sz w:val="21"/>
          <w:szCs w:val="21"/>
          <w:lang w:eastAsia="zh-CN"/>
        </w:rPr>
        <w:t>信息管理部门负责信息化建设的组织、实施、协调、管理工作。</w:t>
      </w:r>
      <w:bookmarkStart w:id="83" w:name="_Toc5364_WPSOffice_Level2"/>
      <w:r>
        <w:rPr>
          <w:rFonts w:asciiTheme="minorEastAsia" w:hAnsiTheme="minorEastAsia" w:cs="宋体" w:hint="eastAsia"/>
          <w:sz w:val="21"/>
          <w:szCs w:val="21"/>
          <w:lang w:eastAsia="zh-CN"/>
        </w:rPr>
        <w:t>负责</w:t>
      </w:r>
      <w:r>
        <w:rPr>
          <w:rFonts w:ascii="宋体" w:eastAsia="宋体" w:hAnsi="宋体" w:cs="宋体" w:hint="eastAsia"/>
          <w:sz w:val="21"/>
          <w:szCs w:val="21"/>
          <w:lang w:eastAsia="zh-CN"/>
        </w:rPr>
        <w:t>系统硬件和软件的安装、测试及网络维护</w:t>
      </w:r>
      <w:r>
        <w:rPr>
          <w:rFonts w:asciiTheme="minorEastAsia" w:hAnsiTheme="minorEastAsia" w:cs="宋体" w:hint="eastAsia"/>
          <w:sz w:val="21"/>
          <w:szCs w:val="21"/>
          <w:lang w:eastAsia="zh-CN"/>
        </w:rPr>
        <w:t>、</w:t>
      </w:r>
      <w:r>
        <w:rPr>
          <w:rFonts w:ascii="宋体" w:eastAsia="宋体" w:hAnsi="宋体" w:cs="宋体" w:hint="eastAsia"/>
          <w:sz w:val="21"/>
          <w:szCs w:val="21"/>
          <w:lang w:eastAsia="zh-CN"/>
        </w:rPr>
        <w:t>安全管理</w:t>
      </w:r>
      <w:r>
        <w:rPr>
          <w:rFonts w:asciiTheme="minorEastAsia" w:hAnsiTheme="minorEastAsia" w:cs="宋体" w:hint="eastAsia"/>
          <w:sz w:val="21"/>
          <w:szCs w:val="21"/>
          <w:lang w:eastAsia="zh-CN"/>
        </w:rPr>
        <w:t>。负责</w:t>
      </w:r>
      <w:r>
        <w:rPr>
          <w:rFonts w:ascii="宋体" w:eastAsia="宋体" w:hAnsi="宋体" w:cs="宋体" w:hint="eastAsia"/>
          <w:sz w:val="21"/>
          <w:szCs w:val="21"/>
          <w:lang w:eastAsia="zh-CN"/>
        </w:rPr>
        <w:t>系统数据库管理和数据备份</w:t>
      </w:r>
      <w:r>
        <w:rPr>
          <w:rFonts w:asciiTheme="minorEastAsia" w:hAnsiTheme="minorEastAsia" w:cs="宋体" w:hint="eastAsia"/>
          <w:sz w:val="21"/>
          <w:szCs w:val="21"/>
          <w:lang w:eastAsia="zh-CN"/>
        </w:rPr>
        <w:t>以及</w:t>
      </w:r>
      <w:r>
        <w:rPr>
          <w:rFonts w:ascii="宋体" w:eastAsia="宋体" w:hAnsi="宋体" w:cs="宋体" w:hint="eastAsia"/>
          <w:sz w:val="21"/>
          <w:szCs w:val="21"/>
          <w:lang w:eastAsia="zh-CN"/>
        </w:rPr>
        <w:t>培训、指导相关岗位人员</w:t>
      </w:r>
      <w:r>
        <w:rPr>
          <w:rFonts w:asciiTheme="minorEastAsia" w:hAnsiTheme="minorEastAsia" w:cs="宋体" w:hint="eastAsia"/>
          <w:sz w:val="21"/>
          <w:szCs w:val="21"/>
          <w:lang w:eastAsia="zh-CN"/>
        </w:rPr>
        <w:t>正确</w:t>
      </w:r>
      <w:r>
        <w:rPr>
          <w:rFonts w:ascii="宋体" w:eastAsia="宋体" w:hAnsi="宋体" w:cs="宋体" w:hint="eastAsia"/>
          <w:sz w:val="21"/>
          <w:szCs w:val="21"/>
          <w:lang w:eastAsia="zh-CN"/>
        </w:rPr>
        <w:t>使用系统</w:t>
      </w:r>
      <w:r>
        <w:rPr>
          <w:rFonts w:asciiTheme="minorEastAsia" w:hAnsiTheme="minorEastAsia" w:cs="宋体" w:hint="eastAsia"/>
          <w:sz w:val="21"/>
          <w:szCs w:val="21"/>
          <w:lang w:eastAsia="zh-CN"/>
        </w:rPr>
        <w:t>。负责设备的运行维护管理工作。</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84" w:name="_Toc12425_WPSOffice_Level3"/>
      <w:bookmarkEnd w:id="83"/>
      <w:r>
        <w:rPr>
          <w:rFonts w:ascii="黑体" w:eastAsia="黑体" w:hAnsi="黑体" w:cs="黑体" w:hint="eastAsia"/>
          <w:kern w:val="2"/>
          <w:sz w:val="21"/>
          <w:szCs w:val="21"/>
          <w:lang w:eastAsia="zh-CN" w:bidi="ar-SA"/>
        </w:rPr>
        <w:t>5.1.5</w:t>
      </w:r>
      <w:bookmarkEnd w:id="84"/>
      <w:r>
        <w:rPr>
          <w:rFonts w:asciiTheme="minorEastAsia" w:hAnsiTheme="minorEastAsia" w:cs="宋体" w:hint="eastAsia"/>
          <w:sz w:val="21"/>
          <w:szCs w:val="21"/>
          <w:lang w:eastAsia="zh-CN"/>
        </w:rPr>
        <w:t>物流</w:t>
      </w:r>
      <w:r>
        <w:rPr>
          <w:rFonts w:ascii="宋体" w:eastAsia="宋体" w:hAnsi="宋体" w:cs="宋体" w:hint="eastAsia"/>
          <w:sz w:val="21"/>
          <w:szCs w:val="21"/>
          <w:lang w:eastAsia="zh-CN"/>
        </w:rPr>
        <w:t>管理部门依</w:t>
      </w:r>
      <w:r>
        <w:rPr>
          <w:rFonts w:asciiTheme="minorEastAsia" w:hAnsiTheme="minorEastAsia" w:cs="宋体" w:hint="eastAsia"/>
          <w:sz w:val="21"/>
          <w:szCs w:val="21"/>
          <w:lang w:eastAsia="zh-CN"/>
        </w:rPr>
        <w:t>据《药品经营质量管理规范》等相关要求，</w:t>
      </w:r>
      <w:r>
        <w:rPr>
          <w:rFonts w:ascii="宋体" w:eastAsia="宋体" w:hAnsi="宋体" w:cs="宋体" w:hint="eastAsia"/>
          <w:sz w:val="21"/>
          <w:szCs w:val="21"/>
          <w:lang w:eastAsia="zh-CN"/>
        </w:rPr>
        <w:t>负责委托储存配送药品的收货、储存、养护、出库复核、运输配送的工作</w:t>
      </w:r>
      <w:r>
        <w:rPr>
          <w:rFonts w:asciiTheme="minorEastAsia" w:hAnsiTheme="minorEastAsia" w:cs="宋体" w:hint="eastAsia"/>
          <w:sz w:val="21"/>
          <w:szCs w:val="21"/>
          <w:lang w:eastAsia="zh-CN"/>
        </w:rPr>
        <w:t>。负责委托储存药品的客户服务管理工作及</w:t>
      </w:r>
      <w:r>
        <w:rPr>
          <w:rFonts w:asciiTheme="minorEastAsia" w:hAnsiTheme="minorEastAsia" w:cs="宋体" w:hint="eastAsia"/>
          <w:sz w:val="21"/>
          <w:szCs w:val="21"/>
          <w:lang w:eastAsia="zh-CN"/>
        </w:rPr>
        <w:lastRenderedPageBreak/>
        <w:t>三方业务洽谈工作等。</w:t>
      </w:r>
    </w:p>
    <w:p w:rsidR="003C17E1" w:rsidRDefault="00DB07D6">
      <w:pPr>
        <w:widowControl w:val="0"/>
        <w:spacing w:after="0" w:line="460" w:lineRule="exact"/>
        <w:outlineLvl w:val="1"/>
        <w:rPr>
          <w:rFonts w:ascii="黑体" w:eastAsia="黑体" w:hAnsi="黑体" w:cs="黑体"/>
          <w:kern w:val="2"/>
          <w:sz w:val="21"/>
          <w:szCs w:val="21"/>
          <w:lang w:eastAsia="zh-CN" w:bidi="ar-SA"/>
        </w:rPr>
      </w:pPr>
      <w:r>
        <w:rPr>
          <w:rFonts w:ascii="黑体" w:eastAsia="黑体" w:hAnsi="黑体" w:cs="黑体" w:hint="eastAsia"/>
          <w:kern w:val="2"/>
          <w:sz w:val="21"/>
          <w:szCs w:val="21"/>
          <w:lang w:eastAsia="zh-CN" w:bidi="ar-SA"/>
        </w:rPr>
        <w:t>5.1.6</w:t>
      </w:r>
      <w:r>
        <w:rPr>
          <w:rFonts w:ascii="宋体" w:eastAsia="宋体" w:hAnsi="宋体" w:cs="宋体" w:hint="eastAsia"/>
          <w:kern w:val="2"/>
          <w:sz w:val="21"/>
          <w:szCs w:val="21"/>
          <w:lang w:eastAsia="zh-CN" w:bidi="ar-SA"/>
        </w:rPr>
        <w:t>集团企业利用其控股范围内分子公司的仓库建立异地分仓中心，与集团总部物流总仓信息互联互通，配合物流总仓完成委托储存配送工作，整合集团内企业的仓储和运输资源，在省级辖区内实现资源共享。</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85" w:name="_Toc19130_WPSOffice_Level2"/>
      <w:bookmarkStart w:id="86" w:name="_Toc26024_WPSOffice_Level2"/>
      <w:bookmarkStart w:id="87" w:name="_Toc29137_WPSOffice_Level2"/>
      <w:bookmarkStart w:id="88" w:name="_Toc16402_WPSOffice_Level2"/>
      <w:r>
        <w:rPr>
          <w:rFonts w:ascii="黑体" w:eastAsia="黑体" w:hAnsi="黑体" w:cs="黑体" w:hint="eastAsia"/>
          <w:kern w:val="2"/>
          <w:sz w:val="21"/>
          <w:szCs w:val="21"/>
          <w:lang w:eastAsia="zh-CN" w:bidi="ar-SA"/>
        </w:rPr>
        <w:t>5.2</w:t>
      </w:r>
      <w:bookmarkStart w:id="89" w:name="_Toc13426_WPSOffice_Level2"/>
      <w:r>
        <w:rPr>
          <w:rFonts w:ascii="黑体" w:eastAsia="黑体" w:hAnsi="黑体" w:cs="黑体" w:hint="eastAsia"/>
          <w:kern w:val="2"/>
          <w:sz w:val="21"/>
          <w:szCs w:val="21"/>
          <w:lang w:eastAsia="zh-CN" w:bidi="ar-SA"/>
        </w:rPr>
        <w:t xml:space="preserve"> </w:t>
      </w:r>
      <w:bookmarkEnd w:id="85"/>
      <w:bookmarkEnd w:id="86"/>
      <w:bookmarkEnd w:id="87"/>
      <w:bookmarkEnd w:id="88"/>
      <w:bookmarkEnd w:id="89"/>
      <w:r>
        <w:rPr>
          <w:rFonts w:ascii="宋体" w:eastAsia="宋体" w:hAnsi="宋体" w:cs="宋体" w:hint="eastAsia"/>
          <w:kern w:val="2"/>
          <w:sz w:val="21"/>
          <w:szCs w:val="21"/>
          <w:lang w:eastAsia="zh-CN" w:bidi="ar-SA"/>
        </w:rPr>
        <w:t>企业主要负责人、质量管理人员、信息技术管理人员、物流管理人员、异地分仓中心人员应符合相关要求。</w:t>
      </w:r>
    </w:p>
    <w:p w:rsidR="003C17E1" w:rsidRDefault="00DB07D6">
      <w:pPr>
        <w:widowControl w:val="0"/>
        <w:spacing w:after="0" w:line="460" w:lineRule="exact"/>
        <w:rPr>
          <w:rFonts w:asciiTheme="minorEastAsia" w:hAnsiTheme="minorEastAsia" w:cs="宋体"/>
          <w:sz w:val="21"/>
          <w:szCs w:val="21"/>
          <w:lang w:eastAsia="zh-CN"/>
        </w:rPr>
      </w:pPr>
      <w:bookmarkStart w:id="90" w:name="_Toc2278_WPSOffice_Level3"/>
      <w:r>
        <w:rPr>
          <w:rFonts w:ascii="黑体" w:eastAsia="黑体" w:hAnsi="黑体" w:cs="黑体" w:hint="eastAsia"/>
          <w:kern w:val="2"/>
          <w:sz w:val="21"/>
          <w:szCs w:val="21"/>
          <w:lang w:eastAsia="zh-CN" w:bidi="ar-SA"/>
        </w:rPr>
        <w:t>5.2.1</w:t>
      </w:r>
      <w:bookmarkEnd w:id="90"/>
      <w:r>
        <w:rPr>
          <w:rFonts w:asciiTheme="minorEastAsia" w:hAnsiTheme="minorEastAsia" w:cs="宋体" w:hint="eastAsia"/>
          <w:sz w:val="21"/>
          <w:szCs w:val="21"/>
          <w:lang w:eastAsia="zh-CN"/>
        </w:rPr>
        <w:t>企业法定代表人、企业负责人、质量负责人无《药品管理法》第</w:t>
      </w:r>
      <w:r>
        <w:rPr>
          <w:rFonts w:asciiTheme="minorEastAsia" w:hAnsiTheme="minorEastAsia" w:cs="宋体"/>
          <w:sz w:val="21"/>
          <w:szCs w:val="21"/>
          <w:lang w:eastAsia="zh-CN"/>
        </w:rPr>
        <w:t>75</w:t>
      </w:r>
      <w:r>
        <w:rPr>
          <w:rFonts w:asciiTheme="minorEastAsia" w:hAnsiTheme="minorEastAsia" w:cs="宋体" w:hint="eastAsia"/>
          <w:sz w:val="21"/>
          <w:szCs w:val="21"/>
          <w:lang w:eastAsia="zh-CN"/>
        </w:rPr>
        <w:t>条、</w:t>
      </w:r>
      <w:r>
        <w:rPr>
          <w:rFonts w:asciiTheme="minorEastAsia" w:hAnsiTheme="minorEastAsia" w:cs="宋体"/>
          <w:sz w:val="21"/>
          <w:szCs w:val="21"/>
          <w:lang w:eastAsia="zh-CN"/>
        </w:rPr>
        <w:t>82</w:t>
      </w:r>
      <w:r>
        <w:rPr>
          <w:rFonts w:asciiTheme="minorEastAsia" w:hAnsiTheme="minorEastAsia" w:cs="宋体" w:hint="eastAsia"/>
          <w:sz w:val="21"/>
          <w:szCs w:val="21"/>
          <w:lang w:eastAsia="zh-CN"/>
        </w:rPr>
        <w:t>条规定的情形。</w:t>
      </w:r>
    </w:p>
    <w:p w:rsidR="003C17E1" w:rsidRDefault="00DB07D6">
      <w:pPr>
        <w:widowControl w:val="0"/>
        <w:spacing w:after="0" w:line="460" w:lineRule="exact"/>
        <w:rPr>
          <w:rFonts w:ascii="宋体" w:eastAsia="宋体" w:hAnsi="宋体" w:cs="宋体"/>
          <w:sz w:val="21"/>
          <w:szCs w:val="21"/>
          <w:lang w:eastAsia="zh-CN"/>
        </w:rPr>
      </w:pPr>
      <w:bookmarkStart w:id="91" w:name="_Toc20776_WPSOffice_Level3"/>
      <w:r>
        <w:rPr>
          <w:rFonts w:ascii="黑体" w:eastAsia="黑体" w:hAnsi="黑体" w:cs="黑体" w:hint="eastAsia"/>
          <w:kern w:val="2"/>
          <w:sz w:val="21"/>
          <w:szCs w:val="21"/>
          <w:lang w:eastAsia="zh-CN" w:bidi="ar-SA"/>
        </w:rPr>
        <w:t>5.2.2</w:t>
      </w:r>
      <w:bookmarkEnd w:id="91"/>
      <w:r>
        <w:rPr>
          <w:rFonts w:asciiTheme="minorEastAsia" w:hAnsiTheme="minorEastAsia" w:cs="宋体" w:hint="eastAsia"/>
          <w:sz w:val="21"/>
          <w:szCs w:val="21"/>
          <w:lang w:eastAsia="zh-CN"/>
        </w:rPr>
        <w:t>企业法定代表人、企业负责人、质量负责人及其他从事药品质量管理的工作人员应符合《药品经营质量管理规范》的任职要求。</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92" w:name="_Toc15685_WPSOffice_Level3"/>
      <w:r>
        <w:rPr>
          <w:rFonts w:ascii="黑体" w:eastAsia="黑体" w:hAnsi="黑体" w:cs="黑体" w:hint="eastAsia"/>
          <w:kern w:val="2"/>
          <w:sz w:val="21"/>
          <w:szCs w:val="21"/>
          <w:lang w:eastAsia="zh-CN" w:bidi="ar-SA"/>
        </w:rPr>
        <w:t>5.2.3</w:t>
      </w:r>
      <w:bookmarkEnd w:id="92"/>
      <w:r>
        <w:rPr>
          <w:rFonts w:asciiTheme="minorEastAsia" w:hAnsiTheme="minorEastAsia" w:cs="宋体" w:hint="eastAsia"/>
          <w:sz w:val="21"/>
          <w:szCs w:val="21"/>
          <w:lang w:eastAsia="zh-CN"/>
        </w:rPr>
        <w:t>信息管理部门应配备</w:t>
      </w:r>
      <w:r>
        <w:rPr>
          <w:rFonts w:asciiTheme="minorEastAsia" w:hAnsiTheme="minorEastAsia" w:cs="宋体"/>
          <w:sz w:val="21"/>
          <w:szCs w:val="21"/>
          <w:lang w:eastAsia="zh-CN"/>
        </w:rPr>
        <w:t>2</w:t>
      </w:r>
      <w:r>
        <w:rPr>
          <w:rFonts w:asciiTheme="minorEastAsia" w:hAnsiTheme="minorEastAsia" w:cs="宋体" w:hint="eastAsia"/>
          <w:sz w:val="21"/>
          <w:szCs w:val="21"/>
          <w:lang w:eastAsia="zh-CN"/>
        </w:rPr>
        <w:t>名以上专职计算机管理人员。计算机管理人员应具备计算机相关专业大学本科及以上学历，或取得计算机网络管理员职业资格等相关中级职称证书。二年以上计算机管理工作经验。</w:t>
      </w:r>
    </w:p>
    <w:p w:rsidR="003C17E1" w:rsidRDefault="00DB07D6">
      <w:pPr>
        <w:widowControl w:val="0"/>
        <w:spacing w:after="0" w:line="460" w:lineRule="exact"/>
        <w:rPr>
          <w:rFonts w:ascii="黑体" w:eastAsia="黑体" w:hAnsi="黑体" w:cs="黑体"/>
          <w:kern w:val="2"/>
          <w:sz w:val="21"/>
          <w:szCs w:val="21"/>
          <w:lang w:eastAsia="zh-CN" w:bidi="ar-SA"/>
        </w:rPr>
      </w:pPr>
      <w:bookmarkStart w:id="93" w:name="_Toc16241_WPSOffice_Level3"/>
      <w:r>
        <w:rPr>
          <w:rFonts w:ascii="黑体" w:eastAsia="黑体" w:hAnsi="黑体" w:cs="黑体" w:hint="eastAsia"/>
          <w:kern w:val="2"/>
          <w:sz w:val="21"/>
          <w:szCs w:val="21"/>
          <w:lang w:eastAsia="zh-CN" w:bidi="ar-SA"/>
        </w:rPr>
        <w:t>5.2.4</w:t>
      </w:r>
      <w:bookmarkEnd w:id="93"/>
      <w:r>
        <w:rPr>
          <w:rFonts w:asciiTheme="minorEastAsia" w:hAnsiTheme="minorEastAsia" w:cs="宋体" w:hint="eastAsia"/>
          <w:sz w:val="21"/>
          <w:szCs w:val="21"/>
          <w:lang w:eastAsia="zh-CN"/>
        </w:rPr>
        <w:t>物流管理人员应具备物流专业大学专科及以上学历或取得物流师及以上职业资格证书。</w:t>
      </w:r>
    </w:p>
    <w:p w:rsidR="003C17E1" w:rsidRDefault="00DB07D6">
      <w:pPr>
        <w:widowControl w:val="0"/>
        <w:spacing w:after="0" w:line="460" w:lineRule="exact"/>
        <w:rPr>
          <w:rFonts w:ascii="黑体" w:eastAsia="黑体" w:hAnsi="黑体" w:cs="黑体"/>
          <w:kern w:val="2"/>
          <w:sz w:val="21"/>
          <w:szCs w:val="21"/>
          <w:lang w:eastAsia="zh-CN" w:bidi="ar-SA"/>
        </w:rPr>
      </w:pPr>
      <w:r>
        <w:rPr>
          <w:rFonts w:ascii="黑体" w:eastAsia="黑体" w:hAnsi="黑体" w:cs="黑体" w:hint="eastAsia"/>
          <w:kern w:val="2"/>
          <w:sz w:val="21"/>
          <w:szCs w:val="21"/>
          <w:lang w:eastAsia="zh-CN" w:bidi="ar-SA"/>
        </w:rPr>
        <w:t>5.2.5</w:t>
      </w:r>
      <w:r>
        <w:rPr>
          <w:rFonts w:asciiTheme="minorEastAsia" w:hAnsiTheme="minorEastAsia" w:cs="宋体" w:hint="eastAsia"/>
          <w:sz w:val="21"/>
          <w:szCs w:val="21"/>
          <w:lang w:eastAsia="zh-CN"/>
        </w:rPr>
        <w:t>异地分仓中心应配备库房管理人员、配送员等相关人员，人员要求必须符合《药品经营质量管理规范》的相关规定。直接接触药品岗位的人员应进行岗前及年度健康检查，并建立健康档案。患有传染病或者其他可能污染药品的疾病的，不得从事直接接触药品的工作。</w:t>
      </w:r>
    </w:p>
    <w:p w:rsidR="003C17E1" w:rsidRDefault="00DB07D6">
      <w:pPr>
        <w:widowControl w:val="0"/>
        <w:spacing w:after="0" w:line="460" w:lineRule="exact"/>
        <w:outlineLvl w:val="1"/>
        <w:rPr>
          <w:rFonts w:ascii="黑体" w:eastAsia="黑体" w:hAnsi="黑体" w:cs="黑体"/>
          <w:kern w:val="2"/>
          <w:sz w:val="21"/>
          <w:szCs w:val="21"/>
          <w:lang w:eastAsia="zh-CN"/>
        </w:rPr>
      </w:pPr>
      <w:bookmarkStart w:id="94" w:name="_Toc23426_WPSOffice_Level2"/>
      <w:bookmarkStart w:id="95" w:name="_Toc31800_WPSOffice_Level2"/>
      <w:bookmarkStart w:id="96" w:name="_Toc28873_WPSOffice_Level2"/>
      <w:bookmarkStart w:id="97" w:name="_Toc17888_WPSOffice_Level1"/>
      <w:bookmarkStart w:id="98" w:name="_Toc9346_WPSOffice_Level1"/>
      <w:bookmarkStart w:id="99" w:name="_Toc2948_WPSOffice_Level2"/>
      <w:r>
        <w:rPr>
          <w:rFonts w:ascii="黑体" w:eastAsia="黑体" w:hAnsi="黑体" w:cs="黑体" w:hint="eastAsia"/>
          <w:kern w:val="2"/>
          <w:sz w:val="21"/>
          <w:szCs w:val="21"/>
          <w:lang w:eastAsia="zh-CN" w:bidi="ar-SA"/>
        </w:rPr>
        <w:t xml:space="preserve">6. </w:t>
      </w:r>
      <w:r>
        <w:rPr>
          <w:rFonts w:ascii="黑体" w:eastAsia="黑体" w:hAnsi="黑体" w:cs="黑体" w:hint="eastAsia"/>
          <w:kern w:val="2"/>
          <w:sz w:val="21"/>
          <w:szCs w:val="21"/>
          <w:lang w:eastAsia="zh-CN"/>
        </w:rPr>
        <w:t>设施设备</w:t>
      </w:r>
      <w:bookmarkStart w:id="100" w:name="_Toc7664_WPSOffice_Level2"/>
      <w:bookmarkEnd w:id="94"/>
      <w:bookmarkEnd w:id="95"/>
      <w:bookmarkEnd w:id="96"/>
      <w:bookmarkEnd w:id="97"/>
      <w:bookmarkEnd w:id="98"/>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01" w:name="_Toc9836_WPSOffice_Level2"/>
      <w:bookmarkStart w:id="102" w:name="_Toc26347_WPSOffice_Level2"/>
      <w:bookmarkStart w:id="103" w:name="_Toc2278_WPSOffice_Level2"/>
      <w:bookmarkStart w:id="104" w:name="_Toc13422_WPSOffice_Level2"/>
      <w:r>
        <w:rPr>
          <w:rFonts w:ascii="黑体" w:eastAsia="黑体" w:hAnsi="黑体" w:cs="黑体" w:hint="eastAsia"/>
          <w:kern w:val="2"/>
          <w:sz w:val="21"/>
          <w:szCs w:val="21"/>
          <w:lang w:eastAsia="zh-CN" w:bidi="ar-SA"/>
        </w:rPr>
        <w:t>6.1</w:t>
      </w:r>
      <w:bookmarkEnd w:id="101"/>
      <w:bookmarkEnd w:id="102"/>
      <w:bookmarkEnd w:id="103"/>
      <w:r>
        <w:rPr>
          <w:rFonts w:ascii="黑体" w:eastAsia="黑体" w:hAnsi="黑体" w:cs="黑体" w:hint="eastAsia"/>
          <w:kern w:val="2"/>
          <w:sz w:val="21"/>
          <w:szCs w:val="21"/>
          <w:lang w:eastAsia="zh-CN" w:bidi="ar-SA"/>
        </w:rPr>
        <w:t>仓储设施设备</w:t>
      </w:r>
      <w:bookmarkEnd w:id="104"/>
    </w:p>
    <w:p w:rsidR="003C17E1" w:rsidRDefault="00DB07D6">
      <w:pPr>
        <w:widowControl w:val="0"/>
        <w:spacing w:after="0" w:line="460" w:lineRule="exact"/>
        <w:outlineLvl w:val="1"/>
        <w:rPr>
          <w:rFonts w:ascii="黑体" w:eastAsia="黑体" w:hAnsi="黑体" w:cs="黑体"/>
          <w:kern w:val="2"/>
          <w:sz w:val="21"/>
          <w:szCs w:val="21"/>
          <w:lang w:eastAsia="zh-CN" w:bidi="ar-SA"/>
        </w:rPr>
      </w:pPr>
      <w:r>
        <w:rPr>
          <w:rFonts w:ascii="黑体" w:eastAsia="黑体" w:hAnsi="黑体" w:cs="黑体" w:hint="eastAsia"/>
          <w:kern w:val="2"/>
          <w:sz w:val="21"/>
          <w:szCs w:val="21"/>
          <w:lang w:eastAsia="zh-CN" w:bidi="ar-SA"/>
        </w:rPr>
        <w:t>6.1.1物流总仓设施设备要求</w:t>
      </w:r>
    </w:p>
    <w:bookmarkEnd w:id="99"/>
    <w:bookmarkEnd w:id="100"/>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6.1.1.1</w:t>
      </w:r>
      <w:r>
        <w:rPr>
          <w:rFonts w:asciiTheme="minorEastAsia" w:hAnsiTheme="minorEastAsia" w:cs="宋体" w:hint="eastAsia"/>
          <w:sz w:val="21"/>
          <w:szCs w:val="21"/>
          <w:lang w:eastAsia="zh-CN"/>
        </w:rPr>
        <w:t>企业仓储面积不少于10000平方米，其中，阴凉库面积不少于5000平方米。还应配备两个以上独立冷库，冷库的总容积不少于500立方米，并设有缓冲库（区），以实现冷库与冷藏车无缝对接。</w:t>
      </w:r>
    </w:p>
    <w:p w:rsidR="003C17E1" w:rsidRDefault="00DB07D6">
      <w:pPr>
        <w:widowControl w:val="0"/>
        <w:spacing w:after="0" w:line="460" w:lineRule="exact"/>
        <w:outlineLvl w:val="1"/>
        <w:rPr>
          <w:rFonts w:asciiTheme="minorEastAsia" w:hAnsiTheme="minorEastAsia" w:cs="宋体"/>
          <w:sz w:val="21"/>
          <w:szCs w:val="21"/>
          <w:lang w:eastAsia="zh-CN"/>
        </w:rPr>
      </w:pPr>
      <w:bookmarkStart w:id="105" w:name="_Toc14234_WPSOffice_Level2"/>
      <w:r>
        <w:rPr>
          <w:rFonts w:ascii="黑体" w:eastAsia="黑体" w:hAnsi="黑体" w:cs="黑体" w:hint="eastAsia"/>
          <w:kern w:val="2"/>
          <w:sz w:val="21"/>
          <w:szCs w:val="21"/>
          <w:lang w:eastAsia="zh-CN" w:bidi="ar-SA"/>
        </w:rPr>
        <w:t>6.1.1.2</w:t>
      </w:r>
      <w:r>
        <w:rPr>
          <w:rFonts w:asciiTheme="minorEastAsia" w:hAnsiTheme="minorEastAsia" w:cs="宋体" w:hint="eastAsia"/>
          <w:sz w:val="21"/>
          <w:szCs w:val="21"/>
          <w:lang w:eastAsia="zh-CN"/>
        </w:rPr>
        <w:t>企业应具备自动化立体仓库（AS/RS）或高架仓库</w:t>
      </w:r>
      <w:bookmarkEnd w:id="105"/>
      <w:r>
        <w:rPr>
          <w:rFonts w:asciiTheme="minorEastAsia" w:hAnsiTheme="minorEastAsia" w:cs="宋体" w:hint="eastAsia"/>
          <w:sz w:val="21"/>
          <w:szCs w:val="21"/>
          <w:lang w:eastAsia="zh-CN"/>
        </w:rPr>
        <w:t>，自动化立体仓库高度不低于15米，堆垛机不少于3台。高架仓库应采用重型组合式货架，货架高度不低于6米，不少于4层，每层层高不低于1.5米。电动叉车不少于2台。</w:t>
      </w:r>
    </w:p>
    <w:p w:rsidR="003C17E1" w:rsidRDefault="00DB07D6">
      <w:pPr>
        <w:widowControl w:val="0"/>
        <w:spacing w:after="0" w:line="460" w:lineRule="exact"/>
        <w:outlineLvl w:val="1"/>
        <w:rPr>
          <w:rFonts w:ascii="黑体" w:eastAsia="黑体" w:hAnsi="黑体" w:cs="黑体"/>
          <w:kern w:val="2"/>
          <w:sz w:val="21"/>
          <w:szCs w:val="21"/>
          <w:lang w:eastAsia="zh-CN" w:bidi="ar-SA"/>
        </w:rPr>
      </w:pPr>
      <w:r>
        <w:rPr>
          <w:rFonts w:ascii="黑体" w:eastAsia="黑体" w:hAnsi="黑体" w:cs="黑体" w:hint="eastAsia"/>
          <w:kern w:val="2"/>
          <w:sz w:val="21"/>
          <w:szCs w:val="21"/>
          <w:lang w:eastAsia="zh-CN" w:bidi="ar-SA"/>
        </w:rPr>
        <w:t>6.1.1.3</w:t>
      </w:r>
      <w:r>
        <w:rPr>
          <w:rFonts w:asciiTheme="minorEastAsia" w:hAnsiTheme="minorEastAsia" w:cs="宋体" w:hint="eastAsia"/>
          <w:sz w:val="21"/>
          <w:szCs w:val="21"/>
          <w:lang w:eastAsia="zh-CN"/>
        </w:rPr>
        <w:t>储存区标准托盘货位数量不少于5000个。拆零拣选货位不少于7000个。</w:t>
      </w:r>
    </w:p>
    <w:p w:rsidR="003C17E1" w:rsidRDefault="00DB07D6">
      <w:pPr>
        <w:widowControl w:val="0"/>
        <w:spacing w:after="0" w:line="460" w:lineRule="exact"/>
        <w:outlineLvl w:val="1"/>
        <w:rPr>
          <w:rFonts w:ascii="黑体" w:eastAsia="黑体" w:hAnsi="黑体" w:cs="黑体"/>
          <w:kern w:val="2"/>
          <w:sz w:val="21"/>
          <w:szCs w:val="21"/>
          <w:lang w:eastAsia="zh-CN" w:bidi="ar-SA"/>
        </w:rPr>
      </w:pPr>
      <w:r>
        <w:rPr>
          <w:rFonts w:ascii="黑体" w:eastAsia="黑体" w:hAnsi="黑体" w:cs="黑体" w:hint="eastAsia"/>
          <w:kern w:val="2"/>
          <w:sz w:val="21"/>
          <w:szCs w:val="21"/>
          <w:lang w:eastAsia="zh-CN" w:bidi="ar-SA"/>
        </w:rPr>
        <w:t>6.1.1.4</w:t>
      </w:r>
      <w:r>
        <w:rPr>
          <w:rFonts w:asciiTheme="minorEastAsia" w:hAnsiTheme="minorEastAsia" w:cs="宋体" w:hint="eastAsia"/>
          <w:sz w:val="21"/>
          <w:szCs w:val="21"/>
          <w:lang w:eastAsia="zh-CN"/>
        </w:rPr>
        <w:t>采用条型码扫描设备不少于10台，实现药品收货、验收、上架、出库复核等作业</w:t>
      </w:r>
      <w:r>
        <w:rPr>
          <w:rFonts w:asciiTheme="minorEastAsia" w:hAnsiTheme="minorEastAsia" w:cs="宋体" w:hint="eastAsia"/>
          <w:sz w:val="21"/>
          <w:szCs w:val="21"/>
          <w:lang w:eastAsia="zh-CN"/>
        </w:rPr>
        <w:lastRenderedPageBreak/>
        <w:t>管理。</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6.1.1.5</w:t>
      </w:r>
      <w:r>
        <w:rPr>
          <w:rFonts w:asciiTheme="minorEastAsia" w:hAnsiTheme="minorEastAsia" w:cs="宋体" w:hint="eastAsia"/>
          <w:sz w:val="21"/>
          <w:szCs w:val="21"/>
          <w:lang w:eastAsia="zh-CN"/>
        </w:rPr>
        <w:t>采用无纸化拣货系统（含无线射频技术、电子标签拣零等）和自动分拣机等设备进行分拣。采用自动分拣机的，滑道数能够与分拣作业量及配送客户数相适应；采用电子标签辅助拣货系统的，电子标签数量能够与拆零拣选业务相适应，且不少于300枚的电子标签，实现对每个拣选货位的操作指示。</w:t>
      </w:r>
    </w:p>
    <w:p w:rsidR="003C17E1" w:rsidRDefault="00DB07D6">
      <w:pPr>
        <w:widowControl w:val="0"/>
        <w:spacing w:after="0" w:line="460" w:lineRule="exact"/>
        <w:outlineLvl w:val="1"/>
        <w:rPr>
          <w:rFonts w:ascii="黑体" w:eastAsia="黑体" w:hAnsi="黑体" w:cs="黑体"/>
          <w:kern w:val="2"/>
          <w:sz w:val="21"/>
          <w:szCs w:val="21"/>
          <w:lang w:eastAsia="zh-CN" w:bidi="ar-SA"/>
        </w:rPr>
      </w:pPr>
      <w:r>
        <w:rPr>
          <w:rFonts w:ascii="黑体" w:eastAsia="黑体" w:hAnsi="黑体" w:cs="黑体" w:hint="eastAsia"/>
          <w:kern w:val="2"/>
          <w:sz w:val="21"/>
          <w:szCs w:val="21"/>
          <w:lang w:eastAsia="zh-CN" w:bidi="ar-SA"/>
        </w:rPr>
        <w:t>6.1.1.6</w:t>
      </w:r>
      <w:r>
        <w:rPr>
          <w:rFonts w:asciiTheme="minorEastAsia" w:hAnsiTheme="minorEastAsia" w:cs="宋体" w:hint="eastAsia"/>
          <w:sz w:val="21"/>
          <w:szCs w:val="21"/>
          <w:lang w:eastAsia="zh-CN"/>
        </w:rPr>
        <w:t>通过动力输送线连接储存区、拣选作业区、集货区等区域，实现物流中心各作业环节不间断的自动输送。</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6.1.1.7</w:t>
      </w:r>
      <w:r>
        <w:rPr>
          <w:rFonts w:asciiTheme="minorEastAsia" w:hAnsiTheme="minorEastAsia" w:cs="宋体" w:hint="eastAsia"/>
          <w:sz w:val="21"/>
          <w:szCs w:val="21"/>
          <w:lang w:eastAsia="zh-CN"/>
        </w:rPr>
        <w:t>包括但不限于仓库温湿度自动监测、控制设备、记录、报警设备、库区视频监控设备等，实现对仓储条件和整个物流作业实时录像、实时监控、实时处置的功能，跟踪、追溯库区内药品质量管理行为过程。</w:t>
      </w:r>
    </w:p>
    <w:p w:rsidR="003C17E1" w:rsidRDefault="00DB07D6">
      <w:pPr>
        <w:widowControl w:val="0"/>
        <w:spacing w:after="0" w:line="460" w:lineRule="exact"/>
        <w:outlineLvl w:val="1"/>
        <w:rPr>
          <w:rFonts w:ascii="黑体" w:eastAsia="黑体" w:hAnsi="黑体" w:cs="黑体"/>
          <w:kern w:val="2"/>
          <w:sz w:val="21"/>
          <w:szCs w:val="21"/>
          <w:lang w:eastAsia="zh-CN" w:bidi="ar-SA"/>
        </w:rPr>
      </w:pPr>
      <w:r>
        <w:rPr>
          <w:rFonts w:ascii="黑体" w:eastAsia="黑体" w:hAnsi="黑体" w:cs="黑体" w:hint="eastAsia"/>
          <w:kern w:val="2"/>
          <w:sz w:val="21"/>
          <w:szCs w:val="21"/>
          <w:lang w:eastAsia="zh-CN" w:bidi="ar-SA"/>
        </w:rPr>
        <w:t>6.1.1.8</w:t>
      </w:r>
      <w:r>
        <w:rPr>
          <w:rFonts w:asciiTheme="minorEastAsia" w:hAnsiTheme="minorEastAsia" w:cs="宋体" w:hint="eastAsia"/>
          <w:sz w:val="21"/>
          <w:szCs w:val="21"/>
          <w:lang w:eastAsia="zh-CN"/>
        </w:rPr>
        <w:t>企业仓库供电须采用双回路供电系统或配备相匹配的备用发电机组，具备突发情况下的电力保障功能。</w:t>
      </w:r>
    </w:p>
    <w:p w:rsidR="003C17E1" w:rsidRDefault="00DB07D6">
      <w:pPr>
        <w:widowControl w:val="0"/>
        <w:spacing w:after="0" w:line="460" w:lineRule="exact"/>
        <w:outlineLvl w:val="1"/>
        <w:rPr>
          <w:rFonts w:ascii="黑体" w:eastAsia="黑体" w:hAnsi="黑体" w:cs="黑体"/>
          <w:kern w:val="2"/>
          <w:sz w:val="21"/>
          <w:szCs w:val="21"/>
          <w:lang w:eastAsia="zh-CN" w:bidi="ar-SA"/>
        </w:rPr>
      </w:pPr>
      <w:r>
        <w:rPr>
          <w:rFonts w:ascii="黑体" w:eastAsia="黑体" w:hAnsi="黑体" w:cs="黑体" w:hint="eastAsia"/>
          <w:kern w:val="2"/>
          <w:sz w:val="21"/>
          <w:szCs w:val="21"/>
          <w:lang w:eastAsia="zh-CN" w:bidi="ar-SA"/>
        </w:rPr>
        <w:t>6.1.2异地分仓中心仓库设施设备要求</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6.1.2.1</w:t>
      </w:r>
      <w:r>
        <w:rPr>
          <w:rFonts w:asciiTheme="minorEastAsia" w:hAnsiTheme="minorEastAsia" w:cs="宋体" w:hint="eastAsia"/>
          <w:sz w:val="21"/>
          <w:szCs w:val="21"/>
          <w:lang w:eastAsia="zh-CN"/>
        </w:rPr>
        <w:t>分仓中心仓库应设在交通便利的场所，不得设在居民区内，内墙、地面、顶棚应做到平整、光滑、无脱落物、无裂痕、霉斑和水浸渍，门窗结构严密，库区周围应做到卫生、整洁、无杂草、无粉尘、有害气体等污染源。</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6.1.2.2</w:t>
      </w:r>
      <w:r>
        <w:rPr>
          <w:rFonts w:asciiTheme="minorEastAsia" w:hAnsiTheme="minorEastAsia" w:cs="宋体" w:hint="eastAsia"/>
          <w:sz w:val="21"/>
          <w:szCs w:val="21"/>
          <w:lang w:eastAsia="zh-CN"/>
        </w:rPr>
        <w:t>分仓中心仓库仓储面积与委托储存配送的规模相适应，并符合《药品经营质量管理规范》的相关要求。</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6.1.2.3</w:t>
      </w:r>
      <w:r>
        <w:rPr>
          <w:rFonts w:asciiTheme="minorEastAsia" w:hAnsiTheme="minorEastAsia" w:cs="宋体" w:hint="eastAsia"/>
          <w:sz w:val="21"/>
          <w:szCs w:val="21"/>
          <w:lang w:eastAsia="zh-CN"/>
        </w:rPr>
        <w:t>分仓中心仓库应设置适宜药品分类保管和符合药品储存要求的常温库、阴凉库、冷库。仓库内应配置与经营规模相适应的设备。</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6.1.2.4</w:t>
      </w:r>
      <w:r>
        <w:rPr>
          <w:rFonts w:asciiTheme="minorEastAsia" w:hAnsiTheme="minorEastAsia" w:cs="宋体" w:hint="eastAsia"/>
          <w:sz w:val="21"/>
          <w:szCs w:val="21"/>
          <w:lang w:eastAsia="zh-CN"/>
        </w:rPr>
        <w:t>分仓中心仓库应配备药品储存温湿度自动监测系统，可实现24小时自动持续监测库区温湿度、自动记录温湿度数据，并能实现温湿度出现异常时自动报警功能。</w:t>
      </w:r>
    </w:p>
    <w:p w:rsidR="003C17E1" w:rsidRDefault="00DB07D6">
      <w:pPr>
        <w:widowControl w:val="0"/>
        <w:spacing w:after="0" w:line="460" w:lineRule="exact"/>
        <w:outlineLvl w:val="1"/>
        <w:rPr>
          <w:rFonts w:asciiTheme="minorEastAsia" w:hAnsiTheme="minorEastAsia" w:cs="宋体"/>
          <w:sz w:val="21"/>
          <w:szCs w:val="21"/>
          <w:lang w:eastAsia="zh-CN"/>
        </w:rPr>
      </w:pPr>
      <w:bookmarkStart w:id="106" w:name="_Toc17075_WPSOffice_Level2"/>
      <w:r>
        <w:rPr>
          <w:rFonts w:ascii="黑体" w:eastAsia="黑体" w:hAnsi="黑体" w:cs="黑体" w:hint="eastAsia"/>
          <w:kern w:val="2"/>
          <w:sz w:val="21"/>
          <w:szCs w:val="21"/>
          <w:lang w:eastAsia="zh-CN" w:bidi="ar-SA"/>
        </w:rPr>
        <w:t>6.2.配送设施设备</w:t>
      </w:r>
      <w:bookmarkEnd w:id="106"/>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6.2.1</w:t>
      </w:r>
      <w:r>
        <w:rPr>
          <w:rFonts w:asciiTheme="minorEastAsia" w:hAnsiTheme="minorEastAsia" w:cs="宋体" w:hint="eastAsia"/>
          <w:sz w:val="21"/>
          <w:szCs w:val="21"/>
          <w:lang w:eastAsia="zh-CN"/>
        </w:rPr>
        <w:t>企业应配备自有专用密闭式运输车辆不少于30辆。</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6.2.2</w:t>
      </w:r>
      <w:r>
        <w:rPr>
          <w:rFonts w:asciiTheme="minorEastAsia" w:hAnsiTheme="minorEastAsia" w:cs="宋体" w:hint="eastAsia"/>
          <w:sz w:val="21"/>
          <w:szCs w:val="21"/>
          <w:lang w:eastAsia="zh-CN"/>
        </w:rPr>
        <w:t>企业应配备自有冷藏车不少于10辆，且冷藏车总容积不少于100立方米。冷藏车应配置车载温湿度自动监控设备及远程数据传输系统，对车辆进行实时监控、调控车内温湿度，并储存、上传监控数据。其中配置独立制冷系统的冷藏车不少于2辆。</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6.2.3</w:t>
      </w:r>
      <w:r>
        <w:rPr>
          <w:rFonts w:asciiTheme="minorEastAsia" w:hAnsiTheme="minorEastAsia" w:cs="宋体" w:hint="eastAsia"/>
          <w:sz w:val="21"/>
          <w:szCs w:val="21"/>
          <w:lang w:eastAsia="zh-CN"/>
        </w:rPr>
        <w:t>企业应配备与委托配送规模相适应的车载冷冻设备、冷藏箱或保温箱。</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6.2.4</w:t>
      </w:r>
      <w:r>
        <w:rPr>
          <w:rFonts w:asciiTheme="minorEastAsia" w:hAnsiTheme="minorEastAsia" w:cs="宋体" w:hint="eastAsia"/>
          <w:sz w:val="21"/>
          <w:szCs w:val="21"/>
          <w:lang w:eastAsia="zh-CN"/>
        </w:rPr>
        <w:t>冷藏车、车载冷冻设备、冷藏箱或保温箱等的技术性能应符合《药品经营质量管理规</w:t>
      </w:r>
      <w:r>
        <w:rPr>
          <w:rFonts w:asciiTheme="minorEastAsia" w:hAnsiTheme="minorEastAsia" w:cs="宋体" w:hint="eastAsia"/>
          <w:sz w:val="21"/>
          <w:szCs w:val="21"/>
          <w:lang w:eastAsia="zh-CN"/>
        </w:rPr>
        <w:lastRenderedPageBreak/>
        <w:t>范》等规定要求并经验证。</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6.2.5</w:t>
      </w:r>
      <w:r>
        <w:rPr>
          <w:rFonts w:asciiTheme="minorEastAsia" w:hAnsiTheme="minorEastAsia" w:cs="宋体" w:hint="eastAsia"/>
          <w:sz w:val="21"/>
          <w:szCs w:val="21"/>
          <w:lang w:eastAsia="zh-CN"/>
        </w:rPr>
        <w:t>企业运输车辆应配置卫星定位系统，可实现对车辆运输状态实时监控，并储存、上传监控数据。</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6.2.6</w:t>
      </w:r>
      <w:r>
        <w:rPr>
          <w:rFonts w:asciiTheme="minorEastAsia" w:hAnsiTheme="minorEastAsia" w:cs="宋体" w:hint="eastAsia"/>
          <w:sz w:val="21"/>
          <w:szCs w:val="21"/>
          <w:lang w:eastAsia="zh-CN"/>
        </w:rPr>
        <w:t>企业运输车辆、冷冻设备、冷藏箱或保温箱应编号管理，并统一外观标识。</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6.2.7</w:t>
      </w:r>
      <w:r>
        <w:rPr>
          <w:rFonts w:asciiTheme="minorEastAsia" w:hAnsiTheme="minorEastAsia" w:cs="宋体" w:hint="eastAsia"/>
          <w:sz w:val="21"/>
          <w:szCs w:val="21"/>
          <w:lang w:eastAsia="zh-CN"/>
        </w:rPr>
        <w:t>企业应对所使用的药品运输车辆及相关设施设备进行定期检查、维修和保养并建立档案。</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07" w:name="_Toc14808_WPSOffice_Level2"/>
      <w:bookmarkStart w:id="108" w:name="_Toc8660_WPSOffice_Level2"/>
      <w:bookmarkStart w:id="109" w:name="_Toc20776_WPSOffice_Level2"/>
      <w:bookmarkStart w:id="110" w:name="_Toc28917_WPSOffice_Level1"/>
      <w:bookmarkStart w:id="111" w:name="_Toc29071_WPSOffice_Level1"/>
      <w:r>
        <w:rPr>
          <w:rFonts w:ascii="黑体" w:eastAsia="黑体" w:hAnsi="黑体" w:cs="黑体" w:hint="eastAsia"/>
          <w:kern w:val="2"/>
          <w:sz w:val="21"/>
          <w:szCs w:val="21"/>
          <w:lang w:eastAsia="zh-CN" w:bidi="ar-SA"/>
        </w:rPr>
        <w:t>7. 信息管理系统</w:t>
      </w:r>
      <w:bookmarkEnd w:id="107"/>
      <w:bookmarkEnd w:id="108"/>
      <w:bookmarkEnd w:id="109"/>
      <w:bookmarkEnd w:id="110"/>
      <w:bookmarkEnd w:id="111"/>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12" w:name="_Toc20598_WPSOffice_Level2"/>
      <w:r>
        <w:rPr>
          <w:rFonts w:ascii="黑体" w:eastAsia="黑体" w:hAnsi="黑体" w:cs="黑体" w:hint="eastAsia"/>
          <w:kern w:val="2"/>
          <w:sz w:val="21"/>
          <w:szCs w:val="21"/>
          <w:lang w:eastAsia="zh-CN" w:bidi="ar-SA"/>
        </w:rPr>
        <w:t>7.1药品委托储存信息管理系统要求</w:t>
      </w:r>
      <w:bookmarkEnd w:id="112"/>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7.1.1</w:t>
      </w:r>
      <w:r>
        <w:rPr>
          <w:rFonts w:asciiTheme="minorEastAsia" w:hAnsiTheme="minorEastAsia" w:cs="宋体" w:hint="eastAsia"/>
          <w:sz w:val="21"/>
          <w:szCs w:val="21"/>
          <w:lang w:eastAsia="zh-CN"/>
        </w:rPr>
        <w:t>企业应当至少配备两套互备的服务器系统（双机热备），共同执行同一服务，实现无人工干预持续提供服务。同时配备不间断电源和独立的存储设备。</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7.1.2</w:t>
      </w:r>
      <w:r>
        <w:rPr>
          <w:rFonts w:asciiTheme="minorEastAsia" w:hAnsiTheme="minorEastAsia" w:cs="宋体" w:hint="eastAsia"/>
          <w:sz w:val="21"/>
          <w:szCs w:val="21"/>
          <w:lang w:eastAsia="zh-CN"/>
        </w:rPr>
        <w:t>企业操作系统软件、数据库软件、网络安全与应用安全管理软件等计算机软件应满足业务安全运行的要求。</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7.1.3</w:t>
      </w:r>
      <w:r>
        <w:rPr>
          <w:rFonts w:asciiTheme="minorEastAsia" w:hAnsiTheme="minorEastAsia" w:cs="宋体" w:hint="eastAsia"/>
          <w:sz w:val="21"/>
          <w:szCs w:val="21"/>
          <w:lang w:eastAsia="zh-CN"/>
        </w:rPr>
        <w:t>计算机管理系统应当有固定接入互联网的方式。网络交换机有防入侵网关，服务器和计算机应安装防病毒软件。</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7.1.4</w:t>
      </w:r>
      <w:r>
        <w:rPr>
          <w:rFonts w:asciiTheme="minorEastAsia" w:hAnsiTheme="minorEastAsia" w:cs="宋体" w:hint="eastAsia"/>
          <w:sz w:val="21"/>
          <w:szCs w:val="21"/>
          <w:lang w:eastAsia="zh-CN"/>
        </w:rPr>
        <w:t>计算机管理系统应支持在质量管理部门的有效监督下，建立和维护委托企业、委托药品、客户（含委托企业供应商及销售客户）资料等基础数据。还应支持不同委托企业的货物管理，具备组织架构定义、人员管理、权限定义、人员授权等系统管理功能，保证不同委托企业的数据、记录互不干扰和混淆。</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7.1.5</w:t>
      </w:r>
      <w:r>
        <w:rPr>
          <w:rFonts w:asciiTheme="minorEastAsia" w:hAnsiTheme="minorEastAsia" w:cs="宋体" w:hint="eastAsia"/>
          <w:sz w:val="21"/>
          <w:szCs w:val="21"/>
          <w:lang w:eastAsia="zh-CN"/>
        </w:rPr>
        <w:t>企业应配置仓储管理系统（WMS）和电子数据交换平台（EDI），实现与委托企业的计算机管理系统（ERP）的数据进行有效对接，支持物流作业数据在委托企业、受托企业之间进行信息交换，支撑物流作业的开展。</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7.1.6</w:t>
      </w:r>
      <w:r>
        <w:rPr>
          <w:rFonts w:asciiTheme="minorEastAsia" w:hAnsiTheme="minorEastAsia" w:cs="宋体" w:hint="eastAsia"/>
          <w:sz w:val="21"/>
          <w:szCs w:val="21"/>
          <w:lang w:eastAsia="zh-CN"/>
        </w:rPr>
        <w:t>企业仓储管理系统（WMS）应对在库药品的分类、存放和相关信息的检索以及对药品的收货验收、在库养护、出库复核进行记录和管理，实现各作业环节自动、连续物流流转，对质量情况能够进行及时准确的记录。</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7.1.7</w:t>
      </w:r>
      <w:r>
        <w:rPr>
          <w:rFonts w:asciiTheme="minorEastAsia" w:hAnsiTheme="minorEastAsia" w:cs="宋体" w:hint="eastAsia"/>
          <w:sz w:val="21"/>
          <w:szCs w:val="21"/>
          <w:lang w:eastAsia="zh-CN"/>
        </w:rPr>
        <w:t>企业电子数据交换平台（EDI）应支持接受委托企业的信息系统作业指令，完成委托企业药品入出库及管理全过程作业指令无缝对接，有效运用基础数据实现药品收货验收、入库、出库、运输、退货等全过程质量管理和控制，并具备全程货物查询、追溯功能，确保实现药品信息的有效追溯。电子数据交换平台（EDI）还应具备接受在途运输的轨迹和温度以及签收信息的数据回传，便于委托企业实现全程可视化的风险控制要求，具备将信息数据分</w:t>
      </w:r>
      <w:r>
        <w:rPr>
          <w:rFonts w:asciiTheme="minorEastAsia" w:hAnsiTheme="minorEastAsia" w:cs="宋体" w:hint="eastAsia"/>
          <w:sz w:val="21"/>
          <w:szCs w:val="21"/>
          <w:lang w:eastAsia="zh-CN"/>
        </w:rPr>
        <w:lastRenderedPageBreak/>
        <w:t>发给委托企业、收货企业的消息分发功能，并且可独立设置报警。</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7.1.8</w:t>
      </w:r>
      <w:r>
        <w:rPr>
          <w:rFonts w:asciiTheme="minorEastAsia" w:hAnsiTheme="minorEastAsia" w:cs="宋体" w:hint="eastAsia"/>
          <w:sz w:val="21"/>
          <w:szCs w:val="21"/>
          <w:lang w:eastAsia="zh-CN"/>
        </w:rPr>
        <w:t>企业应配置符合《药品经营质量管理规范》规定的仓库温湿度监测系统，对药品所有仓库温湿度实时监测及记录，并按要求进行备份。</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7.1.9</w:t>
      </w:r>
      <w:r>
        <w:rPr>
          <w:rFonts w:asciiTheme="minorEastAsia" w:hAnsiTheme="minorEastAsia" w:cs="宋体" w:hint="eastAsia"/>
          <w:sz w:val="21"/>
          <w:szCs w:val="21"/>
          <w:lang w:eastAsia="zh-CN"/>
        </w:rPr>
        <w:t>计算机数据备份应符合《药品经营质量管理规范》要求。</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13" w:name="_Toc420_WPSOffice_Level2"/>
      <w:r>
        <w:rPr>
          <w:rFonts w:ascii="黑体" w:eastAsia="黑体" w:hAnsi="黑体" w:cs="黑体" w:hint="eastAsia"/>
          <w:kern w:val="2"/>
          <w:sz w:val="21"/>
          <w:szCs w:val="21"/>
          <w:lang w:eastAsia="zh-CN" w:bidi="ar-SA"/>
        </w:rPr>
        <w:t>7.2药品委托配送信息管理系统要求</w:t>
      </w:r>
      <w:bookmarkEnd w:id="113"/>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7.2.1</w:t>
      </w:r>
      <w:r>
        <w:rPr>
          <w:rFonts w:asciiTheme="minorEastAsia" w:hAnsiTheme="minorEastAsia" w:cs="宋体" w:hint="eastAsia"/>
          <w:sz w:val="21"/>
          <w:szCs w:val="21"/>
          <w:lang w:eastAsia="zh-CN"/>
        </w:rPr>
        <w:t>企业应配备运输管理系统（TMS），具备对药品运输计划、品种、数量、批号、工具、人员、过程、发货时间、到货时间、签收以及冷链药品温度等，进行跟踪、记录、调度的功能，并符合《药品经营质量管理规范》要求。</w:t>
      </w:r>
    </w:p>
    <w:p w:rsidR="003C17E1" w:rsidRDefault="00DB07D6">
      <w:pPr>
        <w:widowControl w:val="0"/>
        <w:spacing w:after="0" w:line="460" w:lineRule="exact"/>
        <w:outlineLvl w:val="1"/>
        <w:rPr>
          <w:rFonts w:asciiTheme="minorEastAsia" w:hAnsiTheme="minorEastAsia" w:cs="宋体"/>
          <w:sz w:val="21"/>
          <w:szCs w:val="21"/>
          <w:lang w:eastAsia="zh-CN"/>
        </w:rPr>
      </w:pPr>
      <w:bookmarkStart w:id="114" w:name="_Toc4647_WPSOffice_Level2"/>
      <w:r>
        <w:rPr>
          <w:rFonts w:ascii="黑体" w:eastAsia="黑体" w:hAnsi="黑体" w:cs="黑体" w:hint="eastAsia"/>
          <w:kern w:val="2"/>
          <w:sz w:val="21"/>
          <w:szCs w:val="21"/>
          <w:lang w:eastAsia="zh-CN" w:bidi="ar-SA"/>
        </w:rPr>
        <w:t>7.3异地分仓中心信息管理系统要求</w:t>
      </w:r>
      <w:bookmarkEnd w:id="114"/>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7.3.1</w:t>
      </w:r>
      <w:r>
        <w:rPr>
          <w:rFonts w:asciiTheme="minorEastAsia" w:hAnsiTheme="minorEastAsia" w:cs="宋体" w:hint="eastAsia"/>
          <w:sz w:val="21"/>
          <w:szCs w:val="21"/>
          <w:lang w:eastAsia="zh-CN"/>
        </w:rPr>
        <w:t>异地分仓中心信息管理系统要与物流总仓信息管理系统互联互通，实现统一信息管理，统一质量控制。</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7.3.2</w:t>
      </w:r>
      <w:r>
        <w:rPr>
          <w:rFonts w:asciiTheme="minorEastAsia" w:hAnsiTheme="minorEastAsia" w:cs="宋体" w:hint="eastAsia"/>
          <w:sz w:val="21"/>
          <w:szCs w:val="21"/>
          <w:lang w:eastAsia="zh-CN"/>
        </w:rPr>
        <w:t>异地分仓中心应具备仓储管理系统（WMS）、温湿度自动监测系统、物流订单可视化系统等，为药品委托储存配送工作提供支持。</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7.3.3</w:t>
      </w:r>
      <w:r>
        <w:rPr>
          <w:rFonts w:asciiTheme="minorEastAsia" w:hAnsiTheme="minorEastAsia" w:cs="宋体" w:hint="eastAsia"/>
          <w:sz w:val="21"/>
          <w:szCs w:val="21"/>
          <w:lang w:eastAsia="zh-CN"/>
        </w:rPr>
        <w:t>物流订单可视化系统要求实现物流总仓与异地分仓中心库存分布可视化，订单的库存数量在异地分仓中心均可查询与体现跟踪。</w:t>
      </w:r>
    </w:p>
    <w:p w:rsidR="003C17E1" w:rsidRDefault="00DB07D6">
      <w:pPr>
        <w:widowControl w:val="0"/>
        <w:spacing w:after="0" w:line="460" w:lineRule="exact"/>
        <w:ind w:firstLineChars="200" w:firstLine="420"/>
        <w:outlineLvl w:val="1"/>
        <w:rPr>
          <w:rFonts w:asciiTheme="minorEastAsia" w:hAnsiTheme="minorEastAsia" w:cs="宋体"/>
          <w:sz w:val="21"/>
          <w:szCs w:val="21"/>
          <w:lang w:eastAsia="zh-CN"/>
        </w:rPr>
      </w:pPr>
      <w:r>
        <w:rPr>
          <w:rFonts w:asciiTheme="minorEastAsia" w:hAnsiTheme="minorEastAsia" w:cs="宋体" w:hint="eastAsia"/>
          <w:sz w:val="21"/>
          <w:szCs w:val="21"/>
          <w:lang w:eastAsia="zh-CN"/>
        </w:rPr>
        <w:t>物流订单可视化系统对物流总仓订单的开票、出库、复核、装车、配送、车辆定位与签收等各节点进行全程监控，实时回传。</w:t>
      </w:r>
    </w:p>
    <w:p w:rsidR="003C17E1" w:rsidRDefault="00DB07D6">
      <w:pPr>
        <w:widowControl w:val="0"/>
        <w:spacing w:after="0" w:line="460" w:lineRule="exact"/>
        <w:ind w:firstLineChars="200" w:firstLine="420"/>
        <w:outlineLvl w:val="1"/>
        <w:rPr>
          <w:rFonts w:asciiTheme="minorEastAsia" w:hAnsiTheme="minorEastAsia" w:cs="宋体"/>
          <w:sz w:val="21"/>
          <w:szCs w:val="21"/>
          <w:lang w:eastAsia="zh-CN"/>
        </w:rPr>
      </w:pPr>
      <w:r>
        <w:rPr>
          <w:rFonts w:asciiTheme="minorEastAsia" w:hAnsiTheme="minorEastAsia" w:cs="宋体" w:hint="eastAsia"/>
          <w:sz w:val="21"/>
          <w:szCs w:val="21"/>
          <w:lang w:eastAsia="zh-CN"/>
        </w:rPr>
        <w:t>物流订单可视化系统还应对异地分仓中心的转仓入库暂存、分配送的分调度、运输分派车、配送及异地分仓中心配送的车辆定位、实时签收情况等进行全程追溯与可视化，实现物流总仓和异地分仓中心一体化物流跟踪。</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7.3.4</w:t>
      </w:r>
      <w:r>
        <w:rPr>
          <w:rFonts w:asciiTheme="minorEastAsia" w:hAnsiTheme="minorEastAsia" w:cs="宋体" w:hint="eastAsia"/>
          <w:sz w:val="21"/>
          <w:szCs w:val="21"/>
          <w:lang w:eastAsia="zh-CN"/>
        </w:rPr>
        <w:t>异地分仓中心信息管理系统应具备《药品经营质量管理规范》规定的流程和控制措施，并在经营过程中保证所有记录符合《药品经营质量管理规范》要求。</w:t>
      </w:r>
    </w:p>
    <w:p w:rsidR="003C17E1" w:rsidRDefault="00DB07D6">
      <w:pPr>
        <w:widowControl w:val="0"/>
        <w:spacing w:after="0" w:line="460" w:lineRule="exact"/>
        <w:outlineLvl w:val="1"/>
        <w:rPr>
          <w:rFonts w:asciiTheme="minorEastAsia" w:hAnsiTheme="minorEastAsia" w:cs="宋体"/>
          <w:sz w:val="21"/>
          <w:szCs w:val="21"/>
          <w:lang w:eastAsia="zh-CN"/>
        </w:rPr>
      </w:pPr>
      <w:r>
        <w:rPr>
          <w:rFonts w:ascii="黑体" w:eastAsia="黑体" w:hAnsi="黑体" w:cs="黑体" w:hint="eastAsia"/>
          <w:kern w:val="2"/>
          <w:sz w:val="21"/>
          <w:szCs w:val="21"/>
          <w:lang w:eastAsia="zh-CN" w:bidi="ar-SA"/>
        </w:rPr>
        <w:t>7.3.5</w:t>
      </w:r>
      <w:r>
        <w:rPr>
          <w:rFonts w:asciiTheme="minorEastAsia" w:hAnsiTheme="minorEastAsia" w:cs="宋体" w:hint="eastAsia"/>
          <w:sz w:val="21"/>
          <w:szCs w:val="21"/>
          <w:lang w:eastAsia="zh-CN"/>
        </w:rPr>
        <w:t>异地分仓中心信息管理系统配置应当确保网络及数据传输稳定、安全可靠。</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15" w:name="_Toc20776_WPSOffice_Level1"/>
      <w:bookmarkStart w:id="116" w:name="_Toc9836_WPSOffice_Level1"/>
      <w:bookmarkStart w:id="117" w:name="_Toc26347_WPSOffice_Level1"/>
      <w:bookmarkStart w:id="118" w:name="_Toc13799_WPSOffice_Level1"/>
      <w:bookmarkStart w:id="119" w:name="_Toc7651_WPSOffice_Level1"/>
      <w:bookmarkStart w:id="120" w:name="_Toc30918_WPSOffice_Level1"/>
      <w:bookmarkStart w:id="121" w:name="_Toc3196_WPSOffice_Level1"/>
      <w:r>
        <w:rPr>
          <w:rFonts w:ascii="黑体" w:eastAsia="黑体" w:hAnsi="黑体" w:cs="黑体" w:hint="eastAsia"/>
          <w:kern w:val="2"/>
          <w:sz w:val="21"/>
          <w:szCs w:val="21"/>
          <w:lang w:eastAsia="zh-CN" w:bidi="ar-SA"/>
        </w:rPr>
        <w:t>8. 质量管理体系文件</w:t>
      </w:r>
      <w:bookmarkEnd w:id="115"/>
      <w:bookmarkEnd w:id="116"/>
      <w:bookmarkEnd w:id="117"/>
      <w:bookmarkEnd w:id="118"/>
      <w:bookmarkEnd w:id="119"/>
      <w:bookmarkEnd w:id="120"/>
      <w:bookmarkEnd w:id="121"/>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22" w:name="_Toc31991_WPSOffice_Level2"/>
      <w:bookmarkStart w:id="123" w:name="_Toc773_WPSOffice_Level2"/>
      <w:bookmarkStart w:id="124" w:name="_Toc10855_WPSOffice_Level2"/>
      <w:bookmarkStart w:id="125" w:name="_Toc279_WPSOffice_Level2"/>
      <w:r>
        <w:rPr>
          <w:rFonts w:ascii="黑体" w:eastAsia="黑体" w:hAnsi="黑体" w:cs="黑体" w:hint="eastAsia"/>
          <w:kern w:val="2"/>
          <w:sz w:val="21"/>
          <w:szCs w:val="21"/>
          <w:lang w:eastAsia="zh-CN" w:bidi="ar-SA"/>
        </w:rPr>
        <w:t>8.1</w:t>
      </w:r>
      <w:bookmarkEnd w:id="122"/>
      <w:bookmarkEnd w:id="123"/>
      <w:bookmarkEnd w:id="124"/>
      <w:bookmarkEnd w:id="125"/>
      <w:r>
        <w:rPr>
          <w:rFonts w:asciiTheme="minorEastAsia" w:hAnsiTheme="minorEastAsia" w:cs="宋体" w:hint="eastAsia"/>
          <w:sz w:val="21"/>
          <w:szCs w:val="21"/>
          <w:lang w:eastAsia="zh-CN"/>
        </w:rPr>
        <w:t>开展药品委托储存配送业务的企业应制定符合《药品经营质量管理规范》及相关法律法规要求，符合药品委托储存配送管理要求，能够保证药品质量的质量管理制度、部门岗位职责、岗位操作规程、质量管理档案及质量管理记录等质量管理体系文件。</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26" w:name="_Toc8846_WPSOffice_Level2"/>
      <w:bookmarkStart w:id="127" w:name="_Toc13221_WPSOffice_Level2"/>
      <w:bookmarkStart w:id="128" w:name="_Toc9296_WPSOffice_Level2"/>
      <w:bookmarkStart w:id="129" w:name="_Toc28651_WPSOffice_Level2"/>
      <w:r>
        <w:rPr>
          <w:rFonts w:ascii="黑体" w:eastAsia="黑体" w:hAnsi="黑体" w:cs="黑体" w:hint="eastAsia"/>
          <w:kern w:val="2"/>
          <w:sz w:val="21"/>
          <w:szCs w:val="21"/>
          <w:lang w:eastAsia="zh-CN" w:bidi="ar-SA"/>
        </w:rPr>
        <w:t>8.2</w:t>
      </w:r>
      <w:bookmarkEnd w:id="126"/>
      <w:bookmarkEnd w:id="127"/>
      <w:bookmarkEnd w:id="128"/>
      <w:bookmarkEnd w:id="129"/>
      <w:r>
        <w:rPr>
          <w:rFonts w:asciiTheme="minorEastAsia" w:hAnsiTheme="minorEastAsia" w:cs="宋体" w:hint="eastAsia"/>
          <w:sz w:val="21"/>
          <w:szCs w:val="21"/>
          <w:lang w:eastAsia="zh-CN"/>
        </w:rPr>
        <w:t>开展药品委托储存配送业务的企业应制定但不限于以下质量管理制度。</w:t>
      </w:r>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30" w:name="_Toc6695_WPSOffice_Level2"/>
      <w:r>
        <w:rPr>
          <w:rFonts w:asciiTheme="minorEastAsia" w:hAnsiTheme="minorEastAsia" w:cs="宋体" w:hint="eastAsia"/>
          <w:sz w:val="21"/>
          <w:szCs w:val="21"/>
          <w:lang w:eastAsia="zh-CN"/>
        </w:rPr>
        <w:t>a）对委托企业委托储存和配送药品审核的制度</w:t>
      </w:r>
      <w:bookmarkEnd w:id="130"/>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31" w:name="_Toc9346_WPSOffice_Level2"/>
      <w:r>
        <w:rPr>
          <w:rFonts w:asciiTheme="minorEastAsia" w:hAnsiTheme="minorEastAsia" w:cs="宋体" w:hint="eastAsia"/>
          <w:sz w:val="21"/>
          <w:szCs w:val="21"/>
          <w:lang w:eastAsia="zh-CN"/>
        </w:rPr>
        <w:lastRenderedPageBreak/>
        <w:t>b）与委托企业进行信息交换的制度</w:t>
      </w:r>
      <w:bookmarkEnd w:id="131"/>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32" w:name="_Toc29071_WPSOffice_Level2"/>
      <w:r>
        <w:rPr>
          <w:rFonts w:asciiTheme="minorEastAsia" w:hAnsiTheme="minorEastAsia" w:cs="宋体" w:hint="eastAsia"/>
          <w:sz w:val="21"/>
          <w:szCs w:val="21"/>
          <w:lang w:eastAsia="zh-CN"/>
        </w:rPr>
        <w:t>c）药品物流管理与质量保证的制度</w:t>
      </w:r>
      <w:bookmarkEnd w:id="132"/>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33" w:name="_Toc3786_WPSOffice_Level2"/>
      <w:bookmarkStart w:id="134" w:name="_Toc17334_WPSOffice_Level2"/>
      <w:bookmarkStart w:id="135" w:name="_Toc3608_WPSOffice_Level2"/>
      <w:bookmarkStart w:id="136" w:name="_Toc9736_WPSOffice_Level2"/>
      <w:bookmarkStart w:id="137" w:name="_Toc21636_WPSOffice_Level2"/>
      <w:bookmarkStart w:id="138" w:name="_Toc6917_WPSOffice_Level2"/>
      <w:r>
        <w:rPr>
          <w:rFonts w:ascii="黑体" w:eastAsia="黑体" w:hAnsi="黑体" w:cs="黑体" w:hint="eastAsia"/>
          <w:kern w:val="2"/>
          <w:sz w:val="21"/>
          <w:szCs w:val="21"/>
          <w:lang w:eastAsia="zh-CN" w:bidi="ar-SA"/>
        </w:rPr>
        <w:t>8.3</w:t>
      </w:r>
      <w:bookmarkEnd w:id="133"/>
      <w:bookmarkEnd w:id="134"/>
      <w:bookmarkEnd w:id="135"/>
      <w:bookmarkEnd w:id="136"/>
      <w:bookmarkEnd w:id="137"/>
      <w:bookmarkEnd w:id="138"/>
      <w:r>
        <w:rPr>
          <w:rFonts w:asciiTheme="minorEastAsia" w:hAnsiTheme="minorEastAsia" w:cs="宋体" w:hint="eastAsia"/>
          <w:sz w:val="21"/>
          <w:szCs w:val="21"/>
          <w:lang w:eastAsia="zh-CN"/>
        </w:rPr>
        <w:t>开展药品委托储存配送业务的企业应制定符合要求的有关部门和人员的岗位职责。</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39" w:name="_Toc11196_WPSOffice_Level2"/>
      <w:r>
        <w:rPr>
          <w:rFonts w:ascii="黑体" w:eastAsia="黑体" w:hAnsi="黑体" w:cs="黑体" w:hint="eastAsia"/>
          <w:kern w:val="2"/>
          <w:sz w:val="21"/>
          <w:szCs w:val="21"/>
          <w:lang w:eastAsia="zh-CN" w:bidi="ar-SA"/>
        </w:rPr>
        <w:t>8.4</w:t>
      </w:r>
      <w:bookmarkEnd w:id="139"/>
      <w:r>
        <w:rPr>
          <w:rFonts w:asciiTheme="minorEastAsia" w:hAnsiTheme="minorEastAsia" w:cs="宋体" w:hint="eastAsia"/>
          <w:sz w:val="21"/>
          <w:szCs w:val="21"/>
          <w:lang w:eastAsia="zh-CN"/>
        </w:rPr>
        <w:t>开展药品委托储存配送业务的企业应制定符合要求的药品收货、验收、储存、养护、出库、复核、配送、运输、运营等环节及计算机系统的的岗位操作规程。</w:t>
      </w:r>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40" w:name="_Toc6371_WPSOffice_Level2"/>
      <w:r>
        <w:rPr>
          <w:rFonts w:ascii="黑体" w:eastAsia="黑体" w:hAnsi="黑体" w:cs="黑体" w:hint="eastAsia"/>
          <w:kern w:val="2"/>
          <w:sz w:val="21"/>
          <w:szCs w:val="21"/>
          <w:lang w:eastAsia="zh-CN" w:bidi="ar-SA"/>
        </w:rPr>
        <w:t>8.5</w:t>
      </w:r>
      <w:bookmarkEnd w:id="140"/>
      <w:r>
        <w:rPr>
          <w:rFonts w:asciiTheme="minorEastAsia" w:hAnsiTheme="minorEastAsia" w:cs="宋体" w:hint="eastAsia"/>
          <w:sz w:val="21"/>
          <w:szCs w:val="21"/>
          <w:lang w:eastAsia="zh-CN"/>
        </w:rPr>
        <w:t>开展药品委托储存配送业务的企业应建立符合要求的质量管理档案。</w:t>
      </w:r>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41" w:name="_Toc3196_WPSOffice_Level2"/>
      <w:r>
        <w:rPr>
          <w:rFonts w:asciiTheme="minorEastAsia" w:hAnsiTheme="minorEastAsia" w:cs="宋体" w:hint="eastAsia"/>
          <w:sz w:val="21"/>
          <w:szCs w:val="21"/>
          <w:lang w:eastAsia="zh-CN"/>
        </w:rPr>
        <w:t>a）委托企业审核资料档案</w:t>
      </w:r>
      <w:bookmarkEnd w:id="141"/>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42" w:name="_Toc8746_WPSOffice_Level2"/>
      <w:r>
        <w:rPr>
          <w:rFonts w:asciiTheme="minorEastAsia" w:hAnsiTheme="minorEastAsia" w:cs="宋体" w:hint="eastAsia"/>
          <w:sz w:val="21"/>
          <w:szCs w:val="21"/>
          <w:lang w:eastAsia="zh-CN"/>
        </w:rPr>
        <w:t>b）委托品种核对资料档案</w:t>
      </w:r>
      <w:bookmarkEnd w:id="142"/>
    </w:p>
    <w:p w:rsidR="003C17E1" w:rsidRDefault="00DB07D6">
      <w:pPr>
        <w:widowControl w:val="0"/>
        <w:spacing w:after="0" w:line="460" w:lineRule="exact"/>
        <w:ind w:firstLineChars="200" w:firstLine="420"/>
        <w:outlineLvl w:val="1"/>
        <w:rPr>
          <w:rFonts w:asciiTheme="minorEastAsia" w:hAnsiTheme="minorEastAsia" w:cs="宋体"/>
          <w:sz w:val="21"/>
          <w:szCs w:val="21"/>
          <w:lang w:eastAsia="zh-CN"/>
        </w:rPr>
      </w:pPr>
      <w:bookmarkStart w:id="143" w:name="_Toc10159_WPSOffice_Level2"/>
      <w:r>
        <w:rPr>
          <w:rFonts w:asciiTheme="minorEastAsia" w:hAnsiTheme="minorEastAsia" w:cs="宋体" w:hint="eastAsia"/>
          <w:sz w:val="21"/>
          <w:szCs w:val="21"/>
          <w:lang w:eastAsia="zh-CN"/>
        </w:rPr>
        <w:t>c）与委托企业签订的质量保证协议书</w:t>
      </w:r>
      <w:bookmarkEnd w:id="143"/>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44" w:name="_Toc5539_WPSOffice_Level2"/>
      <w:r>
        <w:rPr>
          <w:rFonts w:asciiTheme="minorEastAsia" w:hAnsiTheme="minorEastAsia" w:cs="宋体" w:hint="eastAsia"/>
          <w:sz w:val="21"/>
          <w:szCs w:val="21"/>
          <w:lang w:eastAsia="zh-CN"/>
        </w:rPr>
        <w:t>d）《药品经营质量管理规范》要求建立的其他质量管理档案</w:t>
      </w:r>
      <w:bookmarkEnd w:id="144"/>
    </w:p>
    <w:p w:rsidR="003C17E1" w:rsidRDefault="00DB07D6">
      <w:pPr>
        <w:widowControl w:val="0"/>
        <w:spacing w:after="0" w:line="460" w:lineRule="exact"/>
        <w:outlineLvl w:val="1"/>
        <w:rPr>
          <w:rFonts w:ascii="黑体" w:eastAsia="黑体" w:hAnsi="黑体" w:cs="黑体"/>
          <w:kern w:val="2"/>
          <w:sz w:val="21"/>
          <w:szCs w:val="21"/>
          <w:lang w:eastAsia="zh-CN" w:bidi="ar-SA"/>
        </w:rPr>
      </w:pPr>
      <w:bookmarkStart w:id="145" w:name="_Toc20474_WPSOffice_Level2"/>
      <w:r>
        <w:rPr>
          <w:rFonts w:ascii="黑体" w:eastAsia="黑体" w:hAnsi="黑体" w:cs="黑体" w:hint="eastAsia"/>
          <w:kern w:val="2"/>
          <w:sz w:val="21"/>
          <w:szCs w:val="21"/>
          <w:lang w:eastAsia="zh-CN" w:bidi="ar-SA"/>
        </w:rPr>
        <w:t>8.6</w:t>
      </w:r>
      <w:bookmarkStart w:id="146" w:name="_Toc10954_WPSOffice_Level3"/>
      <w:bookmarkEnd w:id="145"/>
      <w:r>
        <w:rPr>
          <w:rFonts w:asciiTheme="minorEastAsia" w:hAnsiTheme="minorEastAsia" w:cs="宋体" w:hint="eastAsia"/>
          <w:sz w:val="21"/>
          <w:szCs w:val="21"/>
          <w:lang w:eastAsia="zh-CN"/>
        </w:rPr>
        <w:t>开展药品委托储存业务的企业须建立药品质量管理记录，至少包括：</w:t>
      </w:r>
      <w:bookmarkEnd w:id="146"/>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47" w:name="_Toc6572_WPSOffice_Level2"/>
      <w:r>
        <w:rPr>
          <w:rFonts w:asciiTheme="minorEastAsia" w:hAnsiTheme="minorEastAsia" w:cs="宋体" w:hint="eastAsia"/>
          <w:sz w:val="21"/>
          <w:szCs w:val="21"/>
          <w:lang w:eastAsia="zh-CN"/>
        </w:rPr>
        <w:t>a）委托企业的收货指令记录</w:t>
      </w:r>
      <w:bookmarkEnd w:id="147"/>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48" w:name="_Toc1937_WPSOffice_Level2"/>
      <w:r>
        <w:rPr>
          <w:rFonts w:asciiTheme="minorEastAsia" w:hAnsiTheme="minorEastAsia" w:cs="宋体" w:hint="eastAsia"/>
          <w:sz w:val="21"/>
          <w:szCs w:val="21"/>
          <w:lang w:eastAsia="zh-CN"/>
        </w:rPr>
        <w:t>b）药品收货和验收记录</w:t>
      </w:r>
      <w:bookmarkEnd w:id="148"/>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49" w:name="_Toc25809_WPSOffice_Level2"/>
      <w:r>
        <w:rPr>
          <w:rFonts w:asciiTheme="minorEastAsia" w:hAnsiTheme="minorEastAsia" w:cs="宋体" w:hint="eastAsia"/>
          <w:sz w:val="21"/>
          <w:szCs w:val="21"/>
          <w:lang w:eastAsia="zh-CN"/>
        </w:rPr>
        <w:t>c）委托企业的发货指令记录</w:t>
      </w:r>
      <w:bookmarkEnd w:id="149"/>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50" w:name="_Toc22902_WPSOffice_Level2"/>
      <w:r>
        <w:rPr>
          <w:rFonts w:asciiTheme="minorEastAsia" w:hAnsiTheme="minorEastAsia" w:cs="宋体" w:hint="eastAsia"/>
          <w:sz w:val="21"/>
          <w:szCs w:val="21"/>
          <w:lang w:eastAsia="zh-CN"/>
        </w:rPr>
        <w:t>d）药品出库复核记录</w:t>
      </w:r>
      <w:bookmarkEnd w:id="150"/>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51" w:name="_Toc4809_WPSOffice_Level2"/>
      <w:r>
        <w:rPr>
          <w:rFonts w:asciiTheme="minorEastAsia" w:hAnsiTheme="minorEastAsia" w:cs="宋体" w:hint="eastAsia"/>
          <w:sz w:val="21"/>
          <w:szCs w:val="21"/>
          <w:lang w:eastAsia="zh-CN"/>
        </w:rPr>
        <w:t>e）药品养护检查记录</w:t>
      </w:r>
      <w:bookmarkEnd w:id="151"/>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52" w:name="_Toc11191_WPSOffice_Level2"/>
      <w:r>
        <w:rPr>
          <w:rFonts w:asciiTheme="minorEastAsia" w:hAnsiTheme="minorEastAsia" w:cs="宋体" w:hint="eastAsia"/>
          <w:sz w:val="21"/>
          <w:szCs w:val="21"/>
          <w:lang w:eastAsia="zh-CN"/>
        </w:rPr>
        <w:t>f) 仓库温湿度记录</w:t>
      </w:r>
      <w:bookmarkEnd w:id="152"/>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53" w:name="_Toc12841_WPSOffice_Level2"/>
      <w:r>
        <w:rPr>
          <w:rFonts w:asciiTheme="minorEastAsia" w:hAnsiTheme="minorEastAsia" w:cs="宋体" w:hint="eastAsia"/>
          <w:sz w:val="21"/>
          <w:szCs w:val="21"/>
          <w:lang w:eastAsia="zh-CN"/>
        </w:rPr>
        <w:t>g）不合格药品控制记录</w:t>
      </w:r>
      <w:bookmarkEnd w:id="153"/>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54" w:name="_Toc2901_WPSOffice_Level2"/>
      <w:r>
        <w:rPr>
          <w:rFonts w:asciiTheme="minorEastAsia" w:hAnsiTheme="minorEastAsia" w:cs="宋体" w:hint="eastAsia"/>
          <w:sz w:val="21"/>
          <w:szCs w:val="21"/>
          <w:lang w:eastAsia="zh-CN"/>
        </w:rPr>
        <w:t>h）药品退回记录</w:t>
      </w:r>
      <w:bookmarkEnd w:id="154"/>
    </w:p>
    <w:p w:rsidR="003C17E1" w:rsidRDefault="00DB07D6">
      <w:pPr>
        <w:widowControl w:val="0"/>
        <w:spacing w:after="0" w:line="460" w:lineRule="exact"/>
        <w:rPr>
          <w:rFonts w:asciiTheme="minorEastAsia" w:hAnsiTheme="minorEastAsia" w:cs="宋体"/>
          <w:sz w:val="21"/>
          <w:szCs w:val="21"/>
          <w:lang w:eastAsia="zh-CN"/>
        </w:rPr>
      </w:pPr>
      <w:bookmarkStart w:id="155" w:name="_Toc30616_WPSOffice_Level1"/>
      <w:bookmarkStart w:id="156" w:name="_Toc30320_WPSOffice_Level1"/>
      <w:bookmarkStart w:id="157" w:name="_Toc30172_WPSOffice_Level1"/>
      <w:bookmarkStart w:id="158" w:name="_Toc25291_WPSOffice_Level1"/>
      <w:bookmarkStart w:id="159" w:name="_Toc18083_WPSOffice_Level1"/>
      <w:bookmarkStart w:id="160" w:name="_Toc14228_WPSOffice_Level3"/>
      <w:r>
        <w:rPr>
          <w:rFonts w:ascii="黑体" w:eastAsia="黑体" w:hAnsi="黑体" w:cs="黑体" w:hint="eastAsia"/>
          <w:kern w:val="2"/>
          <w:sz w:val="21"/>
          <w:szCs w:val="21"/>
          <w:lang w:eastAsia="zh-CN" w:bidi="ar-SA"/>
        </w:rPr>
        <w:t>8.7</w:t>
      </w:r>
      <w:r>
        <w:rPr>
          <w:rFonts w:asciiTheme="minorEastAsia" w:hAnsiTheme="minorEastAsia" w:cs="宋体" w:hint="eastAsia"/>
          <w:sz w:val="21"/>
          <w:szCs w:val="21"/>
          <w:lang w:eastAsia="zh-CN"/>
        </w:rPr>
        <w:t xml:space="preserve"> 开展药品委托配送业务的企业须建立管理记录，至少包括：</w:t>
      </w:r>
      <w:bookmarkEnd w:id="155"/>
      <w:bookmarkEnd w:id="156"/>
      <w:bookmarkEnd w:id="157"/>
      <w:bookmarkEnd w:id="158"/>
      <w:bookmarkEnd w:id="159"/>
      <w:bookmarkEnd w:id="160"/>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61" w:name="_Toc17199_WPSOffice_Level1"/>
      <w:bookmarkStart w:id="162" w:name="_Toc5442_WPSOffice_Level1"/>
      <w:bookmarkStart w:id="163" w:name="_Toc5486_WPSOffice_Level1"/>
      <w:bookmarkStart w:id="164" w:name="_Toc6939_WPSOffice_Level1"/>
      <w:bookmarkStart w:id="165" w:name="_Toc5353_WPSOffice_Level1"/>
      <w:bookmarkStart w:id="166" w:name="_Toc22973_WPSOffice_Level2"/>
      <w:r>
        <w:rPr>
          <w:rFonts w:asciiTheme="minorEastAsia" w:hAnsiTheme="minorEastAsia" w:cs="宋体" w:hint="eastAsia"/>
          <w:sz w:val="21"/>
          <w:szCs w:val="21"/>
          <w:lang w:eastAsia="zh-CN"/>
        </w:rPr>
        <w:t>a) 运输车辆台账</w:t>
      </w:r>
      <w:bookmarkEnd w:id="161"/>
      <w:bookmarkEnd w:id="162"/>
      <w:bookmarkEnd w:id="163"/>
      <w:bookmarkEnd w:id="164"/>
      <w:bookmarkEnd w:id="165"/>
      <w:bookmarkEnd w:id="166"/>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67" w:name="_Toc20334_WPSOffice_Level1"/>
      <w:bookmarkStart w:id="168" w:name="_Toc8824_WPSOffice_Level1"/>
      <w:bookmarkStart w:id="169" w:name="_Toc9705_WPSOffice_Level1"/>
      <w:bookmarkStart w:id="170" w:name="_Toc21937_WPSOffice_Level1"/>
      <w:bookmarkStart w:id="171" w:name="_Toc19392_WPSOffice_Level1"/>
      <w:bookmarkStart w:id="172" w:name="_Toc17008_WPSOffice_Level2"/>
      <w:r>
        <w:rPr>
          <w:rFonts w:asciiTheme="minorEastAsia" w:hAnsiTheme="minorEastAsia" w:cs="宋体" w:hint="eastAsia"/>
          <w:sz w:val="21"/>
          <w:szCs w:val="21"/>
          <w:lang w:eastAsia="zh-CN"/>
        </w:rPr>
        <w:t>b) 车辆营运证资料记录</w:t>
      </w:r>
      <w:bookmarkEnd w:id="167"/>
      <w:bookmarkEnd w:id="168"/>
      <w:bookmarkEnd w:id="169"/>
      <w:bookmarkEnd w:id="170"/>
      <w:bookmarkEnd w:id="171"/>
      <w:bookmarkEnd w:id="172"/>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73" w:name="_Toc24177_WPSOffice_Level1"/>
      <w:bookmarkStart w:id="174" w:name="_Toc24502_WPSOffice_Level1"/>
      <w:bookmarkStart w:id="175" w:name="_Toc8280_WPSOffice_Level1"/>
      <w:bookmarkStart w:id="176" w:name="_Toc30021_WPSOffice_Level1"/>
      <w:bookmarkStart w:id="177" w:name="_Toc23013_WPSOffice_Level1"/>
      <w:bookmarkStart w:id="178" w:name="_Toc10120_WPSOffice_Level2"/>
      <w:r>
        <w:rPr>
          <w:rFonts w:asciiTheme="minorEastAsia" w:hAnsiTheme="minorEastAsia" w:cs="宋体" w:hint="eastAsia"/>
          <w:sz w:val="21"/>
          <w:szCs w:val="21"/>
          <w:lang w:eastAsia="zh-CN"/>
        </w:rPr>
        <w:t>c) 车辆保险记录</w:t>
      </w:r>
      <w:bookmarkEnd w:id="173"/>
      <w:bookmarkEnd w:id="174"/>
      <w:bookmarkEnd w:id="175"/>
      <w:bookmarkEnd w:id="176"/>
      <w:bookmarkEnd w:id="177"/>
      <w:bookmarkEnd w:id="178"/>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79" w:name="_Toc23947_WPSOffice_Level1"/>
      <w:bookmarkStart w:id="180" w:name="_Toc279_WPSOffice_Level1"/>
      <w:bookmarkStart w:id="181" w:name="_Toc11724_WPSOffice_Level1"/>
      <w:bookmarkStart w:id="182" w:name="_Toc32006_WPSOffice_Level1"/>
      <w:bookmarkStart w:id="183" w:name="_Toc10855_WPSOffice_Level1"/>
      <w:bookmarkStart w:id="184" w:name="_Toc2521_WPSOffice_Level2"/>
      <w:r>
        <w:rPr>
          <w:rFonts w:asciiTheme="minorEastAsia" w:hAnsiTheme="minorEastAsia" w:cs="宋体" w:hint="eastAsia"/>
          <w:sz w:val="21"/>
          <w:szCs w:val="21"/>
          <w:lang w:eastAsia="zh-CN"/>
        </w:rPr>
        <w:t>d) 司机驾驶证资料记录</w:t>
      </w:r>
      <w:bookmarkEnd w:id="179"/>
      <w:bookmarkEnd w:id="180"/>
      <w:bookmarkEnd w:id="181"/>
      <w:bookmarkEnd w:id="182"/>
      <w:bookmarkEnd w:id="183"/>
      <w:bookmarkEnd w:id="184"/>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85" w:name="_Toc6020_WPSOffice_Level1"/>
      <w:bookmarkStart w:id="186" w:name="_Toc28322_WPSOffice_Level1"/>
      <w:bookmarkStart w:id="187" w:name="_Toc13221_WPSOffice_Level1"/>
      <w:bookmarkStart w:id="188" w:name="_Toc28651_WPSOffice_Level1"/>
      <w:bookmarkStart w:id="189" w:name="_Toc26743_WPSOffice_Level1"/>
      <w:bookmarkStart w:id="190" w:name="_Toc8330_WPSOffice_Level2"/>
      <w:r>
        <w:rPr>
          <w:rFonts w:asciiTheme="minorEastAsia" w:hAnsiTheme="minorEastAsia" w:cs="宋体" w:hint="eastAsia"/>
          <w:sz w:val="21"/>
          <w:szCs w:val="21"/>
          <w:lang w:eastAsia="zh-CN"/>
        </w:rPr>
        <w:t>e) 出车检查记录</w:t>
      </w:r>
      <w:bookmarkStart w:id="191" w:name="_Toc28805_WPSOffice_Level1"/>
      <w:bookmarkStart w:id="192" w:name="_Toc31288_WPSOffice_Level1"/>
      <w:bookmarkStart w:id="193" w:name="_Toc31176_WPSOffice_Level1"/>
      <w:bookmarkStart w:id="194" w:name="_Toc4044_WPSOffice_Level1"/>
      <w:bookmarkStart w:id="195" w:name="_Toc3786_WPSOffice_Level1"/>
      <w:bookmarkStart w:id="196" w:name="_Toc9736_WPSOffice_Level1"/>
      <w:bookmarkStart w:id="197" w:name="_Toc21636_WPSOffice_Level1"/>
      <w:bookmarkEnd w:id="185"/>
      <w:bookmarkEnd w:id="186"/>
      <w:bookmarkEnd w:id="187"/>
      <w:bookmarkEnd w:id="188"/>
      <w:bookmarkEnd w:id="189"/>
      <w:bookmarkEnd w:id="190"/>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98" w:name="_Toc3134_WPSOffice_Level2"/>
      <w:r>
        <w:rPr>
          <w:rFonts w:asciiTheme="minorEastAsia" w:hAnsiTheme="minorEastAsia" w:cs="宋体" w:hint="eastAsia"/>
          <w:sz w:val="21"/>
          <w:szCs w:val="21"/>
          <w:lang w:eastAsia="zh-CN"/>
        </w:rPr>
        <w:t xml:space="preserve">f) </w:t>
      </w:r>
      <w:bookmarkEnd w:id="191"/>
      <w:bookmarkEnd w:id="192"/>
      <w:r>
        <w:rPr>
          <w:rFonts w:asciiTheme="minorEastAsia" w:hAnsiTheme="minorEastAsia" w:cs="宋体" w:hint="eastAsia"/>
          <w:sz w:val="21"/>
          <w:szCs w:val="21"/>
          <w:lang w:eastAsia="zh-CN"/>
        </w:rPr>
        <w:t>冷藏车冷机维修保养记录</w:t>
      </w:r>
      <w:bookmarkEnd w:id="193"/>
      <w:bookmarkEnd w:id="194"/>
      <w:bookmarkEnd w:id="195"/>
      <w:bookmarkEnd w:id="196"/>
      <w:bookmarkEnd w:id="197"/>
      <w:bookmarkEnd w:id="198"/>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199" w:name="_Toc17825_WPSOffice_Level1"/>
      <w:bookmarkStart w:id="200" w:name="_Toc22650_WPSOffice_Level1"/>
      <w:bookmarkStart w:id="201" w:name="_Toc4442_WPSOffice_Level1"/>
      <w:bookmarkStart w:id="202" w:name="_Toc18784_WPSOffice_Level1"/>
      <w:bookmarkStart w:id="203" w:name="_Toc14702_WPSOffice_Level1"/>
      <w:bookmarkStart w:id="204" w:name="_Toc6368_WPSOffice_Level1"/>
      <w:bookmarkStart w:id="205" w:name="_Toc22194_WPSOffice_Level1"/>
      <w:bookmarkStart w:id="206" w:name="_Toc16311_WPSOffice_Level2"/>
      <w:r>
        <w:rPr>
          <w:rFonts w:asciiTheme="minorEastAsia" w:hAnsiTheme="minorEastAsia" w:cs="宋体" w:hint="eastAsia"/>
          <w:sz w:val="21"/>
          <w:szCs w:val="21"/>
          <w:lang w:eastAsia="zh-CN"/>
        </w:rPr>
        <w:t>g) 车辆维修保养记录</w:t>
      </w:r>
      <w:bookmarkEnd w:id="199"/>
      <w:bookmarkEnd w:id="200"/>
      <w:bookmarkEnd w:id="201"/>
      <w:bookmarkEnd w:id="202"/>
      <w:bookmarkEnd w:id="203"/>
      <w:bookmarkEnd w:id="204"/>
      <w:bookmarkEnd w:id="205"/>
      <w:bookmarkEnd w:id="206"/>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207" w:name="_Toc28602_WPSOffice_Level2"/>
      <w:r>
        <w:rPr>
          <w:rFonts w:asciiTheme="minorEastAsia" w:hAnsiTheme="minorEastAsia" w:cs="宋体" w:hint="eastAsia"/>
          <w:sz w:val="21"/>
          <w:szCs w:val="21"/>
          <w:lang w:eastAsia="zh-CN"/>
        </w:rPr>
        <w:t>h) 药品运输记录</w:t>
      </w:r>
      <w:bookmarkEnd w:id="207"/>
    </w:p>
    <w:p w:rsidR="003C17E1" w:rsidRDefault="00DB07D6">
      <w:pPr>
        <w:widowControl w:val="0"/>
        <w:spacing w:after="0" w:line="460" w:lineRule="exact"/>
        <w:ind w:leftChars="50" w:left="110" w:firstLineChars="150" w:firstLine="315"/>
        <w:rPr>
          <w:rFonts w:asciiTheme="minorEastAsia" w:hAnsiTheme="minorEastAsia" w:cs="宋体"/>
          <w:sz w:val="21"/>
          <w:szCs w:val="21"/>
          <w:lang w:eastAsia="zh-CN"/>
        </w:rPr>
      </w:pPr>
      <w:bookmarkStart w:id="208" w:name="_Toc24733_WPSOffice_Level1"/>
      <w:bookmarkStart w:id="209" w:name="_Toc13405_WPSOffice_Level1"/>
      <w:bookmarkStart w:id="210" w:name="_Toc18527_WPSOffice_Level1"/>
      <w:bookmarkStart w:id="211" w:name="_Toc16696_WPSOffice_Level1"/>
      <w:bookmarkStart w:id="212" w:name="_Toc13035_WPSOffice_Level1"/>
      <w:bookmarkStart w:id="213" w:name="_Toc16315_WPSOffice_Level1"/>
      <w:bookmarkStart w:id="214" w:name="_Toc11603_WPSOffice_Level1"/>
      <w:bookmarkStart w:id="215" w:name="_Toc12800_WPSOffice_Level1"/>
      <w:bookmarkStart w:id="216" w:name="_Toc13096_WPSOffice_Level1"/>
      <w:bookmarkStart w:id="217" w:name="_Toc24278_WPSOffice_Level1"/>
      <w:bookmarkStart w:id="218" w:name="_Toc23982_WPSOffice_Level1"/>
      <w:bookmarkStart w:id="219" w:name="_Toc8746_WPSOffice_Level1"/>
      <w:proofErr w:type="spellStart"/>
      <w:r>
        <w:rPr>
          <w:rFonts w:asciiTheme="minorEastAsia" w:hAnsiTheme="minorEastAsia" w:cs="宋体" w:hint="eastAsia"/>
          <w:sz w:val="21"/>
          <w:szCs w:val="21"/>
          <w:lang w:eastAsia="zh-CN"/>
        </w:rPr>
        <w:t>i</w:t>
      </w:r>
      <w:proofErr w:type="spellEnd"/>
      <w:r>
        <w:rPr>
          <w:rFonts w:asciiTheme="minorEastAsia" w:hAnsiTheme="minorEastAsia" w:cs="宋体" w:hint="eastAsia"/>
          <w:sz w:val="21"/>
          <w:szCs w:val="21"/>
          <w:lang w:eastAsia="zh-CN"/>
        </w:rPr>
        <w:t xml:space="preserve">) </w:t>
      </w:r>
      <w:bookmarkEnd w:id="208"/>
      <w:bookmarkEnd w:id="209"/>
      <w:bookmarkEnd w:id="210"/>
      <w:bookmarkEnd w:id="211"/>
      <w:bookmarkEnd w:id="212"/>
      <w:bookmarkEnd w:id="213"/>
      <w:bookmarkEnd w:id="214"/>
      <w:r>
        <w:rPr>
          <w:rFonts w:asciiTheme="minorEastAsia" w:hAnsiTheme="minorEastAsia" w:cs="宋体" w:hint="eastAsia"/>
          <w:sz w:val="21"/>
          <w:szCs w:val="21"/>
          <w:lang w:eastAsia="zh-CN"/>
        </w:rPr>
        <w:t>冷链运输温度记录</w:t>
      </w:r>
      <w:bookmarkEnd w:id="215"/>
      <w:bookmarkEnd w:id="216"/>
      <w:bookmarkEnd w:id="217"/>
      <w:bookmarkEnd w:id="218"/>
      <w:bookmarkEnd w:id="219"/>
    </w:p>
    <w:sectPr w:rsidR="003C17E1" w:rsidSect="003C17E1">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A1" w:rsidRDefault="002415A1" w:rsidP="003C17E1">
      <w:pPr>
        <w:spacing w:after="0" w:line="240" w:lineRule="auto"/>
      </w:pPr>
      <w:r>
        <w:separator/>
      </w:r>
    </w:p>
  </w:endnote>
  <w:endnote w:type="continuationSeparator" w:id="0">
    <w:p w:rsidR="002415A1" w:rsidRDefault="002415A1" w:rsidP="003C1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方正姚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E1" w:rsidRDefault="002571C8">
    <w:pPr>
      <w:pStyle w:val="a6"/>
      <w:jc w:val="right"/>
    </w:pPr>
    <w:r>
      <w:pict>
        <v:shapetype id="_x0000_t202" coordsize="21600,21600" o:spt="202" path="m,l,21600r21600,l21600,xe">
          <v:stroke joinstyle="miter"/>
          <v:path gradientshapeok="t" o:connecttype="rect"/>
        </v:shapetype>
        <v:shape id="_x0000_s2051" type="#_x0000_t202" style="position:absolute;left:0;text-align:left;margin-left:208pt;margin-top:0;width:2in;height:2in;z-index:251658240;mso-wrap-style:none;mso-position-horizontal:right;mso-position-horizontal-relative:margin" filled="f" stroked="f">
          <v:textbox style="mso-fit-shape-to-text:t" inset="0,0,0,0">
            <w:txbxContent>
              <w:p w:rsidR="003C17E1" w:rsidRDefault="002571C8">
                <w:pPr>
                  <w:pStyle w:val="a6"/>
                  <w:rPr>
                    <w:lang w:eastAsia="zh-CN"/>
                  </w:rPr>
                </w:pPr>
                <w:r>
                  <w:rPr>
                    <w:rFonts w:hint="eastAsia"/>
                    <w:lang w:eastAsia="zh-CN"/>
                  </w:rPr>
                  <w:fldChar w:fldCharType="begin"/>
                </w:r>
                <w:r w:rsidR="00DB07D6">
                  <w:rPr>
                    <w:rFonts w:hint="eastAsia"/>
                    <w:lang w:eastAsia="zh-CN"/>
                  </w:rPr>
                  <w:instrText xml:space="preserve"> PAGE  \* MERGEFORMAT </w:instrText>
                </w:r>
                <w:r>
                  <w:rPr>
                    <w:rFonts w:hint="eastAsia"/>
                    <w:lang w:eastAsia="zh-CN"/>
                  </w:rPr>
                  <w:fldChar w:fldCharType="separate"/>
                </w:r>
                <w:r w:rsidR="0031704D">
                  <w:rPr>
                    <w:noProof/>
                    <w:lang w:eastAsia="zh-CN"/>
                  </w:rPr>
                  <w:t>III</w:t>
                </w:r>
                <w:r>
                  <w:rPr>
                    <w:rFonts w:hint="eastAsia"/>
                    <w:lang w:eastAsia="zh-CN"/>
                  </w:rPr>
                  <w:fldChar w:fldCharType="end"/>
                </w:r>
              </w:p>
            </w:txbxContent>
          </v:textbox>
          <w10:wrap anchorx="margin"/>
        </v:shape>
      </w:pict>
    </w:r>
  </w:p>
  <w:p w:rsidR="003C17E1" w:rsidRDefault="003C17E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E1" w:rsidRDefault="002571C8">
    <w:pPr>
      <w:pStyle w:val="a6"/>
      <w:jc w:val="right"/>
    </w:pPr>
    <w:r>
      <w:pict>
        <v:shapetype id="_x0000_t202" coordsize="21600,21600" o:spt="202" path="m,l,21600r21600,l21600,xe">
          <v:stroke joinstyle="miter"/>
          <v:path gradientshapeok="t" o:connecttype="rect"/>
        </v:shapetype>
        <v:shape id="_x0000_s2052" type="#_x0000_t202" style="position:absolute;left:0;text-align:left;margin-left:208pt;margin-top:0;width:2in;height:2in;z-index:251659264;mso-wrap-style:none;mso-position-horizontal:right;mso-position-horizontal-relative:margin" filled="f" stroked="f">
          <v:textbox style="mso-fit-shape-to-text:t" inset="0,0,0,0">
            <w:txbxContent>
              <w:p w:rsidR="003C17E1" w:rsidRDefault="002571C8">
                <w:pPr>
                  <w:pStyle w:val="a6"/>
                  <w:rPr>
                    <w:lang w:eastAsia="zh-CN"/>
                  </w:rPr>
                </w:pPr>
                <w:r>
                  <w:rPr>
                    <w:rFonts w:hint="eastAsia"/>
                    <w:lang w:eastAsia="zh-CN"/>
                  </w:rPr>
                  <w:fldChar w:fldCharType="begin"/>
                </w:r>
                <w:r w:rsidR="00DB07D6">
                  <w:rPr>
                    <w:rFonts w:hint="eastAsia"/>
                    <w:lang w:eastAsia="zh-CN"/>
                  </w:rPr>
                  <w:instrText xml:space="preserve"> PAGE  \* MERGEFORMAT </w:instrText>
                </w:r>
                <w:r>
                  <w:rPr>
                    <w:rFonts w:hint="eastAsia"/>
                    <w:lang w:eastAsia="zh-CN"/>
                  </w:rPr>
                  <w:fldChar w:fldCharType="separate"/>
                </w:r>
                <w:r w:rsidR="0031704D">
                  <w:rPr>
                    <w:noProof/>
                    <w:lang w:eastAsia="zh-CN"/>
                  </w:rPr>
                  <w:t>4</w:t>
                </w:r>
                <w:r>
                  <w:rPr>
                    <w:rFonts w:hint="eastAsia"/>
                    <w:lang w:eastAsia="zh-CN"/>
                  </w:rPr>
                  <w:fldChar w:fldCharType="end"/>
                </w:r>
              </w:p>
            </w:txbxContent>
          </v:textbox>
          <w10:wrap anchorx="margin"/>
        </v:shape>
      </w:pict>
    </w:r>
  </w:p>
  <w:p w:rsidR="003C17E1" w:rsidRDefault="003C17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A1" w:rsidRDefault="002415A1" w:rsidP="003C17E1">
      <w:pPr>
        <w:spacing w:after="0" w:line="240" w:lineRule="auto"/>
      </w:pPr>
      <w:r>
        <w:separator/>
      </w:r>
    </w:p>
  </w:footnote>
  <w:footnote w:type="continuationSeparator" w:id="0">
    <w:p w:rsidR="002415A1" w:rsidRDefault="002415A1" w:rsidP="003C17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E1" w:rsidRDefault="00DB07D6">
    <w:pPr>
      <w:wordWrap w:val="0"/>
      <w:jc w:val="right"/>
      <w:rPr>
        <w:rFonts w:asciiTheme="minorEastAsia" w:hAnsiTheme="minorEastAsia"/>
        <w:sz w:val="24"/>
        <w:szCs w:val="24"/>
        <w:lang w:eastAsia="zh-CN"/>
      </w:rPr>
    </w:pPr>
    <w:r>
      <w:rPr>
        <w:rFonts w:asciiTheme="minorEastAsia" w:hAnsiTheme="minorEastAsia" w:hint="eastAsia"/>
        <w:sz w:val="24"/>
        <w:szCs w:val="24"/>
        <w:lang w:eastAsia="zh-CN"/>
      </w:rPr>
      <w:t>DB/T XXXXX-XXXX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E1" w:rsidRDefault="003C17E1">
    <w:pPr>
      <w:wordWrap w:val="0"/>
      <w:jc w:val="right"/>
      <w:rPr>
        <w:rFonts w:asciiTheme="minorEastAsia" w:hAnsiTheme="minorEastAsia"/>
        <w:sz w:val="24"/>
        <w:szCs w:val="24"/>
        <w:lang w:eastAsia="zh-C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2AD"/>
    <w:rsid w:val="000057A8"/>
    <w:rsid w:val="00014E8F"/>
    <w:rsid w:val="00041086"/>
    <w:rsid w:val="00041D7F"/>
    <w:rsid w:val="00042710"/>
    <w:rsid w:val="00054B8E"/>
    <w:rsid w:val="00066844"/>
    <w:rsid w:val="00066AD8"/>
    <w:rsid w:val="00071C7B"/>
    <w:rsid w:val="000750B9"/>
    <w:rsid w:val="00075ACD"/>
    <w:rsid w:val="000801EE"/>
    <w:rsid w:val="00081195"/>
    <w:rsid w:val="00094BC3"/>
    <w:rsid w:val="000A7288"/>
    <w:rsid w:val="000B58D9"/>
    <w:rsid w:val="000C204A"/>
    <w:rsid w:val="000D41C9"/>
    <w:rsid w:val="000D53B9"/>
    <w:rsid w:val="000D6ABA"/>
    <w:rsid w:val="000E608F"/>
    <w:rsid w:val="000F369A"/>
    <w:rsid w:val="00100549"/>
    <w:rsid w:val="00103CEF"/>
    <w:rsid w:val="001109F1"/>
    <w:rsid w:val="00112111"/>
    <w:rsid w:val="0011776D"/>
    <w:rsid w:val="00120469"/>
    <w:rsid w:val="00122263"/>
    <w:rsid w:val="00134E09"/>
    <w:rsid w:val="00141644"/>
    <w:rsid w:val="00141AC3"/>
    <w:rsid w:val="001576A1"/>
    <w:rsid w:val="00157AFD"/>
    <w:rsid w:val="001625DF"/>
    <w:rsid w:val="00180C6F"/>
    <w:rsid w:val="00195597"/>
    <w:rsid w:val="001967ED"/>
    <w:rsid w:val="00197B97"/>
    <w:rsid w:val="001A15DF"/>
    <w:rsid w:val="001A42D7"/>
    <w:rsid w:val="001C3A5A"/>
    <w:rsid w:val="001E1443"/>
    <w:rsid w:val="001E793E"/>
    <w:rsid w:val="001F54C6"/>
    <w:rsid w:val="001F69DE"/>
    <w:rsid w:val="00204798"/>
    <w:rsid w:val="0021217F"/>
    <w:rsid w:val="002127CB"/>
    <w:rsid w:val="00215BF5"/>
    <w:rsid w:val="00216FEE"/>
    <w:rsid w:val="00223734"/>
    <w:rsid w:val="0022741C"/>
    <w:rsid w:val="00232756"/>
    <w:rsid w:val="002415A1"/>
    <w:rsid w:val="00243B8E"/>
    <w:rsid w:val="00245A28"/>
    <w:rsid w:val="0024747D"/>
    <w:rsid w:val="002571C8"/>
    <w:rsid w:val="0026436E"/>
    <w:rsid w:val="00275108"/>
    <w:rsid w:val="0028070B"/>
    <w:rsid w:val="00282348"/>
    <w:rsid w:val="002920CC"/>
    <w:rsid w:val="002946CD"/>
    <w:rsid w:val="0029542C"/>
    <w:rsid w:val="002959AC"/>
    <w:rsid w:val="00296072"/>
    <w:rsid w:val="002A7591"/>
    <w:rsid w:val="002B31E4"/>
    <w:rsid w:val="002C422B"/>
    <w:rsid w:val="002C4E1C"/>
    <w:rsid w:val="002C7F64"/>
    <w:rsid w:val="002D5B81"/>
    <w:rsid w:val="002E0719"/>
    <w:rsid w:val="002F0407"/>
    <w:rsid w:val="00301372"/>
    <w:rsid w:val="00307814"/>
    <w:rsid w:val="00310545"/>
    <w:rsid w:val="00315C32"/>
    <w:rsid w:val="0031704D"/>
    <w:rsid w:val="00330027"/>
    <w:rsid w:val="003413A3"/>
    <w:rsid w:val="00343454"/>
    <w:rsid w:val="00343761"/>
    <w:rsid w:val="00345395"/>
    <w:rsid w:val="0036072F"/>
    <w:rsid w:val="003636C4"/>
    <w:rsid w:val="00364F91"/>
    <w:rsid w:val="003711E4"/>
    <w:rsid w:val="00374AB2"/>
    <w:rsid w:val="0037724A"/>
    <w:rsid w:val="00383BD0"/>
    <w:rsid w:val="003952A3"/>
    <w:rsid w:val="00397449"/>
    <w:rsid w:val="003A1C96"/>
    <w:rsid w:val="003A2EDD"/>
    <w:rsid w:val="003A5DDF"/>
    <w:rsid w:val="003B111A"/>
    <w:rsid w:val="003B1E34"/>
    <w:rsid w:val="003C17E1"/>
    <w:rsid w:val="003C458B"/>
    <w:rsid w:val="003C483C"/>
    <w:rsid w:val="003D4906"/>
    <w:rsid w:val="003E2597"/>
    <w:rsid w:val="003E4A82"/>
    <w:rsid w:val="003E792A"/>
    <w:rsid w:val="00402FA9"/>
    <w:rsid w:val="00407D2C"/>
    <w:rsid w:val="004478DF"/>
    <w:rsid w:val="00453FF3"/>
    <w:rsid w:val="00454D4E"/>
    <w:rsid w:val="00460D08"/>
    <w:rsid w:val="004655E7"/>
    <w:rsid w:val="004657D2"/>
    <w:rsid w:val="004715A0"/>
    <w:rsid w:val="00472644"/>
    <w:rsid w:val="00476129"/>
    <w:rsid w:val="00480D6A"/>
    <w:rsid w:val="00490130"/>
    <w:rsid w:val="004911D1"/>
    <w:rsid w:val="00494886"/>
    <w:rsid w:val="004A57D9"/>
    <w:rsid w:val="004A6FDE"/>
    <w:rsid w:val="004B328B"/>
    <w:rsid w:val="004B5961"/>
    <w:rsid w:val="004B62AD"/>
    <w:rsid w:val="004C3D0C"/>
    <w:rsid w:val="004D0D05"/>
    <w:rsid w:val="004D2470"/>
    <w:rsid w:val="004D2474"/>
    <w:rsid w:val="004D519D"/>
    <w:rsid w:val="004D6B15"/>
    <w:rsid w:val="004E75FC"/>
    <w:rsid w:val="004F14BD"/>
    <w:rsid w:val="004F31D0"/>
    <w:rsid w:val="004F4BDC"/>
    <w:rsid w:val="0050163E"/>
    <w:rsid w:val="005133B2"/>
    <w:rsid w:val="0052488D"/>
    <w:rsid w:val="005301E4"/>
    <w:rsid w:val="00536246"/>
    <w:rsid w:val="00561A15"/>
    <w:rsid w:val="00563B9A"/>
    <w:rsid w:val="00570886"/>
    <w:rsid w:val="0057642F"/>
    <w:rsid w:val="0058663C"/>
    <w:rsid w:val="005926A0"/>
    <w:rsid w:val="005A73F5"/>
    <w:rsid w:val="005B077F"/>
    <w:rsid w:val="005C034A"/>
    <w:rsid w:val="005C5369"/>
    <w:rsid w:val="005D36F0"/>
    <w:rsid w:val="005E1268"/>
    <w:rsid w:val="005E27C7"/>
    <w:rsid w:val="005E301A"/>
    <w:rsid w:val="005F2D22"/>
    <w:rsid w:val="005F7328"/>
    <w:rsid w:val="00600B5A"/>
    <w:rsid w:val="00602E49"/>
    <w:rsid w:val="00631F40"/>
    <w:rsid w:val="00634585"/>
    <w:rsid w:val="00646CC2"/>
    <w:rsid w:val="00653FFD"/>
    <w:rsid w:val="00657E37"/>
    <w:rsid w:val="0066048C"/>
    <w:rsid w:val="006B3C46"/>
    <w:rsid w:val="006E145A"/>
    <w:rsid w:val="006E390C"/>
    <w:rsid w:val="006E5DF6"/>
    <w:rsid w:val="006F018F"/>
    <w:rsid w:val="00700C32"/>
    <w:rsid w:val="0070248F"/>
    <w:rsid w:val="00704B15"/>
    <w:rsid w:val="007162B6"/>
    <w:rsid w:val="0072323B"/>
    <w:rsid w:val="00723D8B"/>
    <w:rsid w:val="00740319"/>
    <w:rsid w:val="00741ACB"/>
    <w:rsid w:val="00746341"/>
    <w:rsid w:val="007500D8"/>
    <w:rsid w:val="00755C69"/>
    <w:rsid w:val="00761B5F"/>
    <w:rsid w:val="00764D1B"/>
    <w:rsid w:val="00770954"/>
    <w:rsid w:val="00771106"/>
    <w:rsid w:val="007759F5"/>
    <w:rsid w:val="007770EA"/>
    <w:rsid w:val="00780D77"/>
    <w:rsid w:val="00782018"/>
    <w:rsid w:val="007876DF"/>
    <w:rsid w:val="007933A3"/>
    <w:rsid w:val="0079646C"/>
    <w:rsid w:val="007A7CD1"/>
    <w:rsid w:val="007B68FC"/>
    <w:rsid w:val="007B7E44"/>
    <w:rsid w:val="007C09D9"/>
    <w:rsid w:val="007C4DB0"/>
    <w:rsid w:val="007D5071"/>
    <w:rsid w:val="007D54AC"/>
    <w:rsid w:val="007E19F0"/>
    <w:rsid w:val="007E21B6"/>
    <w:rsid w:val="00800288"/>
    <w:rsid w:val="00801C28"/>
    <w:rsid w:val="00816CA0"/>
    <w:rsid w:val="00824D5A"/>
    <w:rsid w:val="00832D97"/>
    <w:rsid w:val="00837D2D"/>
    <w:rsid w:val="0084388F"/>
    <w:rsid w:val="008463E2"/>
    <w:rsid w:val="0085246F"/>
    <w:rsid w:val="00852472"/>
    <w:rsid w:val="00855082"/>
    <w:rsid w:val="00871261"/>
    <w:rsid w:val="00880EDC"/>
    <w:rsid w:val="00882E71"/>
    <w:rsid w:val="00883112"/>
    <w:rsid w:val="008A05E9"/>
    <w:rsid w:val="008C32EE"/>
    <w:rsid w:val="008C712F"/>
    <w:rsid w:val="008D5271"/>
    <w:rsid w:val="008D7FC9"/>
    <w:rsid w:val="008F2FE7"/>
    <w:rsid w:val="008F4957"/>
    <w:rsid w:val="009038D7"/>
    <w:rsid w:val="009109D4"/>
    <w:rsid w:val="009231CA"/>
    <w:rsid w:val="0093003C"/>
    <w:rsid w:val="00953DE4"/>
    <w:rsid w:val="00954A7A"/>
    <w:rsid w:val="00957E72"/>
    <w:rsid w:val="00961AAD"/>
    <w:rsid w:val="00965E80"/>
    <w:rsid w:val="009712A9"/>
    <w:rsid w:val="0097662D"/>
    <w:rsid w:val="0097700A"/>
    <w:rsid w:val="00984853"/>
    <w:rsid w:val="00986D97"/>
    <w:rsid w:val="00996156"/>
    <w:rsid w:val="00997FBE"/>
    <w:rsid w:val="009A36BD"/>
    <w:rsid w:val="009A425E"/>
    <w:rsid w:val="009A54C9"/>
    <w:rsid w:val="009A59AC"/>
    <w:rsid w:val="009B66EB"/>
    <w:rsid w:val="009C5A09"/>
    <w:rsid w:val="009D2B00"/>
    <w:rsid w:val="009E259C"/>
    <w:rsid w:val="009F33A0"/>
    <w:rsid w:val="00A108FF"/>
    <w:rsid w:val="00A15123"/>
    <w:rsid w:val="00A228ED"/>
    <w:rsid w:val="00A26BA3"/>
    <w:rsid w:val="00A31F85"/>
    <w:rsid w:val="00A41AD2"/>
    <w:rsid w:val="00A462EA"/>
    <w:rsid w:val="00A5629E"/>
    <w:rsid w:val="00A71FDD"/>
    <w:rsid w:val="00A80416"/>
    <w:rsid w:val="00A86F87"/>
    <w:rsid w:val="00AA1E45"/>
    <w:rsid w:val="00AB42EB"/>
    <w:rsid w:val="00AB5D28"/>
    <w:rsid w:val="00AB7109"/>
    <w:rsid w:val="00AC42C3"/>
    <w:rsid w:val="00AC542F"/>
    <w:rsid w:val="00AD0697"/>
    <w:rsid w:val="00AD15D9"/>
    <w:rsid w:val="00AD4C01"/>
    <w:rsid w:val="00AF3D6C"/>
    <w:rsid w:val="00B059CF"/>
    <w:rsid w:val="00B116AC"/>
    <w:rsid w:val="00B12E41"/>
    <w:rsid w:val="00B13C93"/>
    <w:rsid w:val="00B13D9B"/>
    <w:rsid w:val="00B20328"/>
    <w:rsid w:val="00B23B6B"/>
    <w:rsid w:val="00B4445C"/>
    <w:rsid w:val="00B45E28"/>
    <w:rsid w:val="00B533DC"/>
    <w:rsid w:val="00B54F7B"/>
    <w:rsid w:val="00B8524D"/>
    <w:rsid w:val="00B85672"/>
    <w:rsid w:val="00B86664"/>
    <w:rsid w:val="00B86E39"/>
    <w:rsid w:val="00B9026A"/>
    <w:rsid w:val="00B96238"/>
    <w:rsid w:val="00BA2AE3"/>
    <w:rsid w:val="00BE0376"/>
    <w:rsid w:val="00BE1B32"/>
    <w:rsid w:val="00BE3691"/>
    <w:rsid w:val="00BF42E0"/>
    <w:rsid w:val="00C00FF9"/>
    <w:rsid w:val="00C01BDD"/>
    <w:rsid w:val="00C14D6A"/>
    <w:rsid w:val="00C14D93"/>
    <w:rsid w:val="00C14E8F"/>
    <w:rsid w:val="00C20F54"/>
    <w:rsid w:val="00C228C5"/>
    <w:rsid w:val="00C27DDD"/>
    <w:rsid w:val="00C308E7"/>
    <w:rsid w:val="00C3148F"/>
    <w:rsid w:val="00C35520"/>
    <w:rsid w:val="00C36CC5"/>
    <w:rsid w:val="00C413AF"/>
    <w:rsid w:val="00C42143"/>
    <w:rsid w:val="00C52630"/>
    <w:rsid w:val="00C56074"/>
    <w:rsid w:val="00C56C78"/>
    <w:rsid w:val="00C72EE0"/>
    <w:rsid w:val="00C74410"/>
    <w:rsid w:val="00C7531E"/>
    <w:rsid w:val="00C76E05"/>
    <w:rsid w:val="00C9135D"/>
    <w:rsid w:val="00C948B5"/>
    <w:rsid w:val="00C963C7"/>
    <w:rsid w:val="00CB5ECA"/>
    <w:rsid w:val="00CC5A6C"/>
    <w:rsid w:val="00CF1229"/>
    <w:rsid w:val="00D031F5"/>
    <w:rsid w:val="00D03FED"/>
    <w:rsid w:val="00D124C2"/>
    <w:rsid w:val="00D1299C"/>
    <w:rsid w:val="00D13B0B"/>
    <w:rsid w:val="00D24657"/>
    <w:rsid w:val="00D25EC4"/>
    <w:rsid w:val="00D27FC3"/>
    <w:rsid w:val="00D364E3"/>
    <w:rsid w:val="00D3663F"/>
    <w:rsid w:val="00D443B2"/>
    <w:rsid w:val="00D64BD8"/>
    <w:rsid w:val="00D64F36"/>
    <w:rsid w:val="00D71B67"/>
    <w:rsid w:val="00D81780"/>
    <w:rsid w:val="00D81BC9"/>
    <w:rsid w:val="00D84FA1"/>
    <w:rsid w:val="00D976DE"/>
    <w:rsid w:val="00DA0ACF"/>
    <w:rsid w:val="00DB07D6"/>
    <w:rsid w:val="00DD4933"/>
    <w:rsid w:val="00DF0003"/>
    <w:rsid w:val="00DF0F1F"/>
    <w:rsid w:val="00DF4DFA"/>
    <w:rsid w:val="00DF5DC3"/>
    <w:rsid w:val="00E06ED1"/>
    <w:rsid w:val="00E209D6"/>
    <w:rsid w:val="00E32042"/>
    <w:rsid w:val="00E412DF"/>
    <w:rsid w:val="00E43EC9"/>
    <w:rsid w:val="00E447C6"/>
    <w:rsid w:val="00E4556D"/>
    <w:rsid w:val="00E458B6"/>
    <w:rsid w:val="00E4764F"/>
    <w:rsid w:val="00E553B1"/>
    <w:rsid w:val="00E5572A"/>
    <w:rsid w:val="00E6071C"/>
    <w:rsid w:val="00E72C7E"/>
    <w:rsid w:val="00E72E47"/>
    <w:rsid w:val="00E761C3"/>
    <w:rsid w:val="00E97D97"/>
    <w:rsid w:val="00EA137B"/>
    <w:rsid w:val="00EC0030"/>
    <w:rsid w:val="00EC1214"/>
    <w:rsid w:val="00ED53CB"/>
    <w:rsid w:val="00ED7321"/>
    <w:rsid w:val="00EE2566"/>
    <w:rsid w:val="00EE4221"/>
    <w:rsid w:val="00EE66FF"/>
    <w:rsid w:val="00F000D5"/>
    <w:rsid w:val="00F01CA8"/>
    <w:rsid w:val="00F02D17"/>
    <w:rsid w:val="00F13781"/>
    <w:rsid w:val="00F14C7E"/>
    <w:rsid w:val="00F2248C"/>
    <w:rsid w:val="00F26EC5"/>
    <w:rsid w:val="00F31B57"/>
    <w:rsid w:val="00F369C8"/>
    <w:rsid w:val="00F40C1F"/>
    <w:rsid w:val="00F41E8D"/>
    <w:rsid w:val="00F4586F"/>
    <w:rsid w:val="00F45FE5"/>
    <w:rsid w:val="00F523F4"/>
    <w:rsid w:val="00F76117"/>
    <w:rsid w:val="00F85787"/>
    <w:rsid w:val="00F90266"/>
    <w:rsid w:val="00F93C98"/>
    <w:rsid w:val="00FA00F1"/>
    <w:rsid w:val="00FB0C59"/>
    <w:rsid w:val="00FB1A1C"/>
    <w:rsid w:val="00FB5BBD"/>
    <w:rsid w:val="00FC10DE"/>
    <w:rsid w:val="00FC1F95"/>
    <w:rsid w:val="00FC1FD0"/>
    <w:rsid w:val="00FE0C9E"/>
    <w:rsid w:val="00FE3721"/>
    <w:rsid w:val="00FE4BB6"/>
    <w:rsid w:val="0A145720"/>
    <w:rsid w:val="0BC26927"/>
    <w:rsid w:val="15F87C28"/>
    <w:rsid w:val="166B3AE9"/>
    <w:rsid w:val="21A27651"/>
    <w:rsid w:val="2D0550DF"/>
    <w:rsid w:val="384D02D8"/>
    <w:rsid w:val="3A2C1553"/>
    <w:rsid w:val="3DD52E0F"/>
    <w:rsid w:val="3FA92B05"/>
    <w:rsid w:val="55210E3A"/>
    <w:rsid w:val="580658DA"/>
    <w:rsid w:val="5BFA531E"/>
    <w:rsid w:val="5FD92D47"/>
    <w:rsid w:val="67580389"/>
    <w:rsid w:val="6B473411"/>
    <w:rsid w:val="70182EB1"/>
    <w:rsid w:val="77DE7BF4"/>
    <w:rsid w:val="788A7B30"/>
    <w:rsid w:val="797D5FB5"/>
    <w:rsid w:val="7B381E1D"/>
    <w:rsid w:val="7C3D6015"/>
    <w:rsid w:val="7CE058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7E1"/>
    <w:pPr>
      <w:spacing w:after="200" w:line="276" w:lineRule="auto"/>
    </w:pPr>
    <w:rPr>
      <w:sz w:val="22"/>
      <w:szCs w:val="22"/>
      <w:lang w:eastAsia="en-US" w:bidi="en-US"/>
    </w:rPr>
  </w:style>
  <w:style w:type="paragraph" w:styleId="1">
    <w:name w:val="heading 1"/>
    <w:basedOn w:val="a"/>
    <w:next w:val="a"/>
    <w:link w:val="1Char"/>
    <w:uiPriority w:val="9"/>
    <w:qFormat/>
    <w:rsid w:val="003C1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3C17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C17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C17E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C17E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3C17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3C17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3C17E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3C17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3C17E1"/>
    <w:pPr>
      <w:spacing w:line="240" w:lineRule="auto"/>
    </w:pPr>
    <w:rPr>
      <w:b/>
      <w:bCs/>
      <w:color w:val="4F81BD" w:themeColor="accent1"/>
      <w:sz w:val="18"/>
      <w:szCs w:val="18"/>
    </w:rPr>
  </w:style>
  <w:style w:type="paragraph" w:styleId="a4">
    <w:name w:val="Date"/>
    <w:basedOn w:val="a"/>
    <w:next w:val="a"/>
    <w:link w:val="Char"/>
    <w:uiPriority w:val="99"/>
    <w:semiHidden/>
    <w:unhideWhenUsed/>
    <w:qFormat/>
    <w:rsid w:val="003C17E1"/>
    <w:pPr>
      <w:ind w:leftChars="2500" w:left="100"/>
    </w:pPr>
  </w:style>
  <w:style w:type="paragraph" w:styleId="a5">
    <w:name w:val="Balloon Text"/>
    <w:basedOn w:val="a"/>
    <w:link w:val="Char0"/>
    <w:uiPriority w:val="99"/>
    <w:semiHidden/>
    <w:unhideWhenUsed/>
    <w:qFormat/>
    <w:rsid w:val="003C17E1"/>
    <w:pPr>
      <w:spacing w:after="0" w:line="240" w:lineRule="auto"/>
    </w:pPr>
    <w:rPr>
      <w:sz w:val="18"/>
      <w:szCs w:val="18"/>
    </w:rPr>
  </w:style>
  <w:style w:type="paragraph" w:styleId="a6">
    <w:name w:val="footer"/>
    <w:basedOn w:val="a"/>
    <w:link w:val="Char1"/>
    <w:uiPriority w:val="99"/>
    <w:unhideWhenUsed/>
    <w:qFormat/>
    <w:rsid w:val="003C17E1"/>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qFormat/>
    <w:rsid w:val="003C17E1"/>
    <w:pPr>
      <w:pBdr>
        <w:bottom w:val="single" w:sz="6" w:space="0" w:color="auto"/>
      </w:pBdr>
      <w:tabs>
        <w:tab w:val="center" w:pos="4153"/>
        <w:tab w:val="left" w:pos="5460"/>
        <w:tab w:val="right" w:pos="8306"/>
      </w:tabs>
      <w:snapToGrid w:val="0"/>
      <w:spacing w:line="240" w:lineRule="auto"/>
    </w:pPr>
    <w:rPr>
      <w:rFonts w:asciiTheme="minorEastAsia" w:hAnsiTheme="minorEastAsia"/>
      <w:b/>
      <w:sz w:val="24"/>
      <w:szCs w:val="24"/>
      <w:lang w:eastAsia="zh-CN"/>
    </w:rPr>
  </w:style>
  <w:style w:type="paragraph" w:styleId="10">
    <w:name w:val="toc 1"/>
    <w:basedOn w:val="a"/>
    <w:next w:val="a"/>
    <w:unhideWhenUsed/>
    <w:qFormat/>
    <w:rsid w:val="003C17E1"/>
  </w:style>
  <w:style w:type="paragraph" w:styleId="a8">
    <w:name w:val="Subtitle"/>
    <w:basedOn w:val="a"/>
    <w:next w:val="a"/>
    <w:link w:val="Char3"/>
    <w:uiPriority w:val="11"/>
    <w:qFormat/>
    <w:rsid w:val="003C17E1"/>
    <w:rPr>
      <w:rFonts w:asciiTheme="majorHAnsi" w:eastAsiaTheme="majorEastAsia" w:hAnsiTheme="majorHAnsi" w:cstheme="majorBidi"/>
      <w:i/>
      <w:iCs/>
      <w:color w:val="4F81BD" w:themeColor="accent1"/>
      <w:spacing w:val="15"/>
      <w:sz w:val="24"/>
      <w:szCs w:val="24"/>
    </w:rPr>
  </w:style>
  <w:style w:type="paragraph" w:styleId="20">
    <w:name w:val="toc 2"/>
    <w:basedOn w:val="a"/>
    <w:next w:val="a"/>
    <w:uiPriority w:val="39"/>
    <w:unhideWhenUsed/>
    <w:qFormat/>
    <w:rsid w:val="003C17E1"/>
    <w:pPr>
      <w:ind w:leftChars="200" w:left="420"/>
    </w:pPr>
  </w:style>
  <w:style w:type="paragraph" w:styleId="a9">
    <w:name w:val="Title"/>
    <w:basedOn w:val="a"/>
    <w:next w:val="a"/>
    <w:link w:val="Char4"/>
    <w:uiPriority w:val="10"/>
    <w:qFormat/>
    <w:rsid w:val="003C17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aa">
    <w:name w:val="Strong"/>
    <w:basedOn w:val="a0"/>
    <w:uiPriority w:val="22"/>
    <w:qFormat/>
    <w:rsid w:val="003C17E1"/>
    <w:rPr>
      <w:b/>
      <w:bCs/>
    </w:rPr>
  </w:style>
  <w:style w:type="character" w:styleId="ab">
    <w:name w:val="Emphasis"/>
    <w:basedOn w:val="a0"/>
    <w:uiPriority w:val="20"/>
    <w:qFormat/>
    <w:rsid w:val="003C17E1"/>
    <w:rPr>
      <w:i/>
      <w:iCs/>
    </w:rPr>
  </w:style>
  <w:style w:type="character" w:styleId="ac">
    <w:name w:val="Hyperlink"/>
    <w:basedOn w:val="a0"/>
    <w:uiPriority w:val="99"/>
    <w:unhideWhenUsed/>
    <w:qFormat/>
    <w:rsid w:val="003C17E1"/>
    <w:rPr>
      <w:color w:val="0000FF" w:themeColor="hyperlink"/>
      <w:u w:val="single"/>
    </w:rPr>
  </w:style>
  <w:style w:type="character" w:customStyle="1" w:styleId="1Char">
    <w:name w:val="标题 1 Char"/>
    <w:basedOn w:val="a0"/>
    <w:link w:val="1"/>
    <w:uiPriority w:val="9"/>
    <w:qFormat/>
    <w:rsid w:val="003C17E1"/>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qFormat/>
    <w:rsid w:val="003C17E1"/>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qFormat/>
    <w:rsid w:val="003C17E1"/>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qFormat/>
    <w:rsid w:val="003C17E1"/>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qFormat/>
    <w:rsid w:val="003C17E1"/>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qFormat/>
    <w:rsid w:val="003C17E1"/>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qFormat/>
    <w:rsid w:val="003C17E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qFormat/>
    <w:rsid w:val="003C17E1"/>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qFormat/>
    <w:rsid w:val="003C17E1"/>
    <w:rPr>
      <w:rFonts w:asciiTheme="majorHAnsi" w:eastAsiaTheme="majorEastAsia" w:hAnsiTheme="majorHAnsi" w:cstheme="majorBidi"/>
      <w:i/>
      <w:iCs/>
      <w:color w:val="404040" w:themeColor="text1" w:themeTint="BF"/>
      <w:sz w:val="20"/>
      <w:szCs w:val="20"/>
    </w:rPr>
  </w:style>
  <w:style w:type="character" w:customStyle="1" w:styleId="Char4">
    <w:name w:val="标题 Char"/>
    <w:basedOn w:val="a0"/>
    <w:link w:val="a9"/>
    <w:uiPriority w:val="10"/>
    <w:qFormat/>
    <w:rsid w:val="003C17E1"/>
    <w:rPr>
      <w:rFonts w:asciiTheme="majorHAnsi" w:eastAsiaTheme="majorEastAsia" w:hAnsiTheme="majorHAnsi" w:cstheme="majorBidi"/>
      <w:color w:val="17365D" w:themeColor="text2" w:themeShade="BF"/>
      <w:spacing w:val="5"/>
      <w:kern w:val="28"/>
      <w:sz w:val="52"/>
      <w:szCs w:val="52"/>
    </w:rPr>
  </w:style>
  <w:style w:type="character" w:customStyle="1" w:styleId="Char3">
    <w:name w:val="副标题 Char"/>
    <w:basedOn w:val="a0"/>
    <w:link w:val="a8"/>
    <w:uiPriority w:val="11"/>
    <w:qFormat/>
    <w:rsid w:val="003C17E1"/>
    <w:rPr>
      <w:rFonts w:asciiTheme="majorHAnsi" w:eastAsiaTheme="majorEastAsia" w:hAnsiTheme="majorHAnsi" w:cstheme="majorBidi"/>
      <w:i/>
      <w:iCs/>
      <w:color w:val="4F81BD" w:themeColor="accent1"/>
      <w:spacing w:val="15"/>
      <w:sz w:val="24"/>
      <w:szCs w:val="24"/>
    </w:rPr>
  </w:style>
  <w:style w:type="paragraph" w:styleId="ad">
    <w:name w:val="No Spacing"/>
    <w:uiPriority w:val="1"/>
    <w:qFormat/>
    <w:rsid w:val="003C17E1"/>
    <w:rPr>
      <w:sz w:val="22"/>
      <w:szCs w:val="22"/>
      <w:lang w:eastAsia="en-US" w:bidi="en-US"/>
    </w:rPr>
  </w:style>
  <w:style w:type="paragraph" w:styleId="ae">
    <w:name w:val="List Paragraph"/>
    <w:basedOn w:val="a"/>
    <w:uiPriority w:val="34"/>
    <w:qFormat/>
    <w:rsid w:val="003C17E1"/>
    <w:pPr>
      <w:ind w:left="720"/>
      <w:contextualSpacing/>
    </w:pPr>
  </w:style>
  <w:style w:type="paragraph" w:styleId="af">
    <w:name w:val="Quote"/>
    <w:basedOn w:val="a"/>
    <w:next w:val="a"/>
    <w:link w:val="Char5"/>
    <w:uiPriority w:val="29"/>
    <w:qFormat/>
    <w:rsid w:val="003C17E1"/>
    <w:rPr>
      <w:i/>
      <w:iCs/>
      <w:color w:val="000000" w:themeColor="text1"/>
    </w:rPr>
  </w:style>
  <w:style w:type="character" w:customStyle="1" w:styleId="Char5">
    <w:name w:val="引用 Char"/>
    <w:basedOn w:val="a0"/>
    <w:link w:val="af"/>
    <w:uiPriority w:val="29"/>
    <w:qFormat/>
    <w:rsid w:val="003C17E1"/>
    <w:rPr>
      <w:i/>
      <w:iCs/>
      <w:color w:val="000000" w:themeColor="text1"/>
    </w:rPr>
  </w:style>
  <w:style w:type="paragraph" w:styleId="af0">
    <w:name w:val="Intense Quote"/>
    <w:basedOn w:val="a"/>
    <w:next w:val="a"/>
    <w:link w:val="Char6"/>
    <w:uiPriority w:val="30"/>
    <w:qFormat/>
    <w:rsid w:val="003C17E1"/>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0"/>
    <w:link w:val="af0"/>
    <w:uiPriority w:val="30"/>
    <w:qFormat/>
    <w:rsid w:val="003C17E1"/>
    <w:rPr>
      <w:b/>
      <w:bCs/>
      <w:i/>
      <w:iCs/>
      <w:color w:val="4F81BD" w:themeColor="accent1"/>
    </w:rPr>
  </w:style>
  <w:style w:type="character" w:customStyle="1" w:styleId="11">
    <w:name w:val="不明显强调1"/>
    <w:basedOn w:val="a0"/>
    <w:uiPriority w:val="19"/>
    <w:qFormat/>
    <w:rsid w:val="003C17E1"/>
    <w:rPr>
      <w:i/>
      <w:iCs/>
      <w:color w:val="808080" w:themeColor="text1" w:themeTint="7F"/>
    </w:rPr>
  </w:style>
  <w:style w:type="character" w:customStyle="1" w:styleId="12">
    <w:name w:val="明显强调1"/>
    <w:basedOn w:val="a0"/>
    <w:uiPriority w:val="21"/>
    <w:qFormat/>
    <w:rsid w:val="003C17E1"/>
    <w:rPr>
      <w:b/>
      <w:bCs/>
      <w:i/>
      <w:iCs/>
      <w:color w:val="4F81BD" w:themeColor="accent1"/>
    </w:rPr>
  </w:style>
  <w:style w:type="character" w:customStyle="1" w:styleId="13">
    <w:name w:val="不明显参考1"/>
    <w:basedOn w:val="a0"/>
    <w:uiPriority w:val="31"/>
    <w:qFormat/>
    <w:rsid w:val="003C17E1"/>
    <w:rPr>
      <w:smallCaps/>
      <w:color w:val="C0504D" w:themeColor="accent2"/>
      <w:u w:val="single"/>
    </w:rPr>
  </w:style>
  <w:style w:type="character" w:customStyle="1" w:styleId="14">
    <w:name w:val="明显参考1"/>
    <w:basedOn w:val="a0"/>
    <w:uiPriority w:val="32"/>
    <w:qFormat/>
    <w:rsid w:val="003C17E1"/>
    <w:rPr>
      <w:b/>
      <w:bCs/>
      <w:smallCaps/>
      <w:color w:val="C0504D" w:themeColor="accent2"/>
      <w:spacing w:val="5"/>
      <w:u w:val="single"/>
    </w:rPr>
  </w:style>
  <w:style w:type="character" w:customStyle="1" w:styleId="15">
    <w:name w:val="书籍标题1"/>
    <w:basedOn w:val="a0"/>
    <w:uiPriority w:val="33"/>
    <w:qFormat/>
    <w:rsid w:val="003C17E1"/>
    <w:rPr>
      <w:b/>
      <w:bCs/>
      <w:smallCaps/>
      <w:spacing w:val="5"/>
    </w:rPr>
  </w:style>
  <w:style w:type="paragraph" w:customStyle="1" w:styleId="TOC1">
    <w:name w:val="TOC 标题1"/>
    <w:basedOn w:val="1"/>
    <w:next w:val="a"/>
    <w:uiPriority w:val="39"/>
    <w:semiHidden/>
    <w:unhideWhenUsed/>
    <w:qFormat/>
    <w:rsid w:val="003C17E1"/>
    <w:pPr>
      <w:outlineLvl w:val="9"/>
    </w:pPr>
  </w:style>
  <w:style w:type="character" w:customStyle="1" w:styleId="Char2">
    <w:name w:val="页眉 Char"/>
    <w:basedOn w:val="a0"/>
    <w:link w:val="a7"/>
    <w:uiPriority w:val="99"/>
    <w:qFormat/>
    <w:rsid w:val="003C17E1"/>
    <w:rPr>
      <w:rFonts w:asciiTheme="minorEastAsia" w:hAnsiTheme="minorEastAsia"/>
      <w:b/>
      <w:sz w:val="24"/>
      <w:szCs w:val="24"/>
      <w:lang w:eastAsia="zh-CN"/>
    </w:rPr>
  </w:style>
  <w:style w:type="character" w:customStyle="1" w:styleId="Char1">
    <w:name w:val="页脚 Char"/>
    <w:basedOn w:val="a0"/>
    <w:link w:val="a6"/>
    <w:uiPriority w:val="99"/>
    <w:qFormat/>
    <w:rsid w:val="003C17E1"/>
    <w:rPr>
      <w:sz w:val="18"/>
      <w:szCs w:val="18"/>
    </w:rPr>
  </w:style>
  <w:style w:type="character" w:customStyle="1" w:styleId="Char0">
    <w:name w:val="批注框文本 Char"/>
    <w:basedOn w:val="a0"/>
    <w:link w:val="a5"/>
    <w:uiPriority w:val="99"/>
    <w:semiHidden/>
    <w:qFormat/>
    <w:rsid w:val="003C17E1"/>
    <w:rPr>
      <w:sz w:val="18"/>
      <w:szCs w:val="18"/>
    </w:rPr>
  </w:style>
  <w:style w:type="paragraph" w:customStyle="1" w:styleId="Default">
    <w:name w:val="Default"/>
    <w:qFormat/>
    <w:rsid w:val="003C17E1"/>
    <w:pPr>
      <w:widowControl w:val="0"/>
      <w:autoSpaceDE w:val="0"/>
      <w:autoSpaceDN w:val="0"/>
      <w:adjustRightInd w:val="0"/>
    </w:pPr>
    <w:rPr>
      <w:rFonts w:ascii="Times New Roman" w:hAnsi="Times New Roman" w:cs="Times New Roman"/>
      <w:color w:val="000000"/>
      <w:sz w:val="24"/>
      <w:szCs w:val="24"/>
      <w:lang w:eastAsia="en-US"/>
    </w:rPr>
  </w:style>
  <w:style w:type="paragraph" w:customStyle="1" w:styleId="WPSOffice1">
    <w:name w:val="WPSOffice手动目录 1"/>
    <w:qFormat/>
    <w:rsid w:val="003C17E1"/>
  </w:style>
  <w:style w:type="paragraph" w:customStyle="1" w:styleId="WPSOffice2">
    <w:name w:val="WPSOffice手动目录 2"/>
    <w:qFormat/>
    <w:rsid w:val="003C17E1"/>
    <w:pPr>
      <w:ind w:leftChars="200" w:left="200"/>
    </w:pPr>
  </w:style>
  <w:style w:type="paragraph" w:customStyle="1" w:styleId="TOC2">
    <w:name w:val="TOC 标题2"/>
    <w:basedOn w:val="1"/>
    <w:next w:val="a"/>
    <w:uiPriority w:val="39"/>
    <w:semiHidden/>
    <w:unhideWhenUsed/>
    <w:qFormat/>
    <w:rsid w:val="003C17E1"/>
    <w:pPr>
      <w:outlineLvl w:val="9"/>
    </w:pPr>
    <w:rPr>
      <w:lang w:eastAsia="zh-CN" w:bidi="ar-SA"/>
    </w:rPr>
  </w:style>
  <w:style w:type="character" w:customStyle="1" w:styleId="Char">
    <w:name w:val="日期 Char"/>
    <w:basedOn w:val="a0"/>
    <w:link w:val="a4"/>
    <w:uiPriority w:val="99"/>
    <w:semiHidden/>
    <w:qFormat/>
    <w:rsid w:val="003C17E1"/>
    <w:rPr>
      <w:sz w:val="22"/>
      <w:szCs w:val="22"/>
      <w:lang w:eastAsia="en-US" w:bidi="en-US"/>
    </w:rPr>
  </w:style>
  <w:style w:type="paragraph" w:customStyle="1" w:styleId="WPSOffice3">
    <w:name w:val="WPSOffice手动目录 3"/>
    <w:qFormat/>
    <w:rsid w:val="003C17E1"/>
    <w:pPr>
      <w:ind w:leftChars="400" w:left="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都市">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C9FDA-7A8D-4981-85EF-5304D078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975</Words>
  <Characters>5563</Characters>
  <Application>Microsoft Office Word</Application>
  <DocSecurity>0</DocSecurity>
  <Lines>46</Lines>
  <Paragraphs>13</Paragraphs>
  <ScaleCrop>false</ScaleCrop>
  <Company>微软中国</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cp:lastPrinted>2019-07-18T07:42:00Z</cp:lastPrinted>
  <dcterms:created xsi:type="dcterms:W3CDTF">2019-07-18T08:46:00Z</dcterms:created>
  <dcterms:modified xsi:type="dcterms:W3CDTF">2019-07-31T03:35:00Z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