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《广东省人民政府办公厅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关于妥善解决我省民营盐场与私晒盐问题的指导意见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（代拟稿）》的起草说明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</w:rPr>
        <w:t>为妥善解决民营盐场与私晒盐问题，确保我省盐业体制改革“不留尾巴”，保障我省食盐市场安全稳定，根据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2018年</w:t>
      </w:r>
      <w:r>
        <w:rPr>
          <w:rFonts w:hint="eastAsia" w:eastAsia="仿宋_GB2312" w:cs="仿宋_GB2312"/>
          <w:color w:val="auto"/>
          <w:sz w:val="32"/>
          <w:szCs w:val="32"/>
        </w:rPr>
        <w:t>省政府督导落实省盐业体制改革工作会议要求，省市场监管局、省工业和信息化厅、省盐业集团有限公司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开展专题调研，并形成《民营盐</w:t>
      </w:r>
      <w:r>
        <w:rPr>
          <w:rFonts w:hint="eastAsia" w:cs="仿宋_GB2312"/>
          <w:color w:val="auto"/>
          <w:sz w:val="32"/>
          <w:szCs w:val="32"/>
          <w:lang w:eastAsia="zh-CN"/>
        </w:rPr>
        <w:t>场与私晒盐问题专题调研报告》。根据调研情况，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2019年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2月28日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省政府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专题研究</w:t>
      </w:r>
      <w:r>
        <w:rPr>
          <w:rFonts w:hint="eastAsia" w:cs="仿宋_GB2312"/>
          <w:color w:val="auto"/>
          <w:sz w:val="32"/>
          <w:szCs w:val="32"/>
          <w:lang w:eastAsia="zh-CN"/>
        </w:rPr>
        <w:t>，明确出台妥善解决我省民营盐场和私晒盐问题指导意见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一、起草背景</w:t>
      </w:r>
    </w:p>
    <w:p>
      <w:pPr>
        <w:spacing w:line="620" w:lineRule="exact"/>
        <w:ind w:firstLine="640" w:firstLineChars="200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民营盐场与私晒盐问题存在已久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，但各地一直未采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行之有效的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解决措施，导致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民营盐场与私晒盐问题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悬而未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决。</w:t>
      </w:r>
      <w:r>
        <w:rPr>
          <w:rFonts w:hint="eastAsia" w:eastAsia="仿宋_GB2312" w:cs="仿宋_GB2312"/>
          <w:color w:val="auto"/>
          <w:sz w:val="32"/>
          <w:szCs w:val="32"/>
        </w:rPr>
        <w:t>该问题</w:t>
      </w:r>
      <w:r>
        <w:rPr>
          <w:rFonts w:hint="eastAsia" w:cs="仿宋_GB2312"/>
          <w:color w:val="auto"/>
          <w:sz w:val="32"/>
          <w:szCs w:val="32"/>
          <w:lang w:eastAsia="zh-CN"/>
        </w:rPr>
        <w:t>的存在</w:t>
      </w:r>
      <w:r>
        <w:rPr>
          <w:rFonts w:hint="eastAsia" w:eastAsia="仿宋_GB2312" w:cs="仿宋_GB2312"/>
          <w:color w:val="auto"/>
          <w:sz w:val="32"/>
          <w:szCs w:val="32"/>
        </w:rPr>
        <w:t>，不仅扰乱食盐市场秩序，影响人民群众身体健康，而且给社会带来不稳定因素。</w:t>
      </w:r>
      <w:r>
        <w:rPr>
          <w:rFonts w:hint="eastAsia" w:cs="仿宋_GB2312"/>
          <w:color w:val="auto"/>
          <w:sz w:val="32"/>
          <w:szCs w:val="32"/>
          <w:lang w:eastAsia="zh-CN"/>
        </w:rPr>
        <w:t>为</w:t>
      </w:r>
      <w:r>
        <w:rPr>
          <w:rFonts w:hint="eastAsia" w:eastAsia="仿宋_GB2312" w:cs="仿宋_GB2312"/>
          <w:color w:val="auto"/>
          <w:sz w:val="32"/>
          <w:szCs w:val="32"/>
        </w:rPr>
        <w:t>确保我省盐业体制改革“不留尾巴”，保障我省食盐市场安全稳定</w:t>
      </w:r>
      <w:r>
        <w:rPr>
          <w:rFonts w:hint="eastAsia" w:cs="仿宋_GB2312"/>
          <w:color w:val="auto"/>
          <w:sz w:val="32"/>
          <w:szCs w:val="32"/>
          <w:lang w:eastAsia="zh-CN"/>
        </w:rPr>
        <w:t>，根据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省政府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解决民营盐场与私晒盐问题专题研究</w:t>
      </w:r>
      <w:r>
        <w:rPr>
          <w:rFonts w:hint="eastAsia" w:cs="仿宋_GB2312"/>
          <w:color w:val="auto"/>
          <w:sz w:val="32"/>
          <w:szCs w:val="32"/>
          <w:lang w:eastAsia="zh-CN"/>
        </w:rPr>
        <w:t>会议精神</w:t>
      </w:r>
      <w:r>
        <w:rPr>
          <w:rFonts w:hint="eastAsia" w:cs="Times New Roman"/>
          <w:color w:val="auto"/>
          <w:sz w:val="32"/>
          <w:szCs w:val="32"/>
          <w:lang w:eastAsia="zh-CN"/>
        </w:rPr>
        <w:t>，省市场监管局牵头起草了全省性指导意见报省政府审定，对各地、各部门妥善解决民营盐场与私晒盐问题有关工作进行指导。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3-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5月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cs="仿宋_GB2312"/>
          <w:color w:val="auto"/>
          <w:sz w:val="32"/>
          <w:szCs w:val="32"/>
          <w:lang w:eastAsia="zh-CN"/>
        </w:rPr>
        <w:t>省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市场监管局</w:t>
      </w:r>
      <w:r>
        <w:rPr>
          <w:rFonts w:hint="eastAsia" w:cs="仿宋_GB2312"/>
          <w:color w:val="auto"/>
          <w:sz w:val="32"/>
          <w:szCs w:val="32"/>
          <w:lang w:eastAsia="zh-CN"/>
        </w:rPr>
        <w:t>在前期调研的基础上，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起草了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cs="仿宋_GB2312"/>
          <w:color w:val="auto"/>
          <w:sz w:val="32"/>
          <w:szCs w:val="32"/>
          <w:lang w:eastAsia="zh-CN"/>
        </w:rPr>
        <w:t>关于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妥善解决我省民营盐场与私晒盐问题的指导意见（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征求意见稿）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》（以下简称《指导意见》），征求了有关部门意见，对草拟的《指导意见》进行逐条修改。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5-6月，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省市场监管局向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17个有关部门征求意见。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6月底，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汇总各方初步意见和建议后，再次向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19个有关部门征求意见。两次意见征求，共有10部门反馈意见24条，其中采纳18条，部分采纳1条，其余4条意见与2019年省政府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解决民营盐场与私晒盐问题专题研究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会议精神不符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，不予采纳。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7月，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经再次汇总各方意见和建议后，进一步修改形成《</w:t>
      </w:r>
      <w:r>
        <w:rPr>
          <w:rFonts w:hint="eastAsia" w:cs="仿宋_GB2312"/>
          <w:color w:val="auto"/>
          <w:sz w:val="32"/>
          <w:szCs w:val="32"/>
          <w:lang w:eastAsia="zh-CN"/>
        </w:rPr>
        <w:t>广东省人民政府办公厅关于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妥善解决我省民营盐场与私晒盐问题的指导意见</w:t>
      </w:r>
      <w:r>
        <w:rPr>
          <w:rFonts w:hint="eastAsia" w:cs="仿宋_GB2312"/>
          <w:color w:val="auto"/>
          <w:sz w:val="32"/>
          <w:szCs w:val="32"/>
          <w:lang w:eastAsia="zh-CN"/>
        </w:rPr>
        <w:t>（代拟稿）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0" w:rightChars="0"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正文内容分三个部分：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（一）总体要求。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全面贯彻党的十八大、十九大精神，深入贯彻习近平总书记系列重要讲话精神</w:t>
      </w:r>
      <w:r>
        <w:rPr>
          <w:rFonts w:hint="eastAsia" w:cs="Times New Roman"/>
          <w:color w:val="auto"/>
          <w:sz w:val="32"/>
          <w:szCs w:val="32"/>
          <w:lang w:eastAsia="zh-CN"/>
        </w:rPr>
        <w:t>为指导思想。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政府主导，多方参与；因地制宜，疏堵结合；协调联动，强化监管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”为基本原则。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年底前，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私晒盐田要全部停产并由盐田产权所有者收回盐田；到2020年底前，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民营盐场要制定转产规划并组织实施。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（二）主要任务。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加大对私晒盐的清理力度。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各地乡镇政府、村委会要对盐民做好深入细致的思想工作，宣传政策法规，并采取措施逐步收回盐田，消除私晒盐问题。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制定民营盐场转产规划。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要求各地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结合“精准扶贫”的要求，根据盐田的位置、当地产业优势及盐民的意愿，制定本地民营盐场转产规划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做好盐场土地收储和开发利用工作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要结合当地发展、建设等方面情况综合考虑，通过做好盐田土地的收储、开发，充分利用盐田土地资源，促进当地经济发展，改善盐民生活水平。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做好盐民转业培训及安置工作。组织开展盐民转业劳动技能培训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让盐民拥有一技之长，更好地适应盐业转产转业。鼓励社会资本参与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带动更多盐民就业。完善盐民社会保障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积极推动符合条件的转业盐民参加企业职工基本养老保险，对参加城乡居民基本养老保险的转业盐民，按规定落实各项补助，将符合条件的转业盐民纳入救助范围。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加强食盐市场监管。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各地市场监管部门要在食品生产、流通和消费等环节继续把食盐列为重点监管品种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工信部门要指导、督促工业盐生产、经营和使用的企业，严防工业盐流入食盐市场。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强化工作保障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压实当地政府的属地责任。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地政府要分别制定民营盐场和私晒盐处置措施，对因产业政策调整而无法继续生产经营的民营盐场，要引导其尽快转产，发展为水产养殖、盐田特色旅游等项目，或引入新项目建设实施土地收储，吸纳现有就业人员等予以消化，并给予必要的补助；对私晒盐要加强监管，坚决予以打击取缔，切实维护食盐市场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加大政策支持力度。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省各有关部门要在职责范围内，对民营盐场转产、消化进一步加大政策扶持力度，尤其在本部门的专项资金中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加大宣传引导和培训。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各地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各部门要综合利用多种方式和渠道，普及食盐安全知识，尤其要让民营盐场与私晒盐所在区域的群众，充分了解使用或食用不合格盐产品的危害性，消除认识误区，形成知盐、识盐和安全合理用盐的良好氛围。</w:t>
      </w:r>
    </w:p>
    <w:p>
      <w:pPr>
        <w:ind w:firstLine="6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5C26"/>
    <w:rsid w:val="61DA5C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2019-07-22T03:01:00Z</dcterms:created>
  <dc:creator>袁田</dc:creator>
  <cp:lastModifiedBy>袁田</cp:lastModifiedBy>
  <dcterms:modified xsi:type="dcterms:W3CDTF">2019-07-22T03:08:39Z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