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095" w:rsidRPr="00205A49" w:rsidRDefault="00094095" w:rsidP="00094095">
      <w:pPr>
        <w:spacing w:line="440" w:lineRule="exact"/>
        <w:jc w:val="center"/>
        <w:rPr>
          <w:rFonts w:ascii="Arial" w:eastAsia="仿宋_GB2312" w:hAnsi="Arial" w:cs="Arial"/>
          <w:b/>
          <w:sz w:val="30"/>
          <w:szCs w:val="30"/>
        </w:rPr>
      </w:pPr>
      <w:r w:rsidRPr="00205A49">
        <w:rPr>
          <w:rFonts w:ascii="Arial" w:eastAsia="仿宋_GB2312" w:hAnsi="Arial" w:cs="Arial"/>
          <w:b/>
          <w:sz w:val="30"/>
          <w:szCs w:val="30"/>
        </w:rPr>
        <w:t>经营者集中简易案件公示表</w:t>
      </w:r>
    </w:p>
    <w:p w:rsidR="00094095" w:rsidRPr="00197DF6" w:rsidRDefault="00094095" w:rsidP="00094095">
      <w:pPr>
        <w:spacing w:line="440" w:lineRule="exact"/>
        <w:rPr>
          <w:rFonts w:ascii="Arial" w:eastAsia="仿宋_GB2312" w:hAnsi="Arial" w:cs="Arial"/>
          <w:sz w:val="28"/>
          <w:szCs w:val="28"/>
        </w:rPr>
      </w:pPr>
    </w:p>
    <w:tbl>
      <w:tblPr>
        <w:tblStyle w:val="a3"/>
        <w:tblW w:w="8758" w:type="dxa"/>
        <w:tblLook w:val="04A0" w:firstRow="1" w:lastRow="0" w:firstColumn="1" w:lastColumn="0" w:noHBand="0" w:noVBand="1"/>
      </w:tblPr>
      <w:tblGrid>
        <w:gridCol w:w="1809"/>
        <w:gridCol w:w="1796"/>
        <w:gridCol w:w="5153"/>
      </w:tblGrid>
      <w:tr w:rsidR="00094095" w:rsidRPr="00197DF6" w:rsidTr="00A85090">
        <w:tc>
          <w:tcPr>
            <w:tcW w:w="1809" w:type="dxa"/>
            <w:shd w:val="clear" w:color="auto" w:fill="D9D9D9" w:themeFill="background1" w:themeFillShade="D9"/>
          </w:tcPr>
          <w:p w:rsidR="00094095" w:rsidRPr="00197DF6" w:rsidRDefault="00094095" w:rsidP="00A85090">
            <w:pPr>
              <w:spacing w:line="500" w:lineRule="exact"/>
              <w:rPr>
                <w:rFonts w:ascii="Arial" w:eastAsia="仿宋_GB2312" w:hAnsi="Arial" w:cs="Arial"/>
                <w:sz w:val="28"/>
                <w:szCs w:val="28"/>
              </w:rPr>
            </w:pPr>
            <w:r w:rsidRPr="00197DF6">
              <w:rPr>
                <w:rFonts w:ascii="Arial" w:eastAsia="仿宋_GB2312" w:hAnsi="Arial" w:cs="Arial"/>
                <w:sz w:val="28"/>
                <w:szCs w:val="28"/>
              </w:rPr>
              <w:t>案件名称</w:t>
            </w:r>
          </w:p>
        </w:tc>
        <w:tc>
          <w:tcPr>
            <w:tcW w:w="6949" w:type="dxa"/>
            <w:gridSpan w:val="2"/>
          </w:tcPr>
          <w:p w:rsidR="00094095" w:rsidRPr="00197DF6" w:rsidRDefault="00001438" w:rsidP="009311F6">
            <w:pPr>
              <w:spacing w:line="500" w:lineRule="exact"/>
              <w:rPr>
                <w:rFonts w:ascii="Arial" w:eastAsia="仿宋_GB2312" w:hAnsi="Arial" w:cs="Arial"/>
                <w:sz w:val="28"/>
                <w:szCs w:val="28"/>
              </w:rPr>
            </w:pPr>
            <w:r w:rsidRPr="00001438">
              <w:rPr>
                <w:rFonts w:ascii="Arial" w:eastAsia="仿宋_GB2312" w:hAnsi="Arial" w:cs="Arial" w:hint="eastAsia"/>
                <w:sz w:val="28"/>
                <w:szCs w:val="28"/>
              </w:rPr>
              <w:t>北京居然之家投资控股集团有限公司收购武汉中商集团股份有限公司股权案</w:t>
            </w:r>
          </w:p>
        </w:tc>
      </w:tr>
      <w:tr w:rsidR="00094095" w:rsidRPr="00197DF6" w:rsidTr="00A85090">
        <w:trPr>
          <w:trHeight w:val="993"/>
        </w:trPr>
        <w:tc>
          <w:tcPr>
            <w:tcW w:w="1809" w:type="dxa"/>
            <w:shd w:val="clear" w:color="auto" w:fill="D9D9D9" w:themeFill="background1" w:themeFillShade="D9"/>
          </w:tcPr>
          <w:p w:rsidR="00094095" w:rsidRPr="00197DF6" w:rsidRDefault="00094095" w:rsidP="00A85090">
            <w:pPr>
              <w:spacing w:line="500" w:lineRule="exact"/>
              <w:rPr>
                <w:rFonts w:ascii="Arial" w:eastAsia="仿宋_GB2312" w:hAnsi="Arial" w:cs="Arial"/>
                <w:sz w:val="28"/>
                <w:szCs w:val="28"/>
              </w:rPr>
            </w:pPr>
            <w:r w:rsidRPr="00197DF6">
              <w:rPr>
                <w:rFonts w:ascii="Arial" w:eastAsia="仿宋_GB2312" w:hAnsi="Arial" w:cs="Arial"/>
                <w:sz w:val="28"/>
                <w:szCs w:val="28"/>
              </w:rPr>
              <w:t>交易概况（限</w:t>
            </w:r>
            <w:r w:rsidRPr="00197DF6">
              <w:rPr>
                <w:rFonts w:ascii="Arial" w:eastAsia="仿宋_GB2312" w:hAnsi="Arial" w:cs="Arial"/>
                <w:sz w:val="28"/>
                <w:szCs w:val="28"/>
              </w:rPr>
              <w:t>200</w:t>
            </w:r>
            <w:r w:rsidRPr="00197DF6">
              <w:rPr>
                <w:rFonts w:ascii="Arial" w:eastAsia="仿宋_GB2312" w:hAnsi="Arial" w:cs="Arial"/>
                <w:sz w:val="28"/>
                <w:szCs w:val="28"/>
              </w:rPr>
              <w:t>字内）</w:t>
            </w:r>
          </w:p>
        </w:tc>
        <w:tc>
          <w:tcPr>
            <w:tcW w:w="6949" w:type="dxa"/>
            <w:gridSpan w:val="2"/>
          </w:tcPr>
          <w:p w:rsidR="00650388" w:rsidRPr="00197DF6" w:rsidRDefault="00001438" w:rsidP="004A5816">
            <w:pPr>
              <w:spacing w:line="500" w:lineRule="exact"/>
              <w:rPr>
                <w:rFonts w:ascii="Arial" w:eastAsia="仿宋_GB2312" w:hAnsi="Arial" w:cs="Arial"/>
                <w:sz w:val="28"/>
                <w:szCs w:val="28"/>
              </w:rPr>
            </w:pPr>
            <w:r w:rsidRPr="00001438">
              <w:rPr>
                <w:rFonts w:ascii="Arial" w:eastAsia="仿宋_GB2312" w:hAnsi="Arial" w:cs="Arial" w:hint="eastAsia"/>
                <w:sz w:val="28"/>
                <w:szCs w:val="28"/>
              </w:rPr>
              <w:t>北京居然之家投资控股集团有限公司</w:t>
            </w:r>
            <w:r w:rsidR="00D07C03">
              <w:rPr>
                <w:rFonts w:ascii="Arial" w:eastAsia="仿宋_GB2312" w:hAnsi="Arial" w:cs="Arial" w:hint="eastAsia"/>
                <w:sz w:val="28"/>
                <w:szCs w:val="28"/>
              </w:rPr>
              <w:t>（以下简称“</w:t>
            </w:r>
            <w:r>
              <w:rPr>
                <w:rFonts w:ascii="Arial" w:eastAsia="仿宋_GB2312" w:hAnsi="Arial" w:cs="Arial" w:hint="eastAsia"/>
                <w:b/>
                <w:sz w:val="28"/>
                <w:szCs w:val="28"/>
              </w:rPr>
              <w:t>居然控股</w:t>
            </w:r>
            <w:r w:rsidR="00D07C03" w:rsidRPr="00650388">
              <w:rPr>
                <w:rFonts w:ascii="Arial" w:eastAsia="仿宋_GB2312" w:hAnsi="Arial" w:cs="Arial" w:hint="eastAsia"/>
                <w:sz w:val="28"/>
                <w:szCs w:val="28"/>
              </w:rPr>
              <w:t>”）</w:t>
            </w:r>
            <w:r w:rsidRPr="00001438">
              <w:rPr>
                <w:rFonts w:ascii="Arial" w:eastAsia="仿宋_GB2312" w:hAnsi="Arial" w:cs="Arial" w:hint="eastAsia"/>
                <w:sz w:val="28"/>
                <w:szCs w:val="28"/>
              </w:rPr>
              <w:t>及北京居然之家家居新零售连锁集团有限公司（以下简称“</w:t>
            </w:r>
            <w:r w:rsidRPr="00001438">
              <w:rPr>
                <w:rFonts w:ascii="Arial" w:eastAsia="仿宋_GB2312" w:hAnsi="Arial" w:cs="Arial" w:hint="eastAsia"/>
                <w:b/>
                <w:sz w:val="28"/>
                <w:szCs w:val="28"/>
              </w:rPr>
              <w:t>居然新零售</w:t>
            </w:r>
            <w:r w:rsidRPr="00001438">
              <w:rPr>
                <w:rFonts w:ascii="Arial" w:eastAsia="仿宋_GB2312" w:hAnsi="Arial" w:cs="Arial" w:hint="eastAsia"/>
                <w:sz w:val="28"/>
                <w:szCs w:val="28"/>
              </w:rPr>
              <w:t>”）的其他股东拟以居然新零售</w:t>
            </w:r>
            <w:r w:rsidRPr="00001438">
              <w:rPr>
                <w:rFonts w:ascii="Arial" w:eastAsia="仿宋_GB2312" w:hAnsi="Arial" w:cs="Arial" w:hint="eastAsia"/>
                <w:sz w:val="28"/>
                <w:szCs w:val="28"/>
              </w:rPr>
              <w:t>100%</w:t>
            </w:r>
            <w:r w:rsidRPr="00001438">
              <w:rPr>
                <w:rFonts w:ascii="Arial" w:eastAsia="仿宋_GB2312" w:hAnsi="Arial" w:cs="Arial" w:hint="eastAsia"/>
                <w:sz w:val="28"/>
                <w:szCs w:val="28"/>
              </w:rPr>
              <w:t>股权为交易对价，通过换股的形式认购武汉中商集团股份有限公司（以下简称“</w:t>
            </w:r>
            <w:r w:rsidRPr="00001438">
              <w:rPr>
                <w:rFonts w:ascii="Arial" w:eastAsia="仿宋_GB2312" w:hAnsi="Arial" w:cs="Arial" w:hint="eastAsia"/>
                <w:b/>
                <w:sz w:val="28"/>
                <w:szCs w:val="28"/>
              </w:rPr>
              <w:t>武汉中商</w:t>
            </w:r>
            <w:r w:rsidRPr="00001438">
              <w:rPr>
                <w:rFonts w:ascii="Arial" w:eastAsia="仿宋_GB2312" w:hAnsi="Arial" w:cs="Arial" w:hint="eastAsia"/>
                <w:sz w:val="28"/>
                <w:szCs w:val="28"/>
              </w:rPr>
              <w:t>”）发行的</w:t>
            </w:r>
            <w:r w:rsidRPr="00001438">
              <w:rPr>
                <w:rFonts w:ascii="Arial" w:eastAsia="仿宋_GB2312" w:hAnsi="Arial" w:cs="Arial" w:hint="eastAsia"/>
                <w:sz w:val="28"/>
                <w:szCs w:val="28"/>
              </w:rPr>
              <w:t xml:space="preserve">5,768,608,403 </w:t>
            </w:r>
            <w:r w:rsidRPr="00001438">
              <w:rPr>
                <w:rFonts w:ascii="Arial" w:eastAsia="仿宋_GB2312" w:hAnsi="Arial" w:cs="Arial" w:hint="eastAsia"/>
                <w:sz w:val="28"/>
                <w:szCs w:val="28"/>
              </w:rPr>
              <w:t>股</w:t>
            </w:r>
            <w:r w:rsidRPr="00001438">
              <w:rPr>
                <w:rFonts w:ascii="Arial" w:eastAsia="仿宋_GB2312" w:hAnsi="Arial" w:cs="Arial" w:hint="eastAsia"/>
                <w:sz w:val="28"/>
                <w:szCs w:val="28"/>
              </w:rPr>
              <w:t>A</w:t>
            </w:r>
            <w:r w:rsidRPr="00001438">
              <w:rPr>
                <w:rFonts w:ascii="Arial" w:eastAsia="仿宋_GB2312" w:hAnsi="Arial" w:cs="Arial" w:hint="eastAsia"/>
                <w:sz w:val="28"/>
                <w:szCs w:val="28"/>
              </w:rPr>
              <w:t>股股份（以下简称“</w:t>
            </w:r>
            <w:r w:rsidRPr="00001438">
              <w:rPr>
                <w:rFonts w:ascii="Arial" w:eastAsia="仿宋_GB2312" w:hAnsi="Arial" w:cs="Arial" w:hint="eastAsia"/>
                <w:b/>
                <w:sz w:val="28"/>
                <w:szCs w:val="28"/>
              </w:rPr>
              <w:t>本次交易</w:t>
            </w:r>
            <w:r w:rsidRPr="00001438">
              <w:rPr>
                <w:rFonts w:ascii="Arial" w:eastAsia="仿宋_GB2312" w:hAnsi="Arial" w:cs="Arial" w:hint="eastAsia"/>
                <w:sz w:val="28"/>
                <w:szCs w:val="28"/>
              </w:rPr>
              <w:t>”）。</w:t>
            </w:r>
            <w:r>
              <w:rPr>
                <w:rFonts w:ascii="Arial" w:eastAsia="仿宋_GB2312" w:hAnsi="Arial" w:cs="Arial" w:hint="eastAsia"/>
                <w:sz w:val="28"/>
                <w:szCs w:val="28"/>
              </w:rPr>
              <w:t>本次交易完成后，</w:t>
            </w:r>
            <w:r w:rsidRPr="00001438">
              <w:rPr>
                <w:rFonts w:ascii="Arial" w:eastAsia="仿宋_GB2312" w:hAnsi="Arial" w:cs="Arial" w:hint="eastAsia"/>
                <w:sz w:val="28"/>
                <w:szCs w:val="28"/>
              </w:rPr>
              <w:t>居然控股将持有武汉中商</w:t>
            </w:r>
            <w:r w:rsidRPr="00001438">
              <w:rPr>
                <w:rFonts w:ascii="Arial" w:eastAsia="仿宋_GB2312" w:hAnsi="Arial" w:cs="Arial" w:hint="eastAsia"/>
                <w:sz w:val="28"/>
                <w:szCs w:val="28"/>
              </w:rPr>
              <w:t>2,564,382,953</w:t>
            </w:r>
            <w:r w:rsidRPr="00001438">
              <w:rPr>
                <w:rFonts w:ascii="Arial" w:eastAsia="仿宋_GB2312" w:hAnsi="Arial" w:cs="Arial" w:hint="eastAsia"/>
                <w:sz w:val="28"/>
                <w:szCs w:val="28"/>
              </w:rPr>
              <w:t>股股份，占武汉中商总股本的</w:t>
            </w:r>
            <w:r w:rsidRPr="00001438">
              <w:rPr>
                <w:rFonts w:ascii="Arial" w:eastAsia="仿宋_GB2312" w:hAnsi="Arial" w:cs="Arial" w:hint="eastAsia"/>
                <w:sz w:val="28"/>
                <w:szCs w:val="28"/>
              </w:rPr>
              <w:t>42.60%</w:t>
            </w:r>
            <w:r w:rsidRPr="00001438">
              <w:rPr>
                <w:rFonts w:ascii="Arial" w:eastAsia="仿宋_GB2312" w:hAnsi="Arial" w:cs="Arial" w:hint="eastAsia"/>
                <w:sz w:val="28"/>
                <w:szCs w:val="28"/>
              </w:rPr>
              <w:t>，成为武汉中商控股股东。</w:t>
            </w:r>
          </w:p>
        </w:tc>
      </w:tr>
      <w:tr w:rsidR="00094095" w:rsidRPr="00197DF6" w:rsidTr="00A85090">
        <w:trPr>
          <w:trHeight w:val="468"/>
        </w:trPr>
        <w:tc>
          <w:tcPr>
            <w:tcW w:w="1809" w:type="dxa"/>
            <w:vMerge w:val="restart"/>
            <w:shd w:val="clear" w:color="auto" w:fill="D9D9D9" w:themeFill="background1" w:themeFillShade="D9"/>
          </w:tcPr>
          <w:p w:rsidR="00094095" w:rsidRPr="00197DF6" w:rsidRDefault="00094095" w:rsidP="00A85090">
            <w:pPr>
              <w:spacing w:line="500" w:lineRule="exact"/>
              <w:rPr>
                <w:rFonts w:ascii="Arial" w:eastAsia="仿宋_GB2312" w:hAnsi="Arial" w:cs="Arial"/>
                <w:sz w:val="28"/>
                <w:szCs w:val="28"/>
              </w:rPr>
            </w:pPr>
            <w:r w:rsidRPr="00197DF6">
              <w:rPr>
                <w:rFonts w:ascii="Arial" w:eastAsia="仿宋_GB2312" w:hAnsi="Arial" w:cs="Arial"/>
                <w:sz w:val="28"/>
                <w:szCs w:val="28"/>
              </w:rPr>
              <w:t>参与集中的经营者简介</w:t>
            </w:r>
          </w:p>
        </w:tc>
        <w:tc>
          <w:tcPr>
            <w:tcW w:w="1796" w:type="dxa"/>
          </w:tcPr>
          <w:p w:rsidR="00094095" w:rsidRPr="00197DF6" w:rsidRDefault="00001438" w:rsidP="00826CD9">
            <w:pPr>
              <w:pStyle w:val="ab"/>
              <w:numPr>
                <w:ilvl w:val="0"/>
                <w:numId w:val="1"/>
              </w:numPr>
              <w:spacing w:line="500" w:lineRule="exact"/>
              <w:ind w:firstLineChars="0"/>
              <w:rPr>
                <w:rFonts w:ascii="Arial" w:eastAsia="仿宋_GB2312" w:hAnsi="Arial" w:cs="Arial"/>
                <w:sz w:val="28"/>
                <w:szCs w:val="28"/>
              </w:rPr>
            </w:pPr>
            <w:r>
              <w:rPr>
                <w:rFonts w:ascii="Arial" w:eastAsia="仿宋_GB2312" w:hAnsi="Arial" w:cs="Arial" w:hint="eastAsia"/>
                <w:sz w:val="28"/>
                <w:szCs w:val="28"/>
              </w:rPr>
              <w:t>居然控股</w:t>
            </w:r>
          </w:p>
        </w:tc>
        <w:tc>
          <w:tcPr>
            <w:tcW w:w="5153" w:type="dxa"/>
          </w:tcPr>
          <w:p w:rsidR="00094095" w:rsidRPr="00197DF6" w:rsidRDefault="00605C4A" w:rsidP="00FC1FF2">
            <w:pPr>
              <w:spacing w:line="500" w:lineRule="exact"/>
              <w:rPr>
                <w:rFonts w:ascii="Arial" w:eastAsia="仿宋_GB2312" w:hAnsi="Arial" w:cs="Arial"/>
                <w:sz w:val="28"/>
                <w:szCs w:val="28"/>
              </w:rPr>
            </w:pPr>
            <w:r>
              <w:rPr>
                <w:rFonts w:ascii="Arial" w:eastAsia="仿宋_GB2312" w:hAnsi="Arial" w:cs="Arial" w:hint="eastAsia"/>
                <w:sz w:val="28"/>
                <w:szCs w:val="28"/>
              </w:rPr>
              <w:t>是一家依据中华人民共和国法律设立并存续的有限</w:t>
            </w:r>
            <w:r w:rsidR="00001438">
              <w:rPr>
                <w:rFonts w:ascii="Arial" w:eastAsia="仿宋_GB2312" w:hAnsi="Arial" w:cs="Arial" w:hint="eastAsia"/>
                <w:sz w:val="28"/>
                <w:szCs w:val="28"/>
              </w:rPr>
              <w:t>责任</w:t>
            </w:r>
            <w:r>
              <w:rPr>
                <w:rFonts w:ascii="Arial" w:eastAsia="仿宋_GB2312" w:hAnsi="Arial" w:cs="Arial" w:hint="eastAsia"/>
                <w:sz w:val="28"/>
                <w:szCs w:val="28"/>
              </w:rPr>
              <w:t>公司，在中国境内</w:t>
            </w:r>
            <w:r w:rsidR="00001438" w:rsidRPr="00001438">
              <w:rPr>
                <w:rFonts w:ascii="Arial" w:eastAsia="仿宋_GB2312" w:hAnsi="Arial" w:cs="Arial" w:hint="eastAsia"/>
                <w:sz w:val="28"/>
                <w:szCs w:val="28"/>
              </w:rPr>
              <w:t>以家居为主业，以家庭大消费为平台，业务范围涵盖室内设计和装修、家具建材销售、智慧物流、商业会展、金融服务、跨境电商、院线餐饮、儿童娱乐、体育健身、数码智能、居家养老、城市综合体开发等领域</w:t>
            </w:r>
            <w:r w:rsidR="00001438">
              <w:rPr>
                <w:rFonts w:ascii="Arial" w:eastAsia="仿宋_GB2312" w:hAnsi="Arial" w:cs="Arial" w:hint="eastAsia"/>
                <w:sz w:val="28"/>
                <w:szCs w:val="28"/>
              </w:rPr>
              <w:t>。</w:t>
            </w:r>
          </w:p>
        </w:tc>
      </w:tr>
      <w:tr w:rsidR="00094095" w:rsidRPr="00197DF6" w:rsidTr="00A85090">
        <w:trPr>
          <w:trHeight w:val="404"/>
        </w:trPr>
        <w:tc>
          <w:tcPr>
            <w:tcW w:w="1809" w:type="dxa"/>
            <w:vMerge/>
            <w:shd w:val="clear" w:color="auto" w:fill="D9D9D9" w:themeFill="background1" w:themeFillShade="D9"/>
          </w:tcPr>
          <w:p w:rsidR="00094095" w:rsidRPr="00197DF6" w:rsidRDefault="00094095" w:rsidP="00A85090">
            <w:pPr>
              <w:spacing w:line="500" w:lineRule="exact"/>
              <w:rPr>
                <w:rFonts w:ascii="Arial" w:eastAsia="仿宋_GB2312" w:hAnsi="Arial" w:cs="Arial"/>
                <w:sz w:val="28"/>
                <w:szCs w:val="28"/>
              </w:rPr>
            </w:pPr>
          </w:p>
        </w:tc>
        <w:tc>
          <w:tcPr>
            <w:tcW w:w="1796" w:type="dxa"/>
          </w:tcPr>
          <w:p w:rsidR="00094095" w:rsidRPr="00197DF6" w:rsidRDefault="00001438" w:rsidP="00826CD9">
            <w:pPr>
              <w:pStyle w:val="ab"/>
              <w:numPr>
                <w:ilvl w:val="0"/>
                <w:numId w:val="1"/>
              </w:numPr>
              <w:spacing w:line="500" w:lineRule="exact"/>
              <w:ind w:firstLineChars="0"/>
              <w:rPr>
                <w:rFonts w:ascii="Arial" w:eastAsia="仿宋_GB2312" w:hAnsi="Arial" w:cs="Arial"/>
                <w:sz w:val="28"/>
                <w:szCs w:val="28"/>
              </w:rPr>
            </w:pPr>
            <w:r>
              <w:rPr>
                <w:rFonts w:ascii="Arial" w:eastAsia="仿宋_GB2312" w:hAnsi="Arial" w:cs="Arial" w:hint="eastAsia"/>
                <w:sz w:val="28"/>
                <w:szCs w:val="28"/>
              </w:rPr>
              <w:t>武汉中商</w:t>
            </w:r>
          </w:p>
        </w:tc>
        <w:tc>
          <w:tcPr>
            <w:tcW w:w="5153" w:type="dxa"/>
          </w:tcPr>
          <w:p w:rsidR="00094095" w:rsidRPr="00197DF6" w:rsidRDefault="008202E3" w:rsidP="008613EB">
            <w:pPr>
              <w:spacing w:line="500" w:lineRule="exact"/>
              <w:rPr>
                <w:rFonts w:ascii="Arial" w:eastAsia="仿宋_GB2312" w:hAnsi="Arial" w:cs="Arial"/>
                <w:sz w:val="28"/>
                <w:szCs w:val="28"/>
              </w:rPr>
            </w:pPr>
            <w:r>
              <w:rPr>
                <w:rFonts w:ascii="Arial" w:eastAsia="仿宋_GB2312" w:hAnsi="Arial" w:cs="Arial" w:hint="eastAsia"/>
                <w:sz w:val="28"/>
                <w:szCs w:val="28"/>
              </w:rPr>
              <w:t>是一家依据中华人民共和国法律设立并存续的股份有限公司</w:t>
            </w:r>
            <w:r w:rsidR="009F269D">
              <w:rPr>
                <w:rFonts w:ascii="Arial" w:eastAsia="仿宋_GB2312" w:hAnsi="Arial" w:cs="Arial" w:hint="eastAsia"/>
                <w:sz w:val="28"/>
                <w:szCs w:val="28"/>
              </w:rPr>
              <w:t>，</w:t>
            </w:r>
            <w:r w:rsidR="00605C4A">
              <w:rPr>
                <w:rFonts w:ascii="Arial" w:eastAsia="仿宋_GB2312" w:hAnsi="Arial" w:cs="Arial" w:hint="eastAsia"/>
                <w:sz w:val="28"/>
                <w:szCs w:val="28"/>
              </w:rPr>
              <w:t>在中国境内</w:t>
            </w:r>
            <w:r w:rsidR="00001438" w:rsidRPr="00001438">
              <w:rPr>
                <w:rFonts w:ascii="Arial" w:eastAsia="仿宋_GB2312" w:hAnsi="Arial" w:cs="Arial" w:hint="eastAsia"/>
                <w:sz w:val="28"/>
                <w:szCs w:val="28"/>
              </w:rPr>
              <w:t>主要从事零售业务（业态包括百货、超市、购物中心等），同时涉足商业物业开发、电商服务等产业。</w:t>
            </w:r>
          </w:p>
        </w:tc>
      </w:tr>
      <w:tr w:rsidR="00094095" w:rsidRPr="00197DF6" w:rsidTr="00A85090">
        <w:trPr>
          <w:trHeight w:val="279"/>
        </w:trPr>
        <w:tc>
          <w:tcPr>
            <w:tcW w:w="1809" w:type="dxa"/>
            <w:vMerge w:val="restart"/>
            <w:shd w:val="clear" w:color="auto" w:fill="D9D9D9" w:themeFill="background1" w:themeFillShade="D9"/>
          </w:tcPr>
          <w:p w:rsidR="00094095" w:rsidRPr="00197DF6" w:rsidRDefault="00094095" w:rsidP="00A86B91">
            <w:pPr>
              <w:spacing w:line="500" w:lineRule="exact"/>
              <w:rPr>
                <w:rFonts w:ascii="Arial" w:eastAsia="仿宋_GB2312" w:hAnsi="Arial" w:cs="Arial"/>
                <w:sz w:val="28"/>
                <w:szCs w:val="28"/>
              </w:rPr>
            </w:pPr>
            <w:r w:rsidRPr="00197DF6">
              <w:rPr>
                <w:rFonts w:ascii="Arial" w:eastAsia="仿宋_GB2312" w:hAnsi="Arial" w:cs="Arial"/>
                <w:sz w:val="28"/>
                <w:szCs w:val="28"/>
              </w:rPr>
              <w:t>简易案件理由（可多选）</w:t>
            </w:r>
          </w:p>
        </w:tc>
        <w:tc>
          <w:tcPr>
            <w:tcW w:w="6949" w:type="dxa"/>
            <w:gridSpan w:val="2"/>
          </w:tcPr>
          <w:p w:rsidR="00094095" w:rsidRPr="00197DF6" w:rsidRDefault="00001438" w:rsidP="00197DF6">
            <w:pPr>
              <w:spacing w:line="500" w:lineRule="exact"/>
              <w:rPr>
                <w:rFonts w:ascii="Arial" w:eastAsia="仿宋_GB2312" w:hAnsi="Arial" w:cs="Arial"/>
                <w:sz w:val="28"/>
                <w:szCs w:val="28"/>
              </w:rPr>
            </w:pPr>
            <w:r w:rsidRPr="00197DF6">
              <w:rPr>
                <w:rFonts w:ascii="Arial" w:eastAsia="仿宋_GB2312" w:hAnsi="Arial" w:cs="Arial"/>
                <w:sz w:val="28"/>
                <w:szCs w:val="28"/>
              </w:rPr>
              <w:sym w:font="Wingdings" w:char="F0A8"/>
            </w:r>
            <w:r w:rsidR="00094095" w:rsidRPr="00197DF6">
              <w:rPr>
                <w:rFonts w:ascii="Arial" w:eastAsia="仿宋_GB2312" w:hAnsi="Arial" w:cs="Arial"/>
                <w:sz w:val="28"/>
                <w:szCs w:val="28"/>
              </w:rPr>
              <w:t>1</w:t>
            </w:r>
            <w:r w:rsidR="00197DF6" w:rsidRPr="00197DF6">
              <w:rPr>
                <w:rFonts w:ascii="Arial" w:eastAsia="仿宋_GB2312" w:hAnsi="Arial" w:cs="Arial"/>
                <w:sz w:val="28"/>
                <w:szCs w:val="28"/>
              </w:rPr>
              <w:t xml:space="preserve">. </w:t>
            </w:r>
            <w:r w:rsidR="00094095" w:rsidRPr="00197DF6">
              <w:rPr>
                <w:rFonts w:ascii="Arial" w:eastAsia="仿宋_GB2312" w:hAnsi="Arial" w:cs="Arial"/>
                <w:sz w:val="28"/>
                <w:szCs w:val="28"/>
              </w:rPr>
              <w:t>在同一相关市场，所有参与集中的经营者所占市场份额之和小于</w:t>
            </w:r>
            <w:r w:rsidR="00094095" w:rsidRPr="00197DF6">
              <w:rPr>
                <w:rFonts w:ascii="Arial" w:eastAsia="仿宋_GB2312" w:hAnsi="Arial" w:cs="Arial"/>
                <w:sz w:val="28"/>
                <w:szCs w:val="28"/>
              </w:rPr>
              <w:t>15%</w:t>
            </w:r>
            <w:r w:rsidR="00094095" w:rsidRPr="00197DF6">
              <w:rPr>
                <w:rFonts w:ascii="Arial" w:eastAsia="仿宋_GB2312" w:hAnsi="Arial" w:cs="Arial"/>
                <w:sz w:val="28"/>
                <w:szCs w:val="28"/>
              </w:rPr>
              <w:t>。</w:t>
            </w:r>
          </w:p>
        </w:tc>
      </w:tr>
      <w:tr w:rsidR="00094095" w:rsidRPr="00197DF6" w:rsidTr="00A85090">
        <w:trPr>
          <w:trHeight w:val="330"/>
        </w:trPr>
        <w:tc>
          <w:tcPr>
            <w:tcW w:w="1809" w:type="dxa"/>
            <w:vMerge/>
            <w:shd w:val="clear" w:color="auto" w:fill="D9D9D9" w:themeFill="background1" w:themeFillShade="D9"/>
          </w:tcPr>
          <w:p w:rsidR="00094095" w:rsidRPr="00197DF6" w:rsidRDefault="00094095" w:rsidP="00A85090">
            <w:pPr>
              <w:spacing w:line="500" w:lineRule="exact"/>
              <w:rPr>
                <w:rFonts w:ascii="Arial" w:eastAsia="仿宋_GB2312" w:hAnsi="Arial" w:cs="Arial"/>
                <w:sz w:val="28"/>
                <w:szCs w:val="28"/>
              </w:rPr>
            </w:pPr>
          </w:p>
        </w:tc>
        <w:tc>
          <w:tcPr>
            <w:tcW w:w="6949" w:type="dxa"/>
            <w:gridSpan w:val="2"/>
          </w:tcPr>
          <w:p w:rsidR="00094095" w:rsidRPr="00197DF6" w:rsidRDefault="00D942B6" w:rsidP="00A7607E">
            <w:pPr>
              <w:spacing w:line="500" w:lineRule="exact"/>
              <w:rPr>
                <w:rFonts w:ascii="Arial" w:eastAsia="仿宋_GB2312" w:hAnsi="Arial" w:cs="Arial"/>
                <w:sz w:val="28"/>
                <w:szCs w:val="28"/>
              </w:rPr>
            </w:pPr>
            <w:r w:rsidRPr="00197DF6">
              <w:rPr>
                <w:rFonts w:ascii="Arial" w:eastAsia="仿宋_GB2312" w:hAnsi="Arial" w:cs="Arial"/>
                <w:sz w:val="28"/>
                <w:szCs w:val="28"/>
              </w:rPr>
              <w:sym w:font="Wingdings" w:char="F0A8"/>
            </w:r>
            <w:r w:rsidR="00094095" w:rsidRPr="00197DF6">
              <w:rPr>
                <w:rFonts w:ascii="Arial" w:eastAsia="仿宋_GB2312" w:hAnsi="Arial" w:cs="Arial"/>
                <w:sz w:val="28"/>
                <w:szCs w:val="28"/>
              </w:rPr>
              <w:t>2</w:t>
            </w:r>
            <w:r w:rsidR="00197DF6" w:rsidRPr="00197DF6">
              <w:rPr>
                <w:rFonts w:ascii="Arial" w:eastAsia="仿宋_GB2312" w:hAnsi="Arial" w:cs="Arial"/>
                <w:sz w:val="28"/>
                <w:szCs w:val="28"/>
              </w:rPr>
              <w:t xml:space="preserve">. </w:t>
            </w:r>
            <w:r w:rsidR="00094095" w:rsidRPr="00197DF6">
              <w:rPr>
                <w:rFonts w:ascii="Arial" w:eastAsia="仿宋_GB2312" w:hAnsi="Arial" w:cs="Arial"/>
                <w:sz w:val="28"/>
                <w:szCs w:val="28"/>
              </w:rPr>
              <w:t>存在上下游关系的参与集中的经营者，在上下游市</w:t>
            </w:r>
            <w:r w:rsidR="00094095" w:rsidRPr="00197DF6">
              <w:rPr>
                <w:rFonts w:ascii="Arial" w:eastAsia="仿宋_GB2312" w:hAnsi="Arial" w:cs="Arial"/>
                <w:sz w:val="28"/>
                <w:szCs w:val="28"/>
              </w:rPr>
              <w:lastRenderedPageBreak/>
              <w:t>场所占的市场份额均小于</w:t>
            </w:r>
            <w:r w:rsidR="00094095" w:rsidRPr="00197DF6">
              <w:rPr>
                <w:rFonts w:ascii="Arial" w:eastAsia="仿宋_GB2312" w:hAnsi="Arial" w:cs="Arial"/>
                <w:sz w:val="28"/>
                <w:szCs w:val="28"/>
              </w:rPr>
              <w:t>25%</w:t>
            </w:r>
            <w:r w:rsidR="00094095" w:rsidRPr="00197DF6">
              <w:rPr>
                <w:rFonts w:ascii="Arial" w:eastAsia="仿宋_GB2312" w:hAnsi="Arial" w:cs="Arial"/>
                <w:sz w:val="28"/>
                <w:szCs w:val="28"/>
              </w:rPr>
              <w:t>。</w:t>
            </w:r>
          </w:p>
        </w:tc>
      </w:tr>
      <w:tr w:rsidR="00094095" w:rsidRPr="00197DF6" w:rsidTr="00A85090">
        <w:trPr>
          <w:trHeight w:val="285"/>
        </w:trPr>
        <w:tc>
          <w:tcPr>
            <w:tcW w:w="1809" w:type="dxa"/>
            <w:vMerge/>
            <w:shd w:val="clear" w:color="auto" w:fill="D9D9D9" w:themeFill="background1" w:themeFillShade="D9"/>
          </w:tcPr>
          <w:p w:rsidR="00094095" w:rsidRPr="00197DF6" w:rsidRDefault="00094095" w:rsidP="00A85090">
            <w:pPr>
              <w:spacing w:line="500" w:lineRule="exact"/>
              <w:rPr>
                <w:rFonts w:ascii="Arial" w:eastAsia="仿宋_GB2312" w:hAnsi="Arial" w:cs="Arial"/>
                <w:sz w:val="28"/>
                <w:szCs w:val="28"/>
              </w:rPr>
            </w:pPr>
          </w:p>
        </w:tc>
        <w:tc>
          <w:tcPr>
            <w:tcW w:w="6949" w:type="dxa"/>
            <w:gridSpan w:val="2"/>
          </w:tcPr>
          <w:p w:rsidR="00094095" w:rsidRPr="00197DF6" w:rsidRDefault="00001438" w:rsidP="00197DF6">
            <w:pPr>
              <w:spacing w:line="500" w:lineRule="exact"/>
              <w:rPr>
                <w:rFonts w:ascii="Arial" w:eastAsia="仿宋_GB2312" w:hAnsi="Arial" w:cs="Arial"/>
                <w:sz w:val="28"/>
                <w:szCs w:val="28"/>
              </w:rPr>
            </w:pPr>
            <w:r w:rsidRPr="00197DF6">
              <w:rPr>
                <w:rFonts w:ascii="Arial" w:eastAsia="仿宋_GB2312" w:hAnsi="Arial" w:cs="Arial"/>
                <w:sz w:val="28"/>
                <w:szCs w:val="28"/>
              </w:rPr>
              <w:sym w:font="Wingdings" w:char="F0FE"/>
            </w:r>
            <w:r w:rsidR="00094095" w:rsidRPr="00197DF6">
              <w:rPr>
                <w:rFonts w:ascii="Arial" w:eastAsia="仿宋_GB2312" w:hAnsi="Arial" w:cs="Arial"/>
                <w:sz w:val="28"/>
                <w:szCs w:val="28"/>
              </w:rPr>
              <w:t>3</w:t>
            </w:r>
            <w:r w:rsidR="00197DF6" w:rsidRPr="00197DF6">
              <w:rPr>
                <w:rFonts w:ascii="Arial" w:eastAsia="仿宋_GB2312" w:hAnsi="Arial" w:cs="Arial"/>
                <w:sz w:val="28"/>
                <w:szCs w:val="28"/>
              </w:rPr>
              <w:t xml:space="preserve">. </w:t>
            </w:r>
            <w:r w:rsidR="00094095" w:rsidRPr="00197DF6">
              <w:rPr>
                <w:rFonts w:ascii="Arial" w:eastAsia="仿宋_GB2312" w:hAnsi="Arial" w:cs="Arial"/>
                <w:sz w:val="28"/>
                <w:szCs w:val="28"/>
              </w:rPr>
              <w:t>不在同一相关市场、也不存在上下游关系的参与集中的经营者，在与交易有关的每个市场所占的份额均小于</w:t>
            </w:r>
            <w:r w:rsidR="00094095" w:rsidRPr="00197DF6">
              <w:rPr>
                <w:rFonts w:ascii="Arial" w:eastAsia="仿宋_GB2312" w:hAnsi="Arial" w:cs="Arial"/>
                <w:sz w:val="28"/>
                <w:szCs w:val="28"/>
              </w:rPr>
              <w:t>25%</w:t>
            </w:r>
            <w:r w:rsidR="00094095" w:rsidRPr="00197DF6">
              <w:rPr>
                <w:rFonts w:ascii="Arial" w:eastAsia="仿宋_GB2312" w:hAnsi="Arial" w:cs="Arial"/>
                <w:sz w:val="28"/>
                <w:szCs w:val="28"/>
              </w:rPr>
              <w:t>。</w:t>
            </w:r>
          </w:p>
        </w:tc>
      </w:tr>
      <w:tr w:rsidR="00094095" w:rsidRPr="00197DF6" w:rsidTr="00A85090">
        <w:trPr>
          <w:trHeight w:val="870"/>
        </w:trPr>
        <w:tc>
          <w:tcPr>
            <w:tcW w:w="1809" w:type="dxa"/>
            <w:vMerge/>
            <w:shd w:val="clear" w:color="auto" w:fill="D9D9D9" w:themeFill="background1" w:themeFillShade="D9"/>
          </w:tcPr>
          <w:p w:rsidR="00094095" w:rsidRPr="00197DF6" w:rsidRDefault="00094095" w:rsidP="00A85090">
            <w:pPr>
              <w:spacing w:line="500" w:lineRule="exact"/>
              <w:rPr>
                <w:rFonts w:ascii="Arial" w:eastAsia="仿宋_GB2312" w:hAnsi="Arial" w:cs="Arial"/>
                <w:sz w:val="28"/>
                <w:szCs w:val="28"/>
              </w:rPr>
            </w:pPr>
          </w:p>
        </w:tc>
        <w:tc>
          <w:tcPr>
            <w:tcW w:w="6949" w:type="dxa"/>
            <w:gridSpan w:val="2"/>
          </w:tcPr>
          <w:p w:rsidR="00094095" w:rsidRPr="00197DF6" w:rsidRDefault="00197DF6" w:rsidP="00197DF6">
            <w:pPr>
              <w:spacing w:line="500" w:lineRule="exact"/>
              <w:rPr>
                <w:rFonts w:ascii="Arial" w:eastAsia="仿宋_GB2312" w:hAnsi="Arial" w:cs="Arial"/>
                <w:sz w:val="28"/>
                <w:szCs w:val="28"/>
              </w:rPr>
            </w:pPr>
            <w:r w:rsidRPr="00197DF6">
              <w:rPr>
                <w:rFonts w:ascii="Arial" w:eastAsia="仿宋_GB2312" w:hAnsi="Arial" w:cs="Arial"/>
                <w:sz w:val="28"/>
                <w:szCs w:val="28"/>
              </w:rPr>
              <w:sym w:font="Wingdings" w:char="F0A8"/>
            </w:r>
            <w:r w:rsidR="00094095" w:rsidRPr="00197DF6">
              <w:rPr>
                <w:rFonts w:ascii="Arial" w:eastAsia="仿宋_GB2312" w:hAnsi="Arial" w:cs="Arial"/>
                <w:sz w:val="28"/>
                <w:szCs w:val="28"/>
              </w:rPr>
              <w:t>4</w:t>
            </w:r>
            <w:r w:rsidRPr="00197DF6">
              <w:rPr>
                <w:rFonts w:ascii="Arial" w:eastAsia="仿宋_GB2312" w:hAnsi="Arial" w:cs="Arial"/>
                <w:sz w:val="28"/>
                <w:szCs w:val="28"/>
              </w:rPr>
              <w:t xml:space="preserve">. </w:t>
            </w:r>
            <w:r w:rsidR="00094095" w:rsidRPr="00197DF6">
              <w:rPr>
                <w:rFonts w:ascii="Arial" w:eastAsia="仿宋_GB2312" w:hAnsi="Arial" w:cs="Arial"/>
                <w:sz w:val="28"/>
                <w:szCs w:val="28"/>
              </w:rPr>
              <w:t>参与集中的经营者在中国境外设立合营企业，合营企业不在中国境内从事经济活动。</w:t>
            </w:r>
          </w:p>
        </w:tc>
      </w:tr>
      <w:tr w:rsidR="00094095" w:rsidRPr="00197DF6" w:rsidTr="00A85090">
        <w:trPr>
          <w:trHeight w:val="264"/>
        </w:trPr>
        <w:tc>
          <w:tcPr>
            <w:tcW w:w="1809" w:type="dxa"/>
            <w:vMerge/>
            <w:shd w:val="clear" w:color="auto" w:fill="D9D9D9" w:themeFill="background1" w:themeFillShade="D9"/>
          </w:tcPr>
          <w:p w:rsidR="00094095" w:rsidRPr="00197DF6" w:rsidRDefault="00094095" w:rsidP="00A85090">
            <w:pPr>
              <w:spacing w:line="500" w:lineRule="exact"/>
              <w:rPr>
                <w:rFonts w:ascii="Arial" w:eastAsia="仿宋_GB2312" w:hAnsi="Arial" w:cs="Arial"/>
                <w:sz w:val="28"/>
                <w:szCs w:val="28"/>
              </w:rPr>
            </w:pPr>
          </w:p>
        </w:tc>
        <w:tc>
          <w:tcPr>
            <w:tcW w:w="6949" w:type="dxa"/>
            <w:gridSpan w:val="2"/>
          </w:tcPr>
          <w:p w:rsidR="00094095" w:rsidRPr="00197DF6" w:rsidRDefault="00DF5E25" w:rsidP="00A85090">
            <w:pPr>
              <w:spacing w:line="500" w:lineRule="exact"/>
              <w:rPr>
                <w:rFonts w:ascii="Arial" w:eastAsia="仿宋_GB2312" w:hAnsi="Arial" w:cs="Arial"/>
                <w:sz w:val="28"/>
                <w:szCs w:val="28"/>
              </w:rPr>
            </w:pPr>
            <w:r w:rsidRPr="00197DF6">
              <w:rPr>
                <w:rFonts w:ascii="Arial" w:eastAsia="仿宋_GB2312" w:hAnsi="Arial" w:cs="Arial"/>
                <w:sz w:val="28"/>
                <w:szCs w:val="28"/>
              </w:rPr>
              <w:sym w:font="Wingdings" w:char="F0A8"/>
            </w:r>
            <w:r w:rsidR="00094095" w:rsidRPr="00197DF6">
              <w:rPr>
                <w:rFonts w:ascii="Arial" w:eastAsia="仿宋_GB2312" w:hAnsi="Arial" w:cs="Arial"/>
                <w:sz w:val="28"/>
                <w:szCs w:val="28"/>
              </w:rPr>
              <w:t>5</w:t>
            </w:r>
            <w:r w:rsidR="00197DF6" w:rsidRPr="00197DF6">
              <w:rPr>
                <w:rFonts w:ascii="Arial" w:eastAsia="仿宋_GB2312" w:hAnsi="Arial" w:cs="Arial"/>
                <w:sz w:val="28"/>
                <w:szCs w:val="28"/>
              </w:rPr>
              <w:t xml:space="preserve">. </w:t>
            </w:r>
            <w:r w:rsidR="00094095" w:rsidRPr="00197DF6">
              <w:rPr>
                <w:rFonts w:ascii="Arial" w:eastAsia="仿宋_GB2312" w:hAnsi="Arial" w:cs="Arial"/>
                <w:sz w:val="28"/>
                <w:szCs w:val="28"/>
              </w:rPr>
              <w:t>参与集中的经营者收购境外企业股权或资产的，该境外企业不在中国境内从事经济活动。</w:t>
            </w:r>
          </w:p>
        </w:tc>
      </w:tr>
      <w:tr w:rsidR="00094095" w:rsidRPr="00197DF6" w:rsidTr="00A85090">
        <w:trPr>
          <w:trHeight w:val="345"/>
        </w:trPr>
        <w:tc>
          <w:tcPr>
            <w:tcW w:w="1809" w:type="dxa"/>
            <w:vMerge/>
            <w:shd w:val="clear" w:color="auto" w:fill="D9D9D9" w:themeFill="background1" w:themeFillShade="D9"/>
          </w:tcPr>
          <w:p w:rsidR="00094095" w:rsidRPr="00197DF6" w:rsidRDefault="00094095" w:rsidP="00A85090">
            <w:pPr>
              <w:spacing w:line="500" w:lineRule="exact"/>
              <w:rPr>
                <w:rFonts w:ascii="Arial" w:eastAsia="仿宋_GB2312" w:hAnsi="Arial" w:cs="Arial"/>
                <w:sz w:val="28"/>
                <w:szCs w:val="28"/>
              </w:rPr>
            </w:pPr>
          </w:p>
        </w:tc>
        <w:tc>
          <w:tcPr>
            <w:tcW w:w="6949" w:type="dxa"/>
            <w:gridSpan w:val="2"/>
          </w:tcPr>
          <w:p w:rsidR="00094095" w:rsidRPr="00197DF6" w:rsidRDefault="00DF5E25" w:rsidP="00197DF6">
            <w:pPr>
              <w:spacing w:line="500" w:lineRule="exact"/>
              <w:rPr>
                <w:rFonts w:ascii="Arial" w:eastAsia="仿宋_GB2312" w:hAnsi="Arial" w:cs="Arial"/>
                <w:sz w:val="28"/>
                <w:szCs w:val="28"/>
              </w:rPr>
            </w:pPr>
            <w:r w:rsidRPr="00197DF6">
              <w:rPr>
                <w:rFonts w:ascii="Arial" w:eastAsia="仿宋_GB2312" w:hAnsi="Arial" w:cs="Arial"/>
                <w:sz w:val="28"/>
                <w:szCs w:val="28"/>
              </w:rPr>
              <w:sym w:font="Wingdings" w:char="F0A8"/>
            </w:r>
            <w:r w:rsidR="00094095" w:rsidRPr="00197DF6">
              <w:rPr>
                <w:rFonts w:ascii="Arial" w:eastAsia="仿宋_GB2312" w:hAnsi="Arial" w:cs="Arial"/>
                <w:sz w:val="28"/>
                <w:szCs w:val="28"/>
              </w:rPr>
              <w:t>6</w:t>
            </w:r>
            <w:r w:rsidR="00197DF6" w:rsidRPr="00197DF6">
              <w:rPr>
                <w:rFonts w:ascii="Arial" w:eastAsia="仿宋_GB2312" w:hAnsi="Arial" w:cs="Arial"/>
                <w:sz w:val="28"/>
                <w:szCs w:val="28"/>
              </w:rPr>
              <w:t xml:space="preserve">. </w:t>
            </w:r>
            <w:r w:rsidR="00094095" w:rsidRPr="00197DF6">
              <w:rPr>
                <w:rFonts w:ascii="Arial" w:eastAsia="仿宋_GB2312" w:hAnsi="Arial" w:cs="Arial"/>
                <w:sz w:val="28"/>
                <w:szCs w:val="28"/>
              </w:rPr>
              <w:t>由两个以上的经营者共同控制的合营企业，通过集中被其中一个或一个以上经营者控制。</w:t>
            </w:r>
          </w:p>
        </w:tc>
      </w:tr>
      <w:tr w:rsidR="00094095" w:rsidRPr="00197DF6" w:rsidTr="00197DF6">
        <w:trPr>
          <w:trHeight w:val="799"/>
        </w:trPr>
        <w:tc>
          <w:tcPr>
            <w:tcW w:w="1809" w:type="dxa"/>
            <w:shd w:val="clear" w:color="auto" w:fill="D9D9D9" w:themeFill="background1" w:themeFillShade="D9"/>
          </w:tcPr>
          <w:p w:rsidR="00094095" w:rsidRPr="00197DF6" w:rsidRDefault="00094095" w:rsidP="00A85090">
            <w:pPr>
              <w:spacing w:line="500" w:lineRule="exact"/>
              <w:rPr>
                <w:rFonts w:ascii="Arial" w:eastAsia="仿宋_GB2312" w:hAnsi="Arial" w:cs="Arial"/>
                <w:sz w:val="28"/>
                <w:szCs w:val="28"/>
              </w:rPr>
            </w:pPr>
            <w:r w:rsidRPr="00197DF6">
              <w:rPr>
                <w:rFonts w:ascii="Arial" w:eastAsia="仿宋_GB2312" w:hAnsi="Arial" w:cs="Arial"/>
                <w:sz w:val="28"/>
                <w:szCs w:val="28"/>
              </w:rPr>
              <w:t>备注</w:t>
            </w:r>
          </w:p>
        </w:tc>
        <w:tc>
          <w:tcPr>
            <w:tcW w:w="6949" w:type="dxa"/>
            <w:gridSpan w:val="2"/>
          </w:tcPr>
          <w:p w:rsidR="00387606" w:rsidRDefault="00197DF6" w:rsidP="00E21197">
            <w:pPr>
              <w:pStyle w:val="ab"/>
              <w:numPr>
                <w:ilvl w:val="0"/>
                <w:numId w:val="4"/>
              </w:numPr>
              <w:spacing w:line="500" w:lineRule="exact"/>
              <w:ind w:firstLineChars="0"/>
              <w:rPr>
                <w:rFonts w:ascii="Arial" w:eastAsia="仿宋_GB2312" w:hAnsi="Arial" w:cs="Arial"/>
                <w:sz w:val="28"/>
                <w:szCs w:val="28"/>
              </w:rPr>
            </w:pPr>
            <w:r w:rsidRPr="00197DF6">
              <w:rPr>
                <w:rFonts w:ascii="Arial" w:eastAsia="仿宋_GB2312" w:hAnsi="Arial" w:cs="Arial"/>
                <w:sz w:val="28"/>
                <w:szCs w:val="28"/>
              </w:rPr>
              <w:t>相关产品市场：</w:t>
            </w:r>
          </w:p>
          <w:p w:rsidR="00FC1FF2" w:rsidRDefault="00001438" w:rsidP="00FC1FF2">
            <w:pPr>
              <w:pStyle w:val="ab"/>
              <w:numPr>
                <w:ilvl w:val="0"/>
                <w:numId w:val="5"/>
              </w:numPr>
              <w:spacing w:line="500" w:lineRule="exact"/>
              <w:ind w:firstLineChars="0"/>
              <w:rPr>
                <w:rFonts w:ascii="Arial" w:eastAsia="仿宋_GB2312" w:hAnsi="Arial" w:cs="Arial"/>
                <w:sz w:val="28"/>
                <w:szCs w:val="28"/>
              </w:rPr>
            </w:pPr>
            <w:r w:rsidRPr="00001438">
              <w:rPr>
                <w:rFonts w:ascii="Arial" w:eastAsia="仿宋_GB2312" w:hAnsi="Arial" w:cs="Arial" w:hint="eastAsia"/>
                <w:sz w:val="28"/>
                <w:szCs w:val="28"/>
              </w:rPr>
              <w:t>百货零售服务市场</w:t>
            </w:r>
            <w:r w:rsidR="00FC1FF2" w:rsidRPr="00FC1FF2">
              <w:rPr>
                <w:rFonts w:ascii="Arial" w:eastAsia="仿宋_GB2312" w:hAnsi="Arial" w:cs="Arial" w:hint="eastAsia"/>
                <w:sz w:val="28"/>
                <w:szCs w:val="28"/>
              </w:rPr>
              <w:t>；</w:t>
            </w:r>
          </w:p>
          <w:p w:rsidR="00387606" w:rsidRPr="00001438" w:rsidRDefault="00001438" w:rsidP="00001438">
            <w:pPr>
              <w:pStyle w:val="ab"/>
              <w:numPr>
                <w:ilvl w:val="0"/>
                <w:numId w:val="5"/>
              </w:numPr>
              <w:spacing w:line="500" w:lineRule="exact"/>
              <w:ind w:firstLineChars="0"/>
              <w:rPr>
                <w:rFonts w:ascii="Arial" w:eastAsia="仿宋_GB2312" w:hAnsi="Arial" w:cs="Arial"/>
                <w:sz w:val="28"/>
                <w:szCs w:val="28"/>
              </w:rPr>
            </w:pPr>
            <w:r>
              <w:rPr>
                <w:rFonts w:ascii="Arial" w:eastAsia="仿宋_GB2312" w:hAnsi="Arial" w:cs="Arial" w:hint="eastAsia"/>
                <w:sz w:val="28"/>
                <w:szCs w:val="28"/>
              </w:rPr>
              <w:t>超市</w:t>
            </w:r>
            <w:r w:rsidRPr="00001438">
              <w:rPr>
                <w:rFonts w:ascii="Arial" w:eastAsia="仿宋_GB2312" w:hAnsi="Arial" w:cs="Arial" w:hint="eastAsia"/>
                <w:sz w:val="28"/>
                <w:szCs w:val="28"/>
              </w:rPr>
              <w:t>零售服务市场</w:t>
            </w:r>
            <w:r w:rsidRPr="00FC1FF2">
              <w:rPr>
                <w:rFonts w:ascii="Arial" w:eastAsia="仿宋_GB2312" w:hAnsi="Arial" w:cs="Arial" w:hint="eastAsia"/>
                <w:sz w:val="28"/>
                <w:szCs w:val="28"/>
              </w:rPr>
              <w:t>；</w:t>
            </w:r>
          </w:p>
          <w:p w:rsidR="00BE255D" w:rsidRDefault="00BE255D" w:rsidP="00BE255D">
            <w:pPr>
              <w:pStyle w:val="ab"/>
              <w:numPr>
                <w:ilvl w:val="0"/>
                <w:numId w:val="4"/>
              </w:numPr>
              <w:spacing w:line="500" w:lineRule="exact"/>
              <w:ind w:firstLineChars="0"/>
              <w:rPr>
                <w:rFonts w:ascii="Arial" w:eastAsia="仿宋_GB2312" w:hAnsi="Arial" w:cs="Arial"/>
                <w:sz w:val="28"/>
                <w:szCs w:val="28"/>
              </w:rPr>
            </w:pPr>
            <w:r w:rsidRPr="00197DF6">
              <w:rPr>
                <w:rFonts w:ascii="Arial" w:eastAsia="仿宋_GB2312" w:hAnsi="Arial" w:cs="Arial"/>
                <w:sz w:val="28"/>
                <w:szCs w:val="28"/>
              </w:rPr>
              <w:t>相关地域市场：</w:t>
            </w:r>
          </w:p>
          <w:p w:rsidR="00933525" w:rsidRPr="0058253C" w:rsidRDefault="00933525" w:rsidP="0058253C">
            <w:pPr>
              <w:pStyle w:val="ab"/>
              <w:spacing w:line="500" w:lineRule="exact"/>
              <w:ind w:left="360" w:firstLineChars="0" w:firstLine="0"/>
              <w:rPr>
                <w:rFonts w:ascii="Arial" w:eastAsia="仿宋_GB2312" w:hAnsi="Arial" w:cs="Arial"/>
                <w:sz w:val="28"/>
                <w:szCs w:val="28"/>
              </w:rPr>
            </w:pPr>
            <w:r w:rsidRPr="0058253C">
              <w:rPr>
                <w:rFonts w:ascii="Arial" w:eastAsia="仿宋_GB2312" w:hAnsi="Arial" w:cs="Arial" w:hint="eastAsia"/>
                <w:b/>
                <w:bCs/>
                <w:sz w:val="28"/>
                <w:szCs w:val="28"/>
              </w:rPr>
              <w:t>百货零售服务市场：</w:t>
            </w:r>
            <w:r w:rsidR="0058253C">
              <w:rPr>
                <w:rFonts w:ascii="Arial" w:eastAsia="仿宋_GB2312" w:hAnsi="Arial" w:cs="Arial" w:hint="eastAsia"/>
                <w:sz w:val="28"/>
                <w:szCs w:val="28"/>
              </w:rPr>
              <w:t>（</w:t>
            </w:r>
            <w:r w:rsidR="0058253C">
              <w:rPr>
                <w:rFonts w:ascii="Arial" w:eastAsia="仿宋_GB2312" w:hAnsi="Arial" w:cs="Arial" w:hint="eastAsia"/>
                <w:sz w:val="28"/>
                <w:szCs w:val="28"/>
              </w:rPr>
              <w:t>1</w:t>
            </w:r>
            <w:r w:rsidR="0058253C">
              <w:rPr>
                <w:rFonts w:ascii="Arial" w:eastAsia="仿宋_GB2312" w:hAnsi="Arial" w:cs="Arial" w:hint="eastAsia"/>
                <w:sz w:val="28"/>
                <w:szCs w:val="28"/>
              </w:rPr>
              <w:t>）</w:t>
            </w:r>
            <w:r w:rsidRPr="0058253C">
              <w:rPr>
                <w:rFonts w:ascii="Arial" w:eastAsia="仿宋_GB2312" w:hAnsi="Arial" w:cs="Arial" w:hint="eastAsia"/>
                <w:sz w:val="28"/>
                <w:szCs w:val="28"/>
              </w:rPr>
              <w:t>武汉市</w:t>
            </w:r>
            <w:r w:rsidR="0058253C">
              <w:rPr>
                <w:rFonts w:ascii="Arial" w:eastAsia="仿宋_GB2312" w:hAnsi="Arial" w:cs="Arial" w:hint="eastAsia"/>
                <w:sz w:val="28"/>
                <w:szCs w:val="28"/>
              </w:rPr>
              <w:t>、（</w:t>
            </w:r>
            <w:r w:rsidR="0058253C">
              <w:rPr>
                <w:rFonts w:ascii="Arial" w:eastAsia="仿宋_GB2312" w:hAnsi="Arial" w:cs="Arial" w:hint="eastAsia"/>
                <w:sz w:val="28"/>
                <w:szCs w:val="28"/>
              </w:rPr>
              <w:t>2</w:t>
            </w:r>
            <w:r w:rsidR="0058253C">
              <w:rPr>
                <w:rFonts w:ascii="Arial" w:eastAsia="仿宋_GB2312" w:hAnsi="Arial" w:cs="Arial" w:hint="eastAsia"/>
                <w:sz w:val="28"/>
                <w:szCs w:val="28"/>
              </w:rPr>
              <w:t>）</w:t>
            </w:r>
            <w:r w:rsidRPr="0058253C">
              <w:rPr>
                <w:rFonts w:ascii="Arial" w:eastAsia="仿宋_GB2312" w:hAnsi="Arial" w:cs="Arial" w:hint="eastAsia"/>
                <w:sz w:val="28"/>
                <w:szCs w:val="28"/>
              </w:rPr>
              <w:t>黄石市</w:t>
            </w:r>
            <w:r w:rsidR="0058253C">
              <w:rPr>
                <w:rFonts w:ascii="Arial" w:eastAsia="仿宋_GB2312" w:hAnsi="Arial" w:cs="Arial" w:hint="eastAsia"/>
                <w:sz w:val="28"/>
                <w:szCs w:val="28"/>
              </w:rPr>
              <w:t>、（</w:t>
            </w:r>
            <w:r w:rsidR="0058253C">
              <w:rPr>
                <w:rFonts w:ascii="Arial" w:eastAsia="仿宋_GB2312" w:hAnsi="Arial" w:cs="Arial" w:hint="eastAsia"/>
                <w:sz w:val="28"/>
                <w:szCs w:val="28"/>
              </w:rPr>
              <w:t>3</w:t>
            </w:r>
            <w:r w:rsidR="0058253C">
              <w:rPr>
                <w:rFonts w:ascii="Arial" w:eastAsia="仿宋_GB2312" w:hAnsi="Arial" w:cs="Arial" w:hint="eastAsia"/>
                <w:sz w:val="28"/>
                <w:szCs w:val="28"/>
              </w:rPr>
              <w:t>）</w:t>
            </w:r>
            <w:r w:rsidRPr="0058253C">
              <w:rPr>
                <w:rFonts w:ascii="Arial" w:eastAsia="仿宋_GB2312" w:hAnsi="Arial" w:cs="Arial" w:hint="eastAsia"/>
                <w:sz w:val="28"/>
                <w:szCs w:val="28"/>
              </w:rPr>
              <w:t>咸宁市</w:t>
            </w:r>
            <w:r w:rsidR="0058253C">
              <w:rPr>
                <w:rFonts w:ascii="Arial" w:eastAsia="仿宋_GB2312" w:hAnsi="Arial" w:cs="Arial" w:hint="eastAsia"/>
                <w:sz w:val="28"/>
                <w:szCs w:val="28"/>
              </w:rPr>
              <w:t>、（</w:t>
            </w:r>
            <w:r w:rsidR="0058253C">
              <w:rPr>
                <w:rFonts w:ascii="Arial" w:eastAsia="仿宋_GB2312" w:hAnsi="Arial" w:cs="Arial" w:hint="eastAsia"/>
                <w:sz w:val="28"/>
                <w:szCs w:val="28"/>
              </w:rPr>
              <w:t>4</w:t>
            </w:r>
            <w:r w:rsidR="0058253C">
              <w:rPr>
                <w:rFonts w:ascii="Arial" w:eastAsia="仿宋_GB2312" w:hAnsi="Arial" w:cs="Arial" w:hint="eastAsia"/>
                <w:sz w:val="28"/>
                <w:szCs w:val="28"/>
              </w:rPr>
              <w:t>）</w:t>
            </w:r>
            <w:r w:rsidRPr="0058253C">
              <w:rPr>
                <w:rFonts w:ascii="Arial" w:eastAsia="仿宋_GB2312" w:hAnsi="Arial" w:cs="Arial" w:hint="eastAsia"/>
                <w:sz w:val="28"/>
                <w:szCs w:val="28"/>
              </w:rPr>
              <w:t>孝感市</w:t>
            </w:r>
            <w:r w:rsidR="0058253C">
              <w:rPr>
                <w:rFonts w:ascii="Arial" w:eastAsia="仿宋_GB2312" w:hAnsi="Arial" w:cs="Arial" w:hint="eastAsia"/>
                <w:sz w:val="28"/>
                <w:szCs w:val="28"/>
              </w:rPr>
              <w:t>、（</w:t>
            </w:r>
            <w:r w:rsidR="0058253C">
              <w:rPr>
                <w:rFonts w:ascii="Arial" w:eastAsia="仿宋_GB2312" w:hAnsi="Arial" w:cs="Arial" w:hint="eastAsia"/>
                <w:sz w:val="28"/>
                <w:szCs w:val="28"/>
              </w:rPr>
              <w:t>5</w:t>
            </w:r>
            <w:r w:rsidR="0058253C">
              <w:rPr>
                <w:rFonts w:ascii="Arial" w:eastAsia="仿宋_GB2312" w:hAnsi="Arial" w:cs="Arial" w:hint="eastAsia"/>
                <w:sz w:val="28"/>
                <w:szCs w:val="28"/>
              </w:rPr>
              <w:t>）</w:t>
            </w:r>
            <w:r w:rsidRPr="0058253C">
              <w:rPr>
                <w:rFonts w:ascii="Arial" w:eastAsia="仿宋_GB2312" w:hAnsi="Arial" w:cs="Arial" w:hint="eastAsia"/>
                <w:sz w:val="28"/>
                <w:szCs w:val="28"/>
              </w:rPr>
              <w:t>十堰市</w:t>
            </w:r>
            <w:r w:rsidR="0058253C">
              <w:rPr>
                <w:rFonts w:ascii="Arial" w:eastAsia="仿宋_GB2312" w:hAnsi="Arial" w:cs="Arial" w:hint="eastAsia"/>
                <w:sz w:val="28"/>
                <w:szCs w:val="28"/>
              </w:rPr>
              <w:t>、（</w:t>
            </w:r>
            <w:r w:rsidR="0058253C">
              <w:rPr>
                <w:rFonts w:ascii="Arial" w:eastAsia="仿宋_GB2312" w:hAnsi="Arial" w:cs="Arial" w:hint="eastAsia"/>
                <w:sz w:val="28"/>
                <w:szCs w:val="28"/>
              </w:rPr>
              <w:t>6</w:t>
            </w:r>
            <w:r w:rsidR="0058253C">
              <w:rPr>
                <w:rFonts w:ascii="Arial" w:eastAsia="仿宋_GB2312" w:hAnsi="Arial" w:cs="Arial" w:hint="eastAsia"/>
                <w:sz w:val="28"/>
                <w:szCs w:val="28"/>
              </w:rPr>
              <w:t>）</w:t>
            </w:r>
            <w:r w:rsidRPr="0058253C">
              <w:rPr>
                <w:rFonts w:ascii="Arial" w:eastAsia="仿宋_GB2312" w:hAnsi="Arial" w:cs="Arial" w:hint="eastAsia"/>
                <w:sz w:val="28"/>
                <w:szCs w:val="28"/>
              </w:rPr>
              <w:t>荆门市</w:t>
            </w:r>
            <w:r w:rsidR="0058253C">
              <w:rPr>
                <w:rFonts w:ascii="Arial" w:eastAsia="仿宋_GB2312" w:hAnsi="Arial" w:cs="Arial" w:hint="eastAsia"/>
                <w:sz w:val="28"/>
                <w:szCs w:val="28"/>
              </w:rPr>
              <w:t>、（</w:t>
            </w:r>
            <w:r w:rsidR="0058253C">
              <w:rPr>
                <w:rFonts w:ascii="Arial" w:eastAsia="仿宋_GB2312" w:hAnsi="Arial" w:cs="Arial" w:hint="eastAsia"/>
                <w:sz w:val="28"/>
                <w:szCs w:val="28"/>
              </w:rPr>
              <w:t>7</w:t>
            </w:r>
            <w:r w:rsidR="0058253C">
              <w:rPr>
                <w:rFonts w:ascii="Arial" w:eastAsia="仿宋_GB2312" w:hAnsi="Arial" w:cs="Arial" w:hint="eastAsia"/>
                <w:sz w:val="28"/>
                <w:szCs w:val="28"/>
              </w:rPr>
              <w:t>）</w:t>
            </w:r>
            <w:r w:rsidRPr="0058253C">
              <w:rPr>
                <w:rFonts w:ascii="Arial" w:eastAsia="仿宋_GB2312" w:hAnsi="Arial" w:cs="Arial" w:hint="eastAsia"/>
                <w:sz w:val="28"/>
                <w:szCs w:val="28"/>
              </w:rPr>
              <w:t>荆州市</w:t>
            </w:r>
            <w:r w:rsidR="0058253C">
              <w:rPr>
                <w:rFonts w:ascii="Arial" w:eastAsia="仿宋_GB2312" w:hAnsi="Arial" w:cs="Arial" w:hint="eastAsia"/>
                <w:sz w:val="28"/>
                <w:szCs w:val="28"/>
              </w:rPr>
              <w:t>、（</w:t>
            </w:r>
            <w:r w:rsidR="0058253C">
              <w:rPr>
                <w:rFonts w:ascii="Arial" w:eastAsia="仿宋_GB2312" w:hAnsi="Arial" w:cs="Arial" w:hint="eastAsia"/>
                <w:sz w:val="28"/>
                <w:szCs w:val="28"/>
              </w:rPr>
              <w:t>8</w:t>
            </w:r>
            <w:r w:rsidR="0058253C">
              <w:rPr>
                <w:rFonts w:ascii="Arial" w:eastAsia="仿宋_GB2312" w:hAnsi="Arial" w:cs="Arial" w:hint="eastAsia"/>
                <w:sz w:val="28"/>
                <w:szCs w:val="28"/>
              </w:rPr>
              <w:t>）</w:t>
            </w:r>
            <w:r w:rsidRPr="0058253C">
              <w:rPr>
                <w:rFonts w:ascii="Arial" w:eastAsia="仿宋_GB2312" w:hAnsi="Arial" w:cs="Arial" w:hint="eastAsia"/>
                <w:sz w:val="28"/>
                <w:szCs w:val="28"/>
              </w:rPr>
              <w:t>黄冈市</w:t>
            </w:r>
            <w:r w:rsidR="00C65290">
              <w:rPr>
                <w:rFonts w:ascii="Arial" w:eastAsia="仿宋_GB2312" w:hAnsi="Arial" w:cs="Arial" w:hint="eastAsia"/>
                <w:sz w:val="28"/>
                <w:szCs w:val="28"/>
              </w:rPr>
              <w:t>；</w:t>
            </w:r>
          </w:p>
          <w:p w:rsidR="00933525" w:rsidRPr="0058253C" w:rsidRDefault="00933525" w:rsidP="0058253C">
            <w:pPr>
              <w:spacing w:line="500" w:lineRule="exact"/>
              <w:ind w:left="360"/>
              <w:rPr>
                <w:rFonts w:ascii="Arial" w:eastAsia="仿宋_GB2312" w:hAnsi="Arial" w:cs="Arial"/>
                <w:sz w:val="28"/>
                <w:szCs w:val="28"/>
              </w:rPr>
            </w:pPr>
            <w:r w:rsidRPr="0058253C">
              <w:rPr>
                <w:rFonts w:ascii="Arial" w:eastAsia="仿宋_GB2312" w:hAnsi="Arial" w:cs="Arial" w:hint="eastAsia"/>
                <w:b/>
                <w:bCs/>
                <w:sz w:val="28"/>
                <w:szCs w:val="28"/>
              </w:rPr>
              <w:t>超市零售服务市场</w:t>
            </w:r>
            <w:r w:rsidR="0058253C">
              <w:rPr>
                <w:rFonts w:ascii="Arial" w:eastAsia="仿宋_GB2312" w:hAnsi="Arial" w:cs="Arial" w:hint="eastAsia"/>
                <w:b/>
                <w:bCs/>
                <w:sz w:val="28"/>
                <w:szCs w:val="28"/>
              </w:rPr>
              <w:t>：</w:t>
            </w:r>
            <w:r w:rsidR="0058253C" w:rsidRPr="0058253C">
              <w:rPr>
                <w:rFonts w:ascii="Arial" w:eastAsia="仿宋_GB2312" w:hAnsi="Arial" w:cs="Arial" w:hint="eastAsia"/>
                <w:sz w:val="28"/>
                <w:szCs w:val="28"/>
              </w:rPr>
              <w:t>（</w:t>
            </w:r>
            <w:r w:rsidR="0058253C" w:rsidRPr="0058253C">
              <w:rPr>
                <w:rFonts w:ascii="Arial" w:eastAsia="仿宋_GB2312" w:hAnsi="Arial" w:cs="Arial" w:hint="eastAsia"/>
                <w:sz w:val="28"/>
                <w:szCs w:val="28"/>
              </w:rPr>
              <w:t>1</w:t>
            </w:r>
            <w:r w:rsidR="0058253C" w:rsidRPr="0058253C">
              <w:rPr>
                <w:rFonts w:ascii="Arial" w:eastAsia="仿宋_GB2312" w:hAnsi="Arial" w:cs="Arial" w:hint="eastAsia"/>
                <w:sz w:val="28"/>
                <w:szCs w:val="28"/>
              </w:rPr>
              <w:t>）</w:t>
            </w:r>
            <w:r w:rsidRPr="0058253C">
              <w:rPr>
                <w:rFonts w:ascii="Arial" w:eastAsia="仿宋_GB2312" w:hAnsi="Arial" w:cs="Arial" w:hint="eastAsia"/>
                <w:sz w:val="28"/>
                <w:szCs w:val="28"/>
              </w:rPr>
              <w:t>武汉市</w:t>
            </w:r>
            <w:r w:rsidR="0058253C" w:rsidRPr="0058253C">
              <w:rPr>
                <w:rFonts w:ascii="Arial" w:eastAsia="仿宋_GB2312" w:hAnsi="Arial" w:cs="Arial" w:hint="eastAsia"/>
                <w:sz w:val="28"/>
                <w:szCs w:val="28"/>
              </w:rPr>
              <w:t>、（</w:t>
            </w:r>
            <w:r w:rsidR="0058253C" w:rsidRPr="0058253C">
              <w:rPr>
                <w:rFonts w:ascii="Arial" w:eastAsia="仿宋_GB2312" w:hAnsi="Arial" w:cs="Arial" w:hint="eastAsia"/>
                <w:sz w:val="28"/>
                <w:szCs w:val="28"/>
              </w:rPr>
              <w:t>2</w:t>
            </w:r>
            <w:r w:rsidR="0058253C" w:rsidRPr="0058253C">
              <w:rPr>
                <w:rFonts w:ascii="Arial" w:eastAsia="仿宋_GB2312" w:hAnsi="Arial" w:cs="Arial" w:hint="eastAsia"/>
                <w:sz w:val="28"/>
                <w:szCs w:val="28"/>
              </w:rPr>
              <w:t>）</w:t>
            </w:r>
            <w:r w:rsidRPr="0058253C">
              <w:rPr>
                <w:rFonts w:ascii="Arial" w:eastAsia="仿宋_GB2312" w:hAnsi="Arial" w:cs="Arial" w:hint="eastAsia"/>
                <w:sz w:val="28"/>
                <w:szCs w:val="28"/>
              </w:rPr>
              <w:t>孝感市</w:t>
            </w:r>
            <w:r w:rsidR="0058253C" w:rsidRPr="0058253C">
              <w:rPr>
                <w:rFonts w:ascii="Arial" w:eastAsia="仿宋_GB2312" w:hAnsi="Arial" w:cs="Arial" w:hint="eastAsia"/>
                <w:sz w:val="28"/>
                <w:szCs w:val="28"/>
              </w:rPr>
              <w:t>、（</w:t>
            </w:r>
            <w:r w:rsidR="0058253C" w:rsidRPr="0058253C">
              <w:rPr>
                <w:rFonts w:ascii="Arial" w:eastAsia="仿宋_GB2312" w:hAnsi="Arial" w:cs="Arial" w:hint="eastAsia"/>
                <w:sz w:val="28"/>
                <w:szCs w:val="28"/>
              </w:rPr>
              <w:t>3</w:t>
            </w:r>
            <w:r w:rsidR="0058253C" w:rsidRPr="0058253C">
              <w:rPr>
                <w:rFonts w:ascii="Arial" w:eastAsia="仿宋_GB2312" w:hAnsi="Arial" w:cs="Arial" w:hint="eastAsia"/>
                <w:sz w:val="28"/>
                <w:szCs w:val="28"/>
              </w:rPr>
              <w:t>）</w:t>
            </w:r>
            <w:r w:rsidRPr="0058253C">
              <w:rPr>
                <w:rFonts w:ascii="Arial" w:eastAsia="仿宋_GB2312" w:hAnsi="Arial" w:cs="Arial" w:hint="eastAsia"/>
                <w:sz w:val="28"/>
                <w:szCs w:val="28"/>
              </w:rPr>
              <w:t>荆门市</w:t>
            </w:r>
            <w:r w:rsidR="0058253C" w:rsidRPr="0058253C">
              <w:rPr>
                <w:rFonts w:ascii="Arial" w:eastAsia="仿宋_GB2312" w:hAnsi="Arial" w:cs="Arial" w:hint="eastAsia"/>
                <w:sz w:val="28"/>
                <w:szCs w:val="28"/>
              </w:rPr>
              <w:t>、（</w:t>
            </w:r>
            <w:r w:rsidR="0058253C" w:rsidRPr="0058253C">
              <w:rPr>
                <w:rFonts w:ascii="Arial" w:eastAsia="仿宋_GB2312" w:hAnsi="Arial" w:cs="Arial" w:hint="eastAsia"/>
                <w:sz w:val="28"/>
                <w:szCs w:val="28"/>
              </w:rPr>
              <w:t>4</w:t>
            </w:r>
            <w:r w:rsidR="0058253C" w:rsidRPr="0058253C">
              <w:rPr>
                <w:rFonts w:ascii="Arial" w:eastAsia="仿宋_GB2312" w:hAnsi="Arial" w:cs="Arial" w:hint="eastAsia"/>
                <w:sz w:val="28"/>
                <w:szCs w:val="28"/>
              </w:rPr>
              <w:t>）</w:t>
            </w:r>
            <w:r w:rsidRPr="0058253C">
              <w:rPr>
                <w:rFonts w:ascii="Arial" w:eastAsia="仿宋_GB2312" w:hAnsi="Arial" w:cs="Arial" w:hint="eastAsia"/>
                <w:sz w:val="28"/>
                <w:szCs w:val="28"/>
              </w:rPr>
              <w:t>咸宁市</w:t>
            </w:r>
            <w:r w:rsidR="0058253C" w:rsidRPr="0058253C">
              <w:rPr>
                <w:rFonts w:ascii="Arial" w:eastAsia="仿宋_GB2312" w:hAnsi="Arial" w:cs="Arial" w:hint="eastAsia"/>
                <w:sz w:val="28"/>
                <w:szCs w:val="28"/>
              </w:rPr>
              <w:t>、（</w:t>
            </w:r>
            <w:r w:rsidR="0058253C" w:rsidRPr="0058253C">
              <w:rPr>
                <w:rFonts w:ascii="Arial" w:eastAsia="仿宋_GB2312" w:hAnsi="Arial" w:cs="Arial" w:hint="eastAsia"/>
                <w:sz w:val="28"/>
                <w:szCs w:val="28"/>
              </w:rPr>
              <w:t>5</w:t>
            </w:r>
            <w:r w:rsidR="0058253C" w:rsidRPr="0058253C">
              <w:rPr>
                <w:rFonts w:ascii="Arial" w:eastAsia="仿宋_GB2312" w:hAnsi="Arial" w:cs="Arial" w:hint="eastAsia"/>
                <w:sz w:val="28"/>
                <w:szCs w:val="28"/>
              </w:rPr>
              <w:t>）</w:t>
            </w:r>
            <w:r w:rsidRPr="0058253C">
              <w:rPr>
                <w:rFonts w:ascii="Arial" w:eastAsia="仿宋_GB2312" w:hAnsi="Arial" w:cs="Arial" w:hint="eastAsia"/>
                <w:sz w:val="28"/>
                <w:szCs w:val="28"/>
              </w:rPr>
              <w:t>黄冈市</w:t>
            </w:r>
            <w:r w:rsidR="0058253C" w:rsidRPr="0058253C">
              <w:rPr>
                <w:rFonts w:ascii="Arial" w:eastAsia="仿宋_GB2312" w:hAnsi="Arial" w:cs="Arial" w:hint="eastAsia"/>
                <w:sz w:val="28"/>
                <w:szCs w:val="28"/>
              </w:rPr>
              <w:t>、（</w:t>
            </w:r>
            <w:r w:rsidR="0058253C" w:rsidRPr="0058253C">
              <w:rPr>
                <w:rFonts w:ascii="Arial" w:eastAsia="仿宋_GB2312" w:hAnsi="Arial" w:cs="Arial" w:hint="eastAsia"/>
                <w:sz w:val="28"/>
                <w:szCs w:val="28"/>
              </w:rPr>
              <w:t>6</w:t>
            </w:r>
            <w:r w:rsidR="0058253C" w:rsidRPr="0058253C">
              <w:rPr>
                <w:rFonts w:ascii="Arial" w:eastAsia="仿宋_GB2312" w:hAnsi="Arial" w:cs="Arial" w:hint="eastAsia"/>
                <w:sz w:val="28"/>
                <w:szCs w:val="28"/>
              </w:rPr>
              <w:t>）</w:t>
            </w:r>
            <w:r w:rsidRPr="0058253C">
              <w:rPr>
                <w:rFonts w:ascii="Arial" w:eastAsia="仿宋_GB2312" w:hAnsi="Arial" w:cs="Arial" w:hint="eastAsia"/>
                <w:sz w:val="28"/>
                <w:szCs w:val="28"/>
              </w:rPr>
              <w:t>黄石市</w:t>
            </w:r>
            <w:r w:rsidR="0058253C" w:rsidRPr="0058253C">
              <w:rPr>
                <w:rFonts w:ascii="Arial" w:eastAsia="仿宋_GB2312" w:hAnsi="Arial" w:cs="Arial" w:hint="eastAsia"/>
                <w:sz w:val="28"/>
                <w:szCs w:val="28"/>
              </w:rPr>
              <w:t>、（</w:t>
            </w:r>
            <w:r w:rsidR="0058253C" w:rsidRPr="0058253C">
              <w:rPr>
                <w:rFonts w:ascii="Arial" w:eastAsia="仿宋_GB2312" w:hAnsi="Arial" w:cs="Arial" w:hint="eastAsia"/>
                <w:sz w:val="28"/>
                <w:szCs w:val="28"/>
              </w:rPr>
              <w:t>7</w:t>
            </w:r>
            <w:r w:rsidR="0058253C" w:rsidRPr="0058253C">
              <w:rPr>
                <w:rFonts w:ascii="Arial" w:eastAsia="仿宋_GB2312" w:hAnsi="Arial" w:cs="Arial" w:hint="eastAsia"/>
                <w:sz w:val="28"/>
                <w:szCs w:val="28"/>
              </w:rPr>
              <w:t>）</w:t>
            </w:r>
            <w:r w:rsidRPr="0058253C">
              <w:rPr>
                <w:rFonts w:ascii="Arial" w:eastAsia="仿宋_GB2312" w:hAnsi="Arial" w:cs="Arial" w:hint="eastAsia"/>
                <w:sz w:val="28"/>
                <w:szCs w:val="28"/>
              </w:rPr>
              <w:t>潜江市</w:t>
            </w:r>
            <w:r w:rsidR="0058253C" w:rsidRPr="0058253C">
              <w:rPr>
                <w:rFonts w:ascii="Arial" w:eastAsia="仿宋_GB2312" w:hAnsi="Arial" w:cs="Arial" w:hint="eastAsia"/>
                <w:sz w:val="28"/>
                <w:szCs w:val="28"/>
              </w:rPr>
              <w:t>、（</w:t>
            </w:r>
            <w:r w:rsidR="0058253C" w:rsidRPr="0058253C">
              <w:rPr>
                <w:rFonts w:ascii="Arial" w:eastAsia="仿宋_GB2312" w:hAnsi="Arial" w:cs="Arial" w:hint="eastAsia"/>
                <w:sz w:val="28"/>
                <w:szCs w:val="28"/>
              </w:rPr>
              <w:t>8</w:t>
            </w:r>
            <w:r w:rsidR="0058253C" w:rsidRPr="0058253C">
              <w:rPr>
                <w:rFonts w:ascii="Arial" w:eastAsia="仿宋_GB2312" w:hAnsi="Arial" w:cs="Arial" w:hint="eastAsia"/>
                <w:sz w:val="28"/>
                <w:szCs w:val="28"/>
              </w:rPr>
              <w:t>）</w:t>
            </w:r>
            <w:r w:rsidRPr="0058253C">
              <w:rPr>
                <w:rFonts w:ascii="Arial" w:eastAsia="仿宋_GB2312" w:hAnsi="Arial" w:cs="Arial" w:hint="eastAsia"/>
                <w:sz w:val="28"/>
                <w:szCs w:val="28"/>
              </w:rPr>
              <w:t>荆州市</w:t>
            </w:r>
            <w:r w:rsidR="00C65290">
              <w:rPr>
                <w:rFonts w:ascii="Arial" w:eastAsia="仿宋_GB2312" w:hAnsi="Arial" w:cs="Arial" w:hint="eastAsia"/>
                <w:sz w:val="28"/>
                <w:szCs w:val="28"/>
              </w:rPr>
              <w:t>。</w:t>
            </w:r>
            <w:bookmarkStart w:id="0" w:name="_GoBack"/>
            <w:bookmarkEnd w:id="0"/>
          </w:p>
          <w:p w:rsidR="00197DF6" w:rsidRPr="00197DF6" w:rsidRDefault="00197DF6" w:rsidP="00197DF6">
            <w:pPr>
              <w:pStyle w:val="ab"/>
              <w:numPr>
                <w:ilvl w:val="0"/>
                <w:numId w:val="4"/>
              </w:numPr>
              <w:spacing w:line="500" w:lineRule="exact"/>
              <w:ind w:firstLineChars="0"/>
              <w:rPr>
                <w:rFonts w:ascii="Arial" w:eastAsia="仿宋_GB2312" w:hAnsi="Arial" w:cs="Arial"/>
                <w:sz w:val="28"/>
                <w:szCs w:val="28"/>
              </w:rPr>
            </w:pPr>
            <w:r w:rsidRPr="00197DF6">
              <w:rPr>
                <w:rFonts w:ascii="Arial" w:eastAsia="仿宋_GB2312" w:hAnsi="Arial" w:cs="Arial"/>
                <w:sz w:val="28"/>
                <w:szCs w:val="28"/>
              </w:rPr>
              <w:t>相关市场份额：</w:t>
            </w:r>
          </w:p>
          <w:p w:rsidR="00D35B02" w:rsidRPr="00933525" w:rsidRDefault="00001438" w:rsidP="00933525">
            <w:pPr>
              <w:pStyle w:val="ab"/>
              <w:numPr>
                <w:ilvl w:val="0"/>
                <w:numId w:val="10"/>
              </w:numPr>
              <w:spacing w:line="500" w:lineRule="exact"/>
              <w:ind w:firstLineChars="0"/>
              <w:rPr>
                <w:rFonts w:ascii="Arial" w:eastAsia="仿宋_GB2312" w:hAnsi="Arial" w:cs="Arial"/>
                <w:sz w:val="28"/>
                <w:szCs w:val="28"/>
              </w:rPr>
            </w:pPr>
            <w:r w:rsidRPr="00001438">
              <w:rPr>
                <w:rFonts w:ascii="Arial" w:eastAsia="仿宋_GB2312" w:hAnsi="Arial" w:cs="Arial" w:hint="eastAsia"/>
                <w:sz w:val="28"/>
                <w:szCs w:val="28"/>
              </w:rPr>
              <w:t>武汉市百货零售服务</w:t>
            </w:r>
            <w:r w:rsidR="003B3590" w:rsidRPr="003B3590">
              <w:rPr>
                <w:rFonts w:ascii="Arial" w:eastAsia="仿宋_GB2312" w:hAnsi="Arial" w:cs="Arial" w:hint="eastAsia"/>
                <w:sz w:val="28"/>
                <w:szCs w:val="28"/>
              </w:rPr>
              <w:t>市场</w:t>
            </w:r>
            <w:r w:rsidR="00197DF6" w:rsidRPr="00197DF6">
              <w:rPr>
                <w:rFonts w:ascii="Arial" w:eastAsia="仿宋_GB2312" w:hAnsi="Arial" w:cs="Arial"/>
                <w:sz w:val="28"/>
                <w:szCs w:val="28"/>
              </w:rPr>
              <w:t>：</w:t>
            </w:r>
            <w:r w:rsidRPr="00933525">
              <w:rPr>
                <w:rFonts w:ascii="Arial" w:eastAsia="仿宋_GB2312" w:hAnsi="Arial" w:cs="Arial" w:hint="eastAsia"/>
                <w:sz w:val="28"/>
                <w:szCs w:val="28"/>
              </w:rPr>
              <w:t>武汉中商</w:t>
            </w:r>
            <w:r w:rsidR="00B71255" w:rsidRPr="00933525">
              <w:rPr>
                <w:rFonts w:ascii="Arial" w:eastAsia="仿宋_GB2312" w:hAnsi="Arial" w:cs="Arial" w:hint="eastAsia"/>
                <w:sz w:val="28"/>
                <w:szCs w:val="28"/>
              </w:rPr>
              <w:t>[</w:t>
            </w:r>
            <w:r w:rsidRPr="00933525">
              <w:rPr>
                <w:rFonts w:ascii="Arial" w:eastAsia="仿宋_GB2312" w:hAnsi="Arial" w:cs="Arial"/>
                <w:sz w:val="28"/>
                <w:szCs w:val="28"/>
              </w:rPr>
              <w:t>0</w:t>
            </w:r>
            <w:r w:rsidR="003B3590" w:rsidRPr="00933525">
              <w:rPr>
                <w:rFonts w:ascii="Arial" w:eastAsia="仿宋_GB2312" w:hAnsi="Arial" w:cs="Arial" w:hint="eastAsia"/>
                <w:sz w:val="28"/>
                <w:szCs w:val="28"/>
              </w:rPr>
              <w:t>-</w:t>
            </w:r>
            <w:r w:rsidRPr="00933525">
              <w:rPr>
                <w:rFonts w:ascii="Arial" w:eastAsia="仿宋_GB2312" w:hAnsi="Arial" w:cs="Arial"/>
                <w:sz w:val="28"/>
                <w:szCs w:val="28"/>
              </w:rPr>
              <w:t>5</w:t>
            </w:r>
            <w:r w:rsidR="00B71255" w:rsidRPr="00933525">
              <w:rPr>
                <w:rFonts w:ascii="Arial" w:eastAsia="仿宋_GB2312" w:hAnsi="Arial" w:cs="Arial" w:hint="eastAsia"/>
                <w:sz w:val="28"/>
                <w:szCs w:val="28"/>
              </w:rPr>
              <w:t>]%</w:t>
            </w:r>
          </w:p>
          <w:p w:rsidR="00B71255" w:rsidRPr="00933525" w:rsidRDefault="00FC1EE9" w:rsidP="00933525">
            <w:pPr>
              <w:pStyle w:val="ab"/>
              <w:numPr>
                <w:ilvl w:val="0"/>
                <w:numId w:val="10"/>
              </w:numPr>
              <w:spacing w:line="500" w:lineRule="exact"/>
              <w:ind w:firstLineChars="0"/>
              <w:rPr>
                <w:rFonts w:ascii="Arial" w:eastAsia="仿宋_GB2312" w:hAnsi="Arial" w:cs="Arial"/>
                <w:sz w:val="28"/>
                <w:szCs w:val="28"/>
              </w:rPr>
            </w:pPr>
            <w:r w:rsidRPr="00FC1EE9">
              <w:rPr>
                <w:rFonts w:ascii="Arial" w:eastAsia="仿宋_GB2312" w:hAnsi="Arial" w:cs="Arial" w:hint="eastAsia"/>
                <w:sz w:val="28"/>
                <w:szCs w:val="28"/>
              </w:rPr>
              <w:t>黄石市百货零售服务市场</w:t>
            </w:r>
            <w:r w:rsidR="00D35B02">
              <w:rPr>
                <w:rFonts w:ascii="Arial" w:eastAsia="仿宋_GB2312" w:hAnsi="Arial" w:cs="Arial" w:hint="eastAsia"/>
                <w:sz w:val="28"/>
                <w:szCs w:val="28"/>
              </w:rPr>
              <w:t>：</w:t>
            </w:r>
            <w:r w:rsidRPr="00933525">
              <w:rPr>
                <w:rFonts w:ascii="Arial" w:eastAsia="仿宋_GB2312" w:hAnsi="Arial" w:cs="Arial" w:hint="eastAsia"/>
                <w:sz w:val="28"/>
                <w:szCs w:val="28"/>
              </w:rPr>
              <w:t>武汉中商</w:t>
            </w:r>
            <w:r w:rsidR="00B71255" w:rsidRPr="00933525">
              <w:rPr>
                <w:rFonts w:ascii="Arial" w:eastAsia="仿宋_GB2312" w:hAnsi="Arial" w:cs="Arial" w:hint="eastAsia"/>
                <w:sz w:val="28"/>
                <w:szCs w:val="28"/>
              </w:rPr>
              <w:t>[0-5]%</w:t>
            </w:r>
          </w:p>
          <w:p w:rsidR="003B3590" w:rsidRPr="00933525" w:rsidRDefault="00FC1EE9" w:rsidP="00933525">
            <w:pPr>
              <w:pStyle w:val="ab"/>
              <w:numPr>
                <w:ilvl w:val="0"/>
                <w:numId w:val="10"/>
              </w:numPr>
              <w:spacing w:line="500" w:lineRule="exact"/>
              <w:ind w:firstLineChars="0"/>
              <w:rPr>
                <w:rFonts w:ascii="Arial" w:eastAsia="仿宋_GB2312" w:hAnsi="Arial" w:cs="Arial"/>
                <w:sz w:val="28"/>
                <w:szCs w:val="28"/>
              </w:rPr>
            </w:pPr>
            <w:r w:rsidRPr="00FC1EE9">
              <w:rPr>
                <w:rFonts w:ascii="Arial" w:eastAsia="仿宋_GB2312" w:hAnsi="Arial" w:cs="Arial" w:hint="eastAsia"/>
                <w:sz w:val="28"/>
                <w:szCs w:val="28"/>
              </w:rPr>
              <w:t>咸宁市百货零售服务市场</w:t>
            </w:r>
            <w:r w:rsidR="00D35B02">
              <w:rPr>
                <w:rFonts w:ascii="Arial" w:eastAsia="仿宋_GB2312" w:hAnsi="Arial" w:cs="Arial" w:hint="eastAsia"/>
                <w:sz w:val="28"/>
                <w:szCs w:val="28"/>
              </w:rPr>
              <w:t>：</w:t>
            </w:r>
            <w:r w:rsidRPr="00933525">
              <w:rPr>
                <w:rFonts w:ascii="Arial" w:eastAsia="仿宋_GB2312" w:hAnsi="Arial" w:cs="Arial" w:hint="eastAsia"/>
                <w:sz w:val="28"/>
                <w:szCs w:val="28"/>
              </w:rPr>
              <w:t>武汉中商</w:t>
            </w:r>
            <w:r w:rsidR="003B3590" w:rsidRPr="00933525">
              <w:rPr>
                <w:rFonts w:ascii="Arial" w:eastAsia="仿宋_GB2312" w:hAnsi="Arial" w:cs="Arial" w:hint="eastAsia"/>
                <w:sz w:val="28"/>
                <w:szCs w:val="28"/>
              </w:rPr>
              <w:t>[5-10]%</w:t>
            </w:r>
          </w:p>
          <w:p w:rsidR="003B3590" w:rsidRPr="00933525" w:rsidRDefault="00FC1EE9" w:rsidP="00933525">
            <w:pPr>
              <w:pStyle w:val="ab"/>
              <w:numPr>
                <w:ilvl w:val="0"/>
                <w:numId w:val="10"/>
              </w:numPr>
              <w:spacing w:line="500" w:lineRule="exact"/>
              <w:ind w:firstLineChars="0"/>
              <w:rPr>
                <w:rFonts w:ascii="Arial" w:eastAsia="仿宋_GB2312" w:hAnsi="Arial" w:cs="Arial"/>
                <w:sz w:val="28"/>
                <w:szCs w:val="28"/>
              </w:rPr>
            </w:pPr>
            <w:r w:rsidRPr="00FC1EE9">
              <w:rPr>
                <w:rFonts w:ascii="Arial" w:eastAsia="仿宋_GB2312" w:hAnsi="Arial" w:cs="Arial" w:hint="eastAsia"/>
                <w:sz w:val="28"/>
                <w:szCs w:val="28"/>
              </w:rPr>
              <w:t>孝感市百货零售服务市场</w:t>
            </w:r>
            <w:r w:rsidR="00BE255D">
              <w:rPr>
                <w:rFonts w:ascii="Arial" w:eastAsia="仿宋_GB2312" w:hAnsi="Arial" w:cs="Arial" w:hint="eastAsia"/>
                <w:sz w:val="28"/>
                <w:szCs w:val="28"/>
              </w:rPr>
              <w:t>：</w:t>
            </w:r>
            <w:r w:rsidRPr="00933525">
              <w:rPr>
                <w:rFonts w:ascii="Arial" w:eastAsia="仿宋_GB2312" w:hAnsi="Arial" w:cs="Arial" w:hint="eastAsia"/>
                <w:sz w:val="28"/>
                <w:szCs w:val="28"/>
              </w:rPr>
              <w:t>武汉中商</w:t>
            </w:r>
            <w:r w:rsidR="003B3590" w:rsidRPr="00933525">
              <w:rPr>
                <w:rFonts w:ascii="Arial" w:eastAsia="仿宋_GB2312" w:hAnsi="Arial" w:cs="Arial" w:hint="eastAsia"/>
                <w:sz w:val="28"/>
                <w:szCs w:val="28"/>
              </w:rPr>
              <w:t>[0-5]%</w:t>
            </w:r>
          </w:p>
          <w:p w:rsidR="003B3590" w:rsidRPr="00933525" w:rsidRDefault="00FC1EE9" w:rsidP="00933525">
            <w:pPr>
              <w:pStyle w:val="ab"/>
              <w:numPr>
                <w:ilvl w:val="0"/>
                <w:numId w:val="10"/>
              </w:numPr>
              <w:spacing w:line="500" w:lineRule="exact"/>
              <w:ind w:firstLineChars="0"/>
              <w:rPr>
                <w:rFonts w:ascii="Arial" w:eastAsia="仿宋_GB2312" w:hAnsi="Arial" w:cs="Arial"/>
                <w:sz w:val="28"/>
                <w:szCs w:val="28"/>
              </w:rPr>
            </w:pPr>
            <w:r w:rsidRPr="00FC1EE9">
              <w:rPr>
                <w:rFonts w:ascii="Arial" w:eastAsia="仿宋_GB2312" w:hAnsi="Arial" w:cs="Arial" w:hint="eastAsia"/>
                <w:sz w:val="28"/>
                <w:szCs w:val="28"/>
              </w:rPr>
              <w:t>十堰市百货零售服务市场</w:t>
            </w:r>
            <w:r w:rsidR="00BE255D">
              <w:rPr>
                <w:rFonts w:ascii="Arial" w:eastAsia="仿宋_GB2312" w:hAnsi="Arial" w:cs="Arial" w:hint="eastAsia"/>
                <w:sz w:val="28"/>
                <w:szCs w:val="28"/>
              </w:rPr>
              <w:t>：</w:t>
            </w:r>
            <w:r w:rsidRPr="00933525">
              <w:rPr>
                <w:rFonts w:ascii="Arial" w:eastAsia="仿宋_GB2312" w:hAnsi="Arial" w:cs="Arial" w:hint="eastAsia"/>
                <w:sz w:val="28"/>
                <w:szCs w:val="28"/>
              </w:rPr>
              <w:t>武汉中商</w:t>
            </w:r>
            <w:r w:rsidR="003B3590" w:rsidRPr="00933525">
              <w:rPr>
                <w:rFonts w:ascii="Arial" w:eastAsia="仿宋_GB2312" w:hAnsi="Arial" w:cs="Arial" w:hint="eastAsia"/>
                <w:sz w:val="28"/>
                <w:szCs w:val="28"/>
              </w:rPr>
              <w:t>[0-5]%</w:t>
            </w:r>
          </w:p>
          <w:p w:rsidR="00FC1EE9" w:rsidRPr="00933525" w:rsidRDefault="00FC1EE9" w:rsidP="00933525">
            <w:pPr>
              <w:pStyle w:val="ab"/>
              <w:numPr>
                <w:ilvl w:val="0"/>
                <w:numId w:val="10"/>
              </w:numPr>
              <w:spacing w:line="500" w:lineRule="exact"/>
              <w:ind w:firstLineChars="0"/>
              <w:rPr>
                <w:rFonts w:ascii="Arial" w:eastAsia="仿宋_GB2312" w:hAnsi="Arial" w:cs="Arial"/>
                <w:sz w:val="28"/>
                <w:szCs w:val="28"/>
              </w:rPr>
            </w:pPr>
            <w:r w:rsidRPr="00FC1EE9">
              <w:rPr>
                <w:rFonts w:ascii="Arial" w:eastAsia="仿宋_GB2312" w:hAnsi="Arial" w:cs="Arial" w:hint="eastAsia"/>
                <w:sz w:val="28"/>
                <w:szCs w:val="28"/>
              </w:rPr>
              <w:t>荆门市百货零售服务市场</w:t>
            </w:r>
            <w:r>
              <w:rPr>
                <w:rFonts w:ascii="Arial" w:eastAsia="仿宋_GB2312" w:hAnsi="Arial" w:cs="Arial" w:hint="eastAsia"/>
                <w:sz w:val="28"/>
                <w:szCs w:val="28"/>
              </w:rPr>
              <w:t>：</w:t>
            </w:r>
            <w:r w:rsidRPr="00933525">
              <w:rPr>
                <w:rFonts w:ascii="Arial" w:eastAsia="仿宋_GB2312" w:hAnsi="Arial" w:cs="Arial" w:hint="eastAsia"/>
                <w:sz w:val="28"/>
                <w:szCs w:val="28"/>
              </w:rPr>
              <w:t>武汉中商</w:t>
            </w:r>
            <w:r w:rsidRPr="00933525">
              <w:rPr>
                <w:rFonts w:ascii="Arial" w:eastAsia="仿宋_GB2312" w:hAnsi="Arial" w:cs="Arial" w:hint="eastAsia"/>
                <w:sz w:val="28"/>
                <w:szCs w:val="28"/>
              </w:rPr>
              <w:t>[5-10]%</w:t>
            </w:r>
          </w:p>
          <w:p w:rsidR="00FC1EE9" w:rsidRPr="00933525" w:rsidRDefault="00FC1EE9" w:rsidP="00933525">
            <w:pPr>
              <w:pStyle w:val="ab"/>
              <w:numPr>
                <w:ilvl w:val="0"/>
                <w:numId w:val="10"/>
              </w:numPr>
              <w:spacing w:line="500" w:lineRule="exact"/>
              <w:ind w:firstLineChars="0"/>
              <w:rPr>
                <w:rFonts w:ascii="Arial" w:eastAsia="仿宋_GB2312" w:hAnsi="Arial" w:cs="Arial"/>
                <w:sz w:val="28"/>
                <w:szCs w:val="28"/>
              </w:rPr>
            </w:pPr>
            <w:r w:rsidRPr="00FC1EE9">
              <w:rPr>
                <w:rFonts w:ascii="Arial" w:eastAsia="仿宋_GB2312" w:hAnsi="Arial" w:cs="Arial" w:hint="eastAsia"/>
                <w:sz w:val="28"/>
                <w:szCs w:val="28"/>
              </w:rPr>
              <w:lastRenderedPageBreak/>
              <w:t>荆州市百货零售服务市场</w:t>
            </w:r>
            <w:r>
              <w:rPr>
                <w:rFonts w:ascii="Arial" w:eastAsia="仿宋_GB2312" w:hAnsi="Arial" w:cs="Arial" w:hint="eastAsia"/>
                <w:sz w:val="28"/>
                <w:szCs w:val="28"/>
              </w:rPr>
              <w:t>：</w:t>
            </w:r>
            <w:r w:rsidRPr="00933525">
              <w:rPr>
                <w:rFonts w:ascii="Arial" w:eastAsia="仿宋_GB2312" w:hAnsi="Arial" w:cs="Arial" w:hint="eastAsia"/>
                <w:sz w:val="28"/>
                <w:szCs w:val="28"/>
              </w:rPr>
              <w:t>武汉中商</w:t>
            </w:r>
            <w:r w:rsidRPr="00933525">
              <w:rPr>
                <w:rFonts w:ascii="Arial" w:eastAsia="仿宋_GB2312" w:hAnsi="Arial" w:cs="Arial" w:hint="eastAsia"/>
                <w:sz w:val="28"/>
                <w:szCs w:val="28"/>
              </w:rPr>
              <w:t>[5-10]%</w:t>
            </w:r>
          </w:p>
          <w:p w:rsidR="00FC1EE9" w:rsidRPr="00933525" w:rsidRDefault="00FC1EE9" w:rsidP="00933525">
            <w:pPr>
              <w:pStyle w:val="ab"/>
              <w:numPr>
                <w:ilvl w:val="0"/>
                <w:numId w:val="10"/>
              </w:numPr>
              <w:spacing w:line="500" w:lineRule="exact"/>
              <w:ind w:firstLineChars="0"/>
              <w:rPr>
                <w:rFonts w:ascii="Arial" w:eastAsia="仿宋_GB2312" w:hAnsi="Arial" w:cs="Arial"/>
                <w:sz w:val="28"/>
                <w:szCs w:val="28"/>
              </w:rPr>
            </w:pPr>
            <w:r w:rsidRPr="00FC1EE9">
              <w:rPr>
                <w:rFonts w:ascii="Arial" w:eastAsia="仿宋_GB2312" w:hAnsi="Arial" w:cs="Arial" w:hint="eastAsia"/>
                <w:sz w:val="28"/>
                <w:szCs w:val="28"/>
              </w:rPr>
              <w:t>黄冈市百货零售服务市场</w:t>
            </w:r>
            <w:r>
              <w:rPr>
                <w:rFonts w:ascii="Arial" w:eastAsia="仿宋_GB2312" w:hAnsi="Arial" w:cs="Arial" w:hint="eastAsia"/>
                <w:sz w:val="28"/>
                <w:szCs w:val="28"/>
              </w:rPr>
              <w:t>：</w:t>
            </w:r>
            <w:r w:rsidRPr="00933525">
              <w:rPr>
                <w:rFonts w:ascii="Arial" w:eastAsia="仿宋_GB2312" w:hAnsi="Arial" w:cs="Arial" w:hint="eastAsia"/>
                <w:sz w:val="28"/>
                <w:szCs w:val="28"/>
              </w:rPr>
              <w:t>武汉中商</w:t>
            </w:r>
            <w:r w:rsidRPr="00933525">
              <w:rPr>
                <w:rFonts w:ascii="Arial" w:eastAsia="仿宋_GB2312" w:hAnsi="Arial" w:cs="Arial" w:hint="eastAsia"/>
                <w:sz w:val="28"/>
                <w:szCs w:val="28"/>
              </w:rPr>
              <w:t>[0-5]%</w:t>
            </w:r>
          </w:p>
          <w:p w:rsidR="00FC1EE9" w:rsidRPr="00933525" w:rsidRDefault="00FC1EE9" w:rsidP="00933525">
            <w:pPr>
              <w:pStyle w:val="ab"/>
              <w:numPr>
                <w:ilvl w:val="0"/>
                <w:numId w:val="10"/>
              </w:numPr>
              <w:spacing w:line="500" w:lineRule="exact"/>
              <w:ind w:firstLineChars="0"/>
              <w:rPr>
                <w:rFonts w:ascii="Arial" w:eastAsia="仿宋_GB2312" w:hAnsi="Arial" w:cs="Arial"/>
                <w:sz w:val="28"/>
                <w:szCs w:val="28"/>
              </w:rPr>
            </w:pPr>
            <w:r w:rsidRPr="00FC1EE9">
              <w:rPr>
                <w:rFonts w:ascii="Arial" w:eastAsia="仿宋_GB2312" w:hAnsi="Arial" w:cs="Arial" w:hint="eastAsia"/>
                <w:sz w:val="28"/>
                <w:szCs w:val="28"/>
              </w:rPr>
              <w:t>武汉市超市零售服务市场</w:t>
            </w:r>
            <w:r>
              <w:rPr>
                <w:rFonts w:ascii="Arial" w:eastAsia="仿宋_GB2312" w:hAnsi="Arial" w:cs="Arial" w:hint="eastAsia"/>
                <w:sz w:val="28"/>
                <w:szCs w:val="28"/>
              </w:rPr>
              <w:t>：</w:t>
            </w:r>
            <w:r w:rsidRPr="00933525">
              <w:rPr>
                <w:rFonts w:ascii="Arial" w:eastAsia="仿宋_GB2312" w:hAnsi="Arial" w:cs="Arial" w:hint="eastAsia"/>
                <w:sz w:val="28"/>
                <w:szCs w:val="28"/>
              </w:rPr>
              <w:t>武汉中商</w:t>
            </w:r>
            <w:r w:rsidRPr="00933525">
              <w:rPr>
                <w:rFonts w:ascii="Arial" w:eastAsia="仿宋_GB2312" w:hAnsi="Arial" w:cs="Arial" w:hint="eastAsia"/>
                <w:sz w:val="28"/>
                <w:szCs w:val="28"/>
              </w:rPr>
              <w:t>[0-5]%</w:t>
            </w:r>
          </w:p>
          <w:p w:rsidR="00FC1EE9" w:rsidRPr="00933525" w:rsidRDefault="00FC1EE9" w:rsidP="00933525">
            <w:pPr>
              <w:pStyle w:val="ab"/>
              <w:numPr>
                <w:ilvl w:val="0"/>
                <w:numId w:val="10"/>
              </w:numPr>
              <w:spacing w:line="500" w:lineRule="exact"/>
              <w:ind w:firstLineChars="0"/>
              <w:rPr>
                <w:rFonts w:ascii="Arial" w:eastAsia="仿宋_GB2312" w:hAnsi="Arial" w:cs="Arial"/>
                <w:sz w:val="28"/>
                <w:szCs w:val="28"/>
              </w:rPr>
            </w:pPr>
            <w:r w:rsidRPr="00FC1EE9">
              <w:rPr>
                <w:rFonts w:ascii="Arial" w:eastAsia="仿宋_GB2312" w:hAnsi="Arial" w:cs="Arial" w:hint="eastAsia"/>
                <w:sz w:val="28"/>
                <w:szCs w:val="28"/>
              </w:rPr>
              <w:t>孝感市超市零售服务市场</w:t>
            </w:r>
            <w:r>
              <w:rPr>
                <w:rFonts w:ascii="Arial" w:eastAsia="仿宋_GB2312" w:hAnsi="Arial" w:cs="Arial" w:hint="eastAsia"/>
                <w:sz w:val="28"/>
                <w:szCs w:val="28"/>
              </w:rPr>
              <w:t>：</w:t>
            </w:r>
            <w:r w:rsidRPr="00933525">
              <w:rPr>
                <w:rFonts w:ascii="Arial" w:eastAsia="仿宋_GB2312" w:hAnsi="Arial" w:cs="Arial" w:hint="eastAsia"/>
                <w:sz w:val="28"/>
                <w:szCs w:val="28"/>
              </w:rPr>
              <w:t>武汉中商</w:t>
            </w:r>
            <w:r w:rsidRPr="00933525">
              <w:rPr>
                <w:rFonts w:ascii="Arial" w:eastAsia="仿宋_GB2312" w:hAnsi="Arial" w:cs="Arial" w:hint="eastAsia"/>
                <w:sz w:val="28"/>
                <w:szCs w:val="28"/>
              </w:rPr>
              <w:t>[0-5]%</w:t>
            </w:r>
          </w:p>
          <w:p w:rsidR="00FC1EE9" w:rsidRPr="00933525" w:rsidRDefault="00FC1EE9" w:rsidP="00933525">
            <w:pPr>
              <w:pStyle w:val="ab"/>
              <w:numPr>
                <w:ilvl w:val="0"/>
                <w:numId w:val="10"/>
              </w:numPr>
              <w:spacing w:line="500" w:lineRule="exact"/>
              <w:ind w:firstLineChars="0"/>
              <w:rPr>
                <w:rFonts w:ascii="Arial" w:eastAsia="仿宋_GB2312" w:hAnsi="Arial" w:cs="Arial"/>
                <w:sz w:val="28"/>
                <w:szCs w:val="28"/>
              </w:rPr>
            </w:pPr>
            <w:r w:rsidRPr="00FC1EE9">
              <w:rPr>
                <w:rFonts w:ascii="Arial" w:eastAsia="仿宋_GB2312" w:hAnsi="Arial" w:cs="Arial" w:hint="eastAsia"/>
                <w:sz w:val="28"/>
                <w:szCs w:val="28"/>
              </w:rPr>
              <w:t>荆门市超市零售服务市场</w:t>
            </w:r>
            <w:r>
              <w:rPr>
                <w:rFonts w:ascii="Arial" w:eastAsia="仿宋_GB2312" w:hAnsi="Arial" w:cs="Arial" w:hint="eastAsia"/>
                <w:sz w:val="28"/>
                <w:szCs w:val="28"/>
              </w:rPr>
              <w:t>：</w:t>
            </w:r>
            <w:r w:rsidRPr="00933525">
              <w:rPr>
                <w:rFonts w:ascii="Arial" w:eastAsia="仿宋_GB2312" w:hAnsi="Arial" w:cs="Arial" w:hint="eastAsia"/>
                <w:sz w:val="28"/>
                <w:szCs w:val="28"/>
              </w:rPr>
              <w:t>武汉中商</w:t>
            </w:r>
            <w:r w:rsidRPr="00933525">
              <w:rPr>
                <w:rFonts w:ascii="Arial" w:eastAsia="仿宋_GB2312" w:hAnsi="Arial" w:cs="Arial" w:hint="eastAsia"/>
                <w:sz w:val="28"/>
                <w:szCs w:val="28"/>
              </w:rPr>
              <w:t>[0-5]%</w:t>
            </w:r>
          </w:p>
          <w:p w:rsidR="00FC1EE9" w:rsidRPr="00933525" w:rsidRDefault="00FC1EE9" w:rsidP="00933525">
            <w:pPr>
              <w:pStyle w:val="ab"/>
              <w:numPr>
                <w:ilvl w:val="0"/>
                <w:numId w:val="10"/>
              </w:numPr>
              <w:spacing w:line="500" w:lineRule="exact"/>
              <w:ind w:firstLineChars="0"/>
              <w:rPr>
                <w:rFonts w:ascii="Arial" w:eastAsia="仿宋_GB2312" w:hAnsi="Arial" w:cs="Arial"/>
                <w:sz w:val="28"/>
                <w:szCs w:val="28"/>
              </w:rPr>
            </w:pPr>
            <w:r w:rsidRPr="00FC1EE9">
              <w:rPr>
                <w:rFonts w:ascii="Arial" w:eastAsia="仿宋_GB2312" w:hAnsi="Arial" w:cs="Arial" w:hint="eastAsia"/>
                <w:sz w:val="28"/>
                <w:szCs w:val="28"/>
              </w:rPr>
              <w:t>咸宁市超市零售服务市场</w:t>
            </w:r>
            <w:r>
              <w:rPr>
                <w:rFonts w:ascii="Arial" w:eastAsia="仿宋_GB2312" w:hAnsi="Arial" w:cs="Arial" w:hint="eastAsia"/>
                <w:sz w:val="28"/>
                <w:szCs w:val="28"/>
              </w:rPr>
              <w:t>：</w:t>
            </w:r>
            <w:r w:rsidRPr="00933525">
              <w:rPr>
                <w:rFonts w:ascii="Arial" w:eastAsia="仿宋_GB2312" w:hAnsi="Arial" w:cs="Arial" w:hint="eastAsia"/>
                <w:sz w:val="28"/>
                <w:szCs w:val="28"/>
              </w:rPr>
              <w:t>武汉中商</w:t>
            </w:r>
            <w:r w:rsidRPr="00933525">
              <w:rPr>
                <w:rFonts w:ascii="Arial" w:eastAsia="仿宋_GB2312" w:hAnsi="Arial" w:cs="Arial" w:hint="eastAsia"/>
                <w:sz w:val="28"/>
                <w:szCs w:val="28"/>
              </w:rPr>
              <w:t>[0-5]%</w:t>
            </w:r>
          </w:p>
          <w:p w:rsidR="00FC1EE9" w:rsidRPr="00933525" w:rsidRDefault="00FC1EE9" w:rsidP="00933525">
            <w:pPr>
              <w:pStyle w:val="ab"/>
              <w:numPr>
                <w:ilvl w:val="0"/>
                <w:numId w:val="10"/>
              </w:numPr>
              <w:spacing w:line="500" w:lineRule="exact"/>
              <w:ind w:firstLineChars="0"/>
              <w:rPr>
                <w:rFonts w:ascii="Arial" w:eastAsia="仿宋_GB2312" w:hAnsi="Arial" w:cs="Arial"/>
                <w:sz w:val="28"/>
                <w:szCs w:val="28"/>
              </w:rPr>
            </w:pPr>
            <w:r w:rsidRPr="00FC1EE9">
              <w:rPr>
                <w:rFonts w:ascii="Arial" w:eastAsia="仿宋_GB2312" w:hAnsi="Arial" w:cs="Arial" w:hint="eastAsia"/>
                <w:sz w:val="28"/>
                <w:szCs w:val="28"/>
              </w:rPr>
              <w:t>黄冈市超市零售服务市场</w:t>
            </w:r>
            <w:r>
              <w:rPr>
                <w:rFonts w:ascii="Arial" w:eastAsia="仿宋_GB2312" w:hAnsi="Arial" w:cs="Arial" w:hint="eastAsia"/>
                <w:sz w:val="28"/>
                <w:szCs w:val="28"/>
              </w:rPr>
              <w:t>：</w:t>
            </w:r>
            <w:r w:rsidRPr="00933525">
              <w:rPr>
                <w:rFonts w:ascii="Arial" w:eastAsia="仿宋_GB2312" w:hAnsi="Arial" w:cs="Arial" w:hint="eastAsia"/>
                <w:sz w:val="28"/>
                <w:szCs w:val="28"/>
              </w:rPr>
              <w:t>武汉中商</w:t>
            </w:r>
            <w:r w:rsidRPr="00933525">
              <w:rPr>
                <w:rFonts w:ascii="Arial" w:eastAsia="仿宋_GB2312" w:hAnsi="Arial" w:cs="Arial" w:hint="eastAsia"/>
                <w:sz w:val="28"/>
                <w:szCs w:val="28"/>
              </w:rPr>
              <w:t>[0-5]%</w:t>
            </w:r>
          </w:p>
          <w:p w:rsidR="00FC1EE9" w:rsidRPr="00933525" w:rsidRDefault="00FC1EE9" w:rsidP="00933525">
            <w:pPr>
              <w:pStyle w:val="ab"/>
              <w:numPr>
                <w:ilvl w:val="0"/>
                <w:numId w:val="10"/>
              </w:numPr>
              <w:spacing w:line="500" w:lineRule="exact"/>
              <w:ind w:firstLineChars="0"/>
              <w:rPr>
                <w:rFonts w:ascii="Arial" w:eastAsia="仿宋_GB2312" w:hAnsi="Arial" w:cs="Arial"/>
                <w:sz w:val="28"/>
                <w:szCs w:val="28"/>
              </w:rPr>
            </w:pPr>
            <w:r w:rsidRPr="00FC1EE9">
              <w:rPr>
                <w:rFonts w:ascii="Arial" w:eastAsia="仿宋_GB2312" w:hAnsi="Arial" w:cs="Arial" w:hint="eastAsia"/>
                <w:sz w:val="28"/>
                <w:szCs w:val="28"/>
              </w:rPr>
              <w:t>黄石市超市零售服务市场</w:t>
            </w:r>
            <w:r>
              <w:rPr>
                <w:rFonts w:ascii="Arial" w:eastAsia="仿宋_GB2312" w:hAnsi="Arial" w:cs="Arial" w:hint="eastAsia"/>
                <w:sz w:val="28"/>
                <w:szCs w:val="28"/>
              </w:rPr>
              <w:t>：</w:t>
            </w:r>
            <w:r w:rsidRPr="00933525">
              <w:rPr>
                <w:rFonts w:ascii="Arial" w:eastAsia="仿宋_GB2312" w:hAnsi="Arial" w:cs="Arial" w:hint="eastAsia"/>
                <w:sz w:val="28"/>
                <w:szCs w:val="28"/>
              </w:rPr>
              <w:t>武汉中商</w:t>
            </w:r>
            <w:r w:rsidRPr="00933525">
              <w:rPr>
                <w:rFonts w:ascii="Arial" w:eastAsia="仿宋_GB2312" w:hAnsi="Arial" w:cs="Arial" w:hint="eastAsia"/>
                <w:sz w:val="28"/>
                <w:szCs w:val="28"/>
              </w:rPr>
              <w:t>[</w:t>
            </w:r>
            <w:r w:rsidRPr="00933525">
              <w:rPr>
                <w:rFonts w:ascii="Arial" w:eastAsia="仿宋_GB2312" w:hAnsi="Arial" w:cs="Arial"/>
                <w:sz w:val="28"/>
                <w:szCs w:val="28"/>
              </w:rPr>
              <w:t>1</w:t>
            </w:r>
            <w:r w:rsidR="00751812" w:rsidRPr="00933525">
              <w:rPr>
                <w:rFonts w:ascii="Arial" w:eastAsia="仿宋_GB2312" w:hAnsi="Arial" w:cs="Arial" w:hint="eastAsia"/>
                <w:sz w:val="28"/>
                <w:szCs w:val="28"/>
              </w:rPr>
              <w:t>0</w:t>
            </w:r>
            <w:r w:rsidRPr="00933525">
              <w:rPr>
                <w:rFonts w:ascii="Arial" w:eastAsia="仿宋_GB2312" w:hAnsi="Arial" w:cs="Arial" w:hint="eastAsia"/>
                <w:sz w:val="28"/>
                <w:szCs w:val="28"/>
              </w:rPr>
              <w:t>-</w:t>
            </w:r>
            <w:r w:rsidR="00751812" w:rsidRPr="00933525">
              <w:rPr>
                <w:rFonts w:ascii="Arial" w:eastAsia="仿宋_GB2312" w:hAnsi="Arial" w:cs="Arial" w:hint="eastAsia"/>
                <w:sz w:val="28"/>
                <w:szCs w:val="28"/>
              </w:rPr>
              <w:t>15</w:t>
            </w:r>
            <w:r w:rsidRPr="00933525">
              <w:rPr>
                <w:rFonts w:ascii="Arial" w:eastAsia="仿宋_GB2312" w:hAnsi="Arial" w:cs="Arial" w:hint="eastAsia"/>
                <w:sz w:val="28"/>
                <w:szCs w:val="28"/>
              </w:rPr>
              <w:t>]%</w:t>
            </w:r>
          </w:p>
          <w:p w:rsidR="00FC1EE9" w:rsidRPr="00933525" w:rsidRDefault="00FC1EE9" w:rsidP="00933525">
            <w:pPr>
              <w:pStyle w:val="ab"/>
              <w:numPr>
                <w:ilvl w:val="0"/>
                <w:numId w:val="10"/>
              </w:numPr>
              <w:spacing w:line="500" w:lineRule="exact"/>
              <w:ind w:firstLineChars="0"/>
              <w:rPr>
                <w:rFonts w:ascii="Arial" w:eastAsia="仿宋_GB2312" w:hAnsi="Arial" w:cs="Arial"/>
                <w:sz w:val="28"/>
                <w:szCs w:val="28"/>
              </w:rPr>
            </w:pPr>
            <w:r w:rsidRPr="00FC1EE9">
              <w:rPr>
                <w:rFonts w:ascii="Arial" w:eastAsia="仿宋_GB2312" w:hAnsi="Arial" w:cs="Arial" w:hint="eastAsia"/>
                <w:sz w:val="28"/>
                <w:szCs w:val="28"/>
              </w:rPr>
              <w:t>潜江市超市零售服务市场</w:t>
            </w:r>
            <w:r>
              <w:rPr>
                <w:rFonts w:ascii="Arial" w:eastAsia="仿宋_GB2312" w:hAnsi="Arial" w:cs="Arial" w:hint="eastAsia"/>
                <w:sz w:val="28"/>
                <w:szCs w:val="28"/>
              </w:rPr>
              <w:t>：</w:t>
            </w:r>
            <w:r w:rsidRPr="00933525">
              <w:rPr>
                <w:rFonts w:ascii="Arial" w:eastAsia="仿宋_GB2312" w:hAnsi="Arial" w:cs="Arial" w:hint="eastAsia"/>
                <w:sz w:val="28"/>
                <w:szCs w:val="28"/>
              </w:rPr>
              <w:t>武汉中商</w:t>
            </w:r>
            <w:r w:rsidRPr="00933525">
              <w:rPr>
                <w:rFonts w:ascii="Arial" w:eastAsia="仿宋_GB2312" w:hAnsi="Arial" w:cs="Arial" w:hint="eastAsia"/>
                <w:sz w:val="28"/>
                <w:szCs w:val="28"/>
              </w:rPr>
              <w:t>[</w:t>
            </w:r>
            <w:r w:rsidRPr="00933525">
              <w:rPr>
                <w:rFonts w:ascii="Arial" w:eastAsia="仿宋_GB2312" w:hAnsi="Arial" w:cs="Arial"/>
                <w:sz w:val="28"/>
                <w:szCs w:val="28"/>
              </w:rPr>
              <w:t>10</w:t>
            </w:r>
            <w:r w:rsidRPr="00933525">
              <w:rPr>
                <w:rFonts w:ascii="Arial" w:eastAsia="仿宋_GB2312" w:hAnsi="Arial" w:cs="Arial" w:hint="eastAsia"/>
                <w:sz w:val="28"/>
                <w:szCs w:val="28"/>
              </w:rPr>
              <w:t>-</w:t>
            </w:r>
            <w:r w:rsidRPr="00933525">
              <w:rPr>
                <w:rFonts w:ascii="Arial" w:eastAsia="仿宋_GB2312" w:hAnsi="Arial" w:cs="Arial"/>
                <w:sz w:val="28"/>
                <w:szCs w:val="28"/>
              </w:rPr>
              <w:t>15</w:t>
            </w:r>
            <w:r w:rsidRPr="00933525">
              <w:rPr>
                <w:rFonts w:ascii="Arial" w:eastAsia="仿宋_GB2312" w:hAnsi="Arial" w:cs="Arial" w:hint="eastAsia"/>
                <w:sz w:val="28"/>
                <w:szCs w:val="28"/>
              </w:rPr>
              <w:t>]%</w:t>
            </w:r>
          </w:p>
          <w:p w:rsidR="00BE255D" w:rsidRPr="00933525" w:rsidRDefault="00FC1EE9" w:rsidP="00933525">
            <w:pPr>
              <w:pStyle w:val="ab"/>
              <w:numPr>
                <w:ilvl w:val="0"/>
                <w:numId w:val="10"/>
              </w:numPr>
              <w:spacing w:line="500" w:lineRule="exact"/>
              <w:ind w:firstLineChars="0"/>
              <w:rPr>
                <w:rFonts w:ascii="Arial" w:eastAsia="仿宋_GB2312" w:hAnsi="Arial" w:cs="Arial"/>
                <w:sz w:val="28"/>
                <w:szCs w:val="28"/>
              </w:rPr>
            </w:pPr>
            <w:r w:rsidRPr="00FC1EE9">
              <w:rPr>
                <w:rFonts w:ascii="Arial" w:eastAsia="仿宋_GB2312" w:hAnsi="Arial" w:cs="Arial" w:hint="eastAsia"/>
                <w:sz w:val="28"/>
                <w:szCs w:val="28"/>
              </w:rPr>
              <w:t>荆州市超市零售服务市场</w:t>
            </w:r>
            <w:r>
              <w:rPr>
                <w:rFonts w:ascii="Arial" w:eastAsia="仿宋_GB2312" w:hAnsi="Arial" w:cs="Arial" w:hint="eastAsia"/>
                <w:sz w:val="28"/>
                <w:szCs w:val="28"/>
              </w:rPr>
              <w:t>：</w:t>
            </w:r>
            <w:r w:rsidRPr="00933525">
              <w:rPr>
                <w:rFonts w:ascii="Arial" w:eastAsia="仿宋_GB2312" w:hAnsi="Arial" w:cs="Arial" w:hint="eastAsia"/>
                <w:sz w:val="28"/>
                <w:szCs w:val="28"/>
              </w:rPr>
              <w:t>武汉中商</w:t>
            </w:r>
            <w:r w:rsidRPr="00933525">
              <w:rPr>
                <w:rFonts w:ascii="Arial" w:eastAsia="仿宋_GB2312" w:hAnsi="Arial" w:cs="Arial" w:hint="eastAsia"/>
                <w:sz w:val="28"/>
                <w:szCs w:val="28"/>
              </w:rPr>
              <w:t>[5-10]%</w:t>
            </w:r>
          </w:p>
        </w:tc>
      </w:tr>
    </w:tbl>
    <w:p w:rsidR="00094095" w:rsidRPr="00197DF6" w:rsidRDefault="00094095" w:rsidP="00094095">
      <w:pPr>
        <w:spacing w:line="500" w:lineRule="exact"/>
        <w:rPr>
          <w:rFonts w:ascii="Arial" w:eastAsia="仿宋_GB2312" w:hAnsi="Arial" w:cs="Arial"/>
          <w:sz w:val="28"/>
          <w:szCs w:val="28"/>
        </w:rPr>
      </w:pPr>
    </w:p>
    <w:p w:rsidR="00C22538" w:rsidRPr="00197DF6" w:rsidRDefault="00C22538" w:rsidP="00C22538">
      <w:pPr>
        <w:snapToGrid w:val="0"/>
        <w:spacing w:line="360" w:lineRule="auto"/>
        <w:jc w:val="left"/>
        <w:rPr>
          <w:rFonts w:ascii="Arial" w:eastAsia="仿宋_GB2312" w:hAnsi="Arial" w:cs="Arial"/>
          <w:sz w:val="28"/>
          <w:szCs w:val="28"/>
        </w:rPr>
      </w:pPr>
      <w:r w:rsidRPr="00197DF6">
        <w:rPr>
          <w:rFonts w:ascii="Arial" w:eastAsia="仿宋_GB2312" w:hAnsi="Arial" w:cs="Arial"/>
          <w:sz w:val="28"/>
          <w:szCs w:val="28"/>
        </w:rPr>
        <w:t>注解：</w:t>
      </w:r>
    </w:p>
    <w:p w:rsidR="00C22538" w:rsidRPr="00165691" w:rsidRDefault="00C22538" w:rsidP="00165691">
      <w:pPr>
        <w:pStyle w:val="ab"/>
        <w:numPr>
          <w:ilvl w:val="0"/>
          <w:numId w:val="6"/>
        </w:numPr>
        <w:snapToGrid w:val="0"/>
        <w:spacing w:line="360" w:lineRule="auto"/>
        <w:ind w:firstLineChars="0"/>
        <w:jc w:val="left"/>
        <w:rPr>
          <w:rFonts w:ascii="Arial" w:eastAsia="仿宋_GB2312" w:hAnsi="Arial" w:cs="Arial"/>
          <w:sz w:val="28"/>
          <w:szCs w:val="28"/>
        </w:rPr>
      </w:pPr>
      <w:r w:rsidRPr="00165691">
        <w:rPr>
          <w:rFonts w:ascii="Arial" w:eastAsia="仿宋_GB2312" w:hAnsi="Arial" w:cs="Arial"/>
          <w:sz w:val="28"/>
          <w:szCs w:val="28"/>
        </w:rPr>
        <w:t>申报方申请简易案件的理由是基于</w:t>
      </w:r>
      <w:r w:rsidRPr="00165691">
        <w:rPr>
          <w:rFonts w:ascii="Arial" w:eastAsia="仿宋_GB2312" w:hAnsi="Arial" w:cs="Arial"/>
          <w:sz w:val="28"/>
          <w:szCs w:val="28"/>
        </w:rPr>
        <w:t>1-3</w:t>
      </w:r>
      <w:r w:rsidRPr="00165691">
        <w:rPr>
          <w:rFonts w:ascii="Arial" w:eastAsia="仿宋_GB2312" w:hAnsi="Arial" w:cs="Arial"/>
          <w:sz w:val="28"/>
          <w:szCs w:val="28"/>
        </w:rPr>
        <w:t>项时，须在备注中说明界定的相关商品市场和相关地域市场（无须阐述界定理由），以及相关市场份额；市场份额可以区间形式提供，区间幅度不应超过</w:t>
      </w:r>
      <w:r w:rsidRPr="00165691">
        <w:rPr>
          <w:rFonts w:ascii="Arial" w:eastAsia="仿宋_GB2312" w:hAnsi="Arial" w:cs="Arial"/>
          <w:sz w:val="28"/>
          <w:szCs w:val="28"/>
        </w:rPr>
        <w:t>5%</w:t>
      </w:r>
      <w:r w:rsidRPr="00165691">
        <w:rPr>
          <w:rFonts w:ascii="Arial" w:eastAsia="仿宋_GB2312" w:hAnsi="Arial" w:cs="Arial"/>
          <w:sz w:val="28"/>
          <w:szCs w:val="28"/>
        </w:rPr>
        <w:t>。</w:t>
      </w:r>
      <w:r w:rsidRPr="00165691">
        <w:rPr>
          <w:rFonts w:ascii="Arial" w:eastAsia="仿宋_GB2312" w:hAnsi="Arial" w:cs="Arial"/>
          <w:sz w:val="28"/>
          <w:szCs w:val="28"/>
        </w:rPr>
        <w:t>1-3</w:t>
      </w:r>
      <w:r w:rsidRPr="00165691">
        <w:rPr>
          <w:rFonts w:ascii="Arial" w:eastAsia="仿宋_GB2312" w:hAnsi="Arial" w:cs="Arial"/>
          <w:sz w:val="28"/>
          <w:szCs w:val="28"/>
        </w:rPr>
        <w:t>项可以多选，也可单选；没有勾选的，视为本集中不涉及该类型交易。</w:t>
      </w:r>
    </w:p>
    <w:p w:rsidR="00165691" w:rsidRDefault="00C22538" w:rsidP="00165691">
      <w:pPr>
        <w:pStyle w:val="ab"/>
        <w:numPr>
          <w:ilvl w:val="0"/>
          <w:numId w:val="6"/>
        </w:numPr>
        <w:ind w:firstLineChars="0"/>
        <w:rPr>
          <w:rFonts w:ascii="Arial" w:eastAsia="仿宋_GB2312" w:hAnsi="Arial" w:cs="Arial"/>
          <w:sz w:val="28"/>
          <w:szCs w:val="28"/>
        </w:rPr>
      </w:pPr>
      <w:r w:rsidRPr="00165691">
        <w:rPr>
          <w:rFonts w:ascii="Arial" w:eastAsia="仿宋_GB2312" w:hAnsi="Arial" w:cs="Arial"/>
          <w:sz w:val="28"/>
          <w:szCs w:val="28"/>
        </w:rPr>
        <w:t>申报方申请简易案件的理由是基于第</w:t>
      </w:r>
      <w:r w:rsidRPr="00165691">
        <w:rPr>
          <w:rFonts w:ascii="Arial" w:eastAsia="仿宋_GB2312" w:hAnsi="Arial" w:cs="Arial"/>
          <w:sz w:val="28"/>
          <w:szCs w:val="28"/>
        </w:rPr>
        <w:t>4</w:t>
      </w:r>
      <w:r w:rsidRPr="00165691">
        <w:rPr>
          <w:rFonts w:ascii="Arial" w:eastAsia="仿宋_GB2312" w:hAnsi="Arial" w:cs="Arial"/>
          <w:sz w:val="28"/>
          <w:szCs w:val="28"/>
        </w:rPr>
        <w:t>项、第</w:t>
      </w:r>
      <w:r w:rsidRPr="00165691">
        <w:rPr>
          <w:rFonts w:ascii="Arial" w:eastAsia="仿宋_GB2312" w:hAnsi="Arial" w:cs="Arial"/>
          <w:sz w:val="28"/>
          <w:szCs w:val="28"/>
        </w:rPr>
        <w:t>5</w:t>
      </w:r>
      <w:r w:rsidRPr="00165691">
        <w:rPr>
          <w:rFonts w:ascii="Arial" w:eastAsia="仿宋_GB2312" w:hAnsi="Arial" w:cs="Arial"/>
          <w:sz w:val="28"/>
          <w:szCs w:val="28"/>
        </w:rPr>
        <w:t>项时，无须在备注中说明相关市场和市场份额。</w:t>
      </w:r>
    </w:p>
    <w:p w:rsidR="00F87C1F" w:rsidRPr="00165691" w:rsidRDefault="00C22538" w:rsidP="00165691">
      <w:pPr>
        <w:pStyle w:val="ab"/>
        <w:numPr>
          <w:ilvl w:val="0"/>
          <w:numId w:val="6"/>
        </w:numPr>
        <w:ind w:firstLineChars="0"/>
        <w:rPr>
          <w:rFonts w:ascii="Arial" w:eastAsia="仿宋_GB2312" w:hAnsi="Arial" w:cs="Arial"/>
          <w:sz w:val="28"/>
          <w:szCs w:val="28"/>
        </w:rPr>
      </w:pPr>
      <w:r w:rsidRPr="00165691">
        <w:rPr>
          <w:rFonts w:ascii="Arial" w:eastAsia="仿宋_GB2312" w:hAnsi="Arial" w:cs="Arial"/>
          <w:sz w:val="28"/>
          <w:szCs w:val="28"/>
        </w:rPr>
        <w:t>由两个或两个以上经营者共同控制的合营企业，通过集中被其中的一个经营者控制，如果该经营者与合营企业属于同一相关市场的竞争者，则申报方在申请简易案件时，须同时勾选第</w:t>
      </w:r>
      <w:r w:rsidRPr="00165691">
        <w:rPr>
          <w:rFonts w:ascii="Arial" w:eastAsia="仿宋_GB2312" w:hAnsi="Arial" w:cs="Arial"/>
          <w:sz w:val="28"/>
          <w:szCs w:val="28"/>
        </w:rPr>
        <w:t>1</w:t>
      </w:r>
      <w:r w:rsidRPr="00165691">
        <w:rPr>
          <w:rFonts w:ascii="Arial" w:eastAsia="仿宋_GB2312" w:hAnsi="Arial" w:cs="Arial"/>
          <w:sz w:val="28"/>
          <w:szCs w:val="28"/>
        </w:rPr>
        <w:t>项和第</w:t>
      </w:r>
      <w:r w:rsidRPr="00165691">
        <w:rPr>
          <w:rFonts w:ascii="Arial" w:eastAsia="仿宋_GB2312" w:hAnsi="Arial" w:cs="Arial"/>
          <w:sz w:val="28"/>
          <w:szCs w:val="28"/>
        </w:rPr>
        <w:t>6</w:t>
      </w:r>
      <w:r w:rsidRPr="00165691">
        <w:rPr>
          <w:rFonts w:ascii="Arial" w:eastAsia="仿宋_GB2312" w:hAnsi="Arial" w:cs="Arial"/>
          <w:sz w:val="28"/>
          <w:szCs w:val="28"/>
        </w:rPr>
        <w:t>项理由，并在备注中说明界定的相关商品市场和相关地域市场（无须阐述界定理由），以及相关市场份额。市场份额可以区间形式提供，区间幅度不应超过</w:t>
      </w:r>
      <w:r w:rsidRPr="00165691">
        <w:rPr>
          <w:rFonts w:ascii="Arial" w:eastAsia="仿宋_GB2312" w:hAnsi="Arial" w:cs="Arial"/>
          <w:sz w:val="28"/>
          <w:szCs w:val="28"/>
        </w:rPr>
        <w:t>5%</w:t>
      </w:r>
      <w:r w:rsidRPr="00165691">
        <w:rPr>
          <w:rFonts w:ascii="Arial" w:eastAsia="仿宋_GB2312" w:hAnsi="Arial" w:cs="Arial"/>
          <w:sz w:val="28"/>
          <w:szCs w:val="28"/>
        </w:rPr>
        <w:t>。</w:t>
      </w:r>
    </w:p>
    <w:sectPr w:rsidR="00F87C1F" w:rsidRPr="0016569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D2B" w:rsidRDefault="00376D2B" w:rsidP="00094095">
      <w:r>
        <w:separator/>
      </w:r>
    </w:p>
  </w:endnote>
  <w:endnote w:type="continuationSeparator" w:id="0">
    <w:p w:rsidR="00376D2B" w:rsidRDefault="00376D2B" w:rsidP="0009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7468274"/>
      <w:docPartObj>
        <w:docPartGallery w:val="Page Numbers (Bottom of Page)"/>
        <w:docPartUnique/>
      </w:docPartObj>
    </w:sdtPr>
    <w:sdtEndPr/>
    <w:sdtContent>
      <w:p w:rsidR="00ED024D" w:rsidRPr="00ED024D" w:rsidRDefault="00ED024D">
        <w:pPr>
          <w:pStyle w:val="a9"/>
          <w:jc w:val="center"/>
          <w:rPr>
            <w:rFonts w:ascii="Arial" w:hAnsi="Arial" w:cs="Arial"/>
          </w:rPr>
        </w:pPr>
        <w:r w:rsidRPr="00ED024D">
          <w:rPr>
            <w:rFonts w:ascii="Arial" w:hAnsi="Arial" w:cs="Arial"/>
          </w:rPr>
          <w:fldChar w:fldCharType="begin"/>
        </w:r>
        <w:r w:rsidRPr="00ED024D">
          <w:rPr>
            <w:rFonts w:ascii="Arial" w:hAnsi="Arial" w:cs="Arial"/>
          </w:rPr>
          <w:instrText>PAGE   \* MERGEFORMAT</w:instrText>
        </w:r>
        <w:r w:rsidRPr="00ED024D">
          <w:rPr>
            <w:rFonts w:ascii="Arial" w:hAnsi="Arial" w:cs="Arial"/>
          </w:rPr>
          <w:fldChar w:fldCharType="separate"/>
        </w:r>
        <w:r w:rsidR="00A97FF0" w:rsidRPr="00A97FF0">
          <w:rPr>
            <w:rFonts w:ascii="Arial" w:hAnsi="Arial" w:cs="Arial"/>
            <w:noProof/>
            <w:lang w:val="zh-CN"/>
          </w:rPr>
          <w:t>4</w:t>
        </w:r>
        <w:r w:rsidRPr="00ED024D">
          <w:rPr>
            <w:rFonts w:ascii="Arial" w:hAnsi="Arial" w:cs="Arial"/>
          </w:rPr>
          <w:fldChar w:fldCharType="end"/>
        </w:r>
      </w:p>
    </w:sdtContent>
  </w:sdt>
  <w:p w:rsidR="00ED024D" w:rsidRPr="00ED024D" w:rsidRDefault="00ED024D">
    <w:pPr>
      <w:pStyle w:val="a9"/>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D2B" w:rsidRDefault="00376D2B" w:rsidP="00094095">
      <w:r>
        <w:separator/>
      </w:r>
    </w:p>
  </w:footnote>
  <w:footnote w:type="continuationSeparator" w:id="0">
    <w:p w:rsidR="00376D2B" w:rsidRDefault="00376D2B" w:rsidP="0009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A4B8E"/>
    <w:multiLevelType w:val="hybridMultilevel"/>
    <w:tmpl w:val="EBF6049A"/>
    <w:lvl w:ilvl="0" w:tplc="A46C32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9C7D9A"/>
    <w:multiLevelType w:val="hybridMultilevel"/>
    <w:tmpl w:val="E14A85C4"/>
    <w:lvl w:ilvl="0" w:tplc="FB2662A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2C49292A"/>
    <w:multiLevelType w:val="hybridMultilevel"/>
    <w:tmpl w:val="D3CCBFE6"/>
    <w:lvl w:ilvl="0" w:tplc="F74CC26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F54F5B"/>
    <w:multiLevelType w:val="hybridMultilevel"/>
    <w:tmpl w:val="394C6050"/>
    <w:lvl w:ilvl="0" w:tplc="AC6057B0">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3101294A"/>
    <w:multiLevelType w:val="hybridMultilevel"/>
    <w:tmpl w:val="E14A85C4"/>
    <w:lvl w:ilvl="0" w:tplc="FB2662A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312C1FCF"/>
    <w:multiLevelType w:val="hybridMultilevel"/>
    <w:tmpl w:val="E14A85C4"/>
    <w:lvl w:ilvl="0" w:tplc="FB2662A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91604C8"/>
    <w:multiLevelType w:val="hybridMultilevel"/>
    <w:tmpl w:val="E14A85C4"/>
    <w:lvl w:ilvl="0" w:tplc="FB2662A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61C768CE"/>
    <w:multiLevelType w:val="hybridMultilevel"/>
    <w:tmpl w:val="E14A85C4"/>
    <w:lvl w:ilvl="0" w:tplc="FB2662A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69564326"/>
    <w:multiLevelType w:val="hybridMultilevel"/>
    <w:tmpl w:val="3782FE50"/>
    <w:lvl w:ilvl="0" w:tplc="B88AF5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ADB2F1C"/>
    <w:multiLevelType w:val="hybridMultilevel"/>
    <w:tmpl w:val="F7BC7C54"/>
    <w:lvl w:ilvl="0" w:tplc="2DD24C6C">
      <w:start w:val="1"/>
      <w:numFmt w:val="decimal"/>
      <w:lvlText w:val="%1."/>
      <w:lvlJc w:val="left"/>
      <w:pPr>
        <w:ind w:left="360" w:hanging="360"/>
      </w:pPr>
      <w:rPr>
        <w:rFonts w:ascii="Arial" w:eastAsia="仿宋_GB2312" w:hAnsi="Arial" w:cs="Arial" w:hint="default"/>
        <w:sz w:val="28"/>
      </w:rPr>
    </w:lvl>
    <w:lvl w:ilvl="1" w:tplc="3FA4E4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3"/>
  </w:num>
  <w:num w:numId="4">
    <w:abstractNumId w:val="9"/>
  </w:num>
  <w:num w:numId="5">
    <w:abstractNumId w:val="5"/>
  </w:num>
  <w:num w:numId="6">
    <w:abstractNumId w:val="2"/>
  </w:num>
  <w:num w:numId="7">
    <w:abstractNumId w:val="1"/>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095"/>
    <w:rsid w:val="00001438"/>
    <w:rsid w:val="00051C75"/>
    <w:rsid w:val="00094095"/>
    <w:rsid w:val="000A0D57"/>
    <w:rsid w:val="000B0CD0"/>
    <w:rsid w:val="000D2E60"/>
    <w:rsid w:val="000F1C31"/>
    <w:rsid w:val="001111EB"/>
    <w:rsid w:val="0013349E"/>
    <w:rsid w:val="0014290A"/>
    <w:rsid w:val="00150E03"/>
    <w:rsid w:val="00165691"/>
    <w:rsid w:val="00165C5F"/>
    <w:rsid w:val="0016704D"/>
    <w:rsid w:val="00197DF6"/>
    <w:rsid w:val="001B134A"/>
    <w:rsid w:val="001B3171"/>
    <w:rsid w:val="001D2829"/>
    <w:rsid w:val="00205A49"/>
    <w:rsid w:val="00210E9E"/>
    <w:rsid w:val="00260862"/>
    <w:rsid w:val="002B27F6"/>
    <w:rsid w:val="002B6CEA"/>
    <w:rsid w:val="002E0FF2"/>
    <w:rsid w:val="00376D2B"/>
    <w:rsid w:val="00387606"/>
    <w:rsid w:val="003A7EEE"/>
    <w:rsid w:val="003B3590"/>
    <w:rsid w:val="00416B40"/>
    <w:rsid w:val="00422713"/>
    <w:rsid w:val="00436DE9"/>
    <w:rsid w:val="00462174"/>
    <w:rsid w:val="00462DBB"/>
    <w:rsid w:val="00470CDE"/>
    <w:rsid w:val="004A5816"/>
    <w:rsid w:val="004C0EAF"/>
    <w:rsid w:val="004C3436"/>
    <w:rsid w:val="00561CC4"/>
    <w:rsid w:val="00574C1B"/>
    <w:rsid w:val="0058253C"/>
    <w:rsid w:val="005C4AE3"/>
    <w:rsid w:val="005F01DA"/>
    <w:rsid w:val="00605C4A"/>
    <w:rsid w:val="00650388"/>
    <w:rsid w:val="00665797"/>
    <w:rsid w:val="00727C7E"/>
    <w:rsid w:val="00731AB9"/>
    <w:rsid w:val="00751812"/>
    <w:rsid w:val="00774D23"/>
    <w:rsid w:val="00792C5D"/>
    <w:rsid w:val="008202E3"/>
    <w:rsid w:val="0082331E"/>
    <w:rsid w:val="00826CD9"/>
    <w:rsid w:val="008309AA"/>
    <w:rsid w:val="008613EB"/>
    <w:rsid w:val="009311F6"/>
    <w:rsid w:val="00933525"/>
    <w:rsid w:val="00981297"/>
    <w:rsid w:val="00995CA5"/>
    <w:rsid w:val="009F269D"/>
    <w:rsid w:val="00A33698"/>
    <w:rsid w:val="00A36511"/>
    <w:rsid w:val="00A7607E"/>
    <w:rsid w:val="00A809F9"/>
    <w:rsid w:val="00A847C8"/>
    <w:rsid w:val="00A85090"/>
    <w:rsid w:val="00A86B91"/>
    <w:rsid w:val="00A913EF"/>
    <w:rsid w:val="00A97FF0"/>
    <w:rsid w:val="00AC26DC"/>
    <w:rsid w:val="00AC6727"/>
    <w:rsid w:val="00B431B1"/>
    <w:rsid w:val="00B71255"/>
    <w:rsid w:val="00B71B1B"/>
    <w:rsid w:val="00BC2FA1"/>
    <w:rsid w:val="00BE255D"/>
    <w:rsid w:val="00C05033"/>
    <w:rsid w:val="00C22538"/>
    <w:rsid w:val="00C300C8"/>
    <w:rsid w:val="00C44EC1"/>
    <w:rsid w:val="00C65290"/>
    <w:rsid w:val="00C6768C"/>
    <w:rsid w:val="00C92C59"/>
    <w:rsid w:val="00CA48F1"/>
    <w:rsid w:val="00CB04AA"/>
    <w:rsid w:val="00CB2BA1"/>
    <w:rsid w:val="00CC41E5"/>
    <w:rsid w:val="00CC4D65"/>
    <w:rsid w:val="00D07C03"/>
    <w:rsid w:val="00D30BA7"/>
    <w:rsid w:val="00D35847"/>
    <w:rsid w:val="00D35B02"/>
    <w:rsid w:val="00D661C7"/>
    <w:rsid w:val="00D942B6"/>
    <w:rsid w:val="00DD3E12"/>
    <w:rsid w:val="00DF5E25"/>
    <w:rsid w:val="00E02970"/>
    <w:rsid w:val="00E14001"/>
    <w:rsid w:val="00E2092C"/>
    <w:rsid w:val="00E21197"/>
    <w:rsid w:val="00ED024D"/>
    <w:rsid w:val="00F16128"/>
    <w:rsid w:val="00F60E13"/>
    <w:rsid w:val="00F87C1F"/>
    <w:rsid w:val="00FB6E50"/>
    <w:rsid w:val="00FC1EE9"/>
    <w:rsid w:val="00FC1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FC151"/>
  <w15:docId w15:val="{E2F67D81-B3A9-4F57-A274-89B7F0FD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0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094095"/>
    <w:pPr>
      <w:snapToGrid w:val="0"/>
      <w:jc w:val="left"/>
    </w:pPr>
  </w:style>
  <w:style w:type="character" w:customStyle="1" w:styleId="a5">
    <w:name w:val="尾注文本 字符"/>
    <w:basedOn w:val="a0"/>
    <w:link w:val="a4"/>
    <w:uiPriority w:val="99"/>
    <w:semiHidden/>
    <w:rsid w:val="00094095"/>
  </w:style>
  <w:style w:type="character" w:styleId="a6">
    <w:name w:val="endnote reference"/>
    <w:basedOn w:val="a0"/>
    <w:uiPriority w:val="99"/>
    <w:semiHidden/>
    <w:unhideWhenUsed/>
    <w:rsid w:val="00094095"/>
    <w:rPr>
      <w:vertAlign w:val="superscript"/>
    </w:rPr>
  </w:style>
  <w:style w:type="paragraph" w:styleId="a7">
    <w:name w:val="header"/>
    <w:basedOn w:val="a"/>
    <w:link w:val="a8"/>
    <w:uiPriority w:val="99"/>
    <w:unhideWhenUsed/>
    <w:rsid w:val="00774D2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74D23"/>
    <w:rPr>
      <w:sz w:val="18"/>
      <w:szCs w:val="18"/>
    </w:rPr>
  </w:style>
  <w:style w:type="paragraph" w:styleId="a9">
    <w:name w:val="footer"/>
    <w:basedOn w:val="a"/>
    <w:link w:val="aa"/>
    <w:uiPriority w:val="99"/>
    <w:unhideWhenUsed/>
    <w:rsid w:val="00774D23"/>
    <w:pPr>
      <w:tabs>
        <w:tab w:val="center" w:pos="4153"/>
        <w:tab w:val="right" w:pos="8306"/>
      </w:tabs>
      <w:snapToGrid w:val="0"/>
      <w:jc w:val="left"/>
    </w:pPr>
    <w:rPr>
      <w:sz w:val="18"/>
      <w:szCs w:val="18"/>
    </w:rPr>
  </w:style>
  <w:style w:type="character" w:customStyle="1" w:styleId="aa">
    <w:name w:val="页脚 字符"/>
    <w:basedOn w:val="a0"/>
    <w:link w:val="a9"/>
    <w:uiPriority w:val="99"/>
    <w:rsid w:val="00774D23"/>
    <w:rPr>
      <w:sz w:val="18"/>
      <w:szCs w:val="18"/>
    </w:rPr>
  </w:style>
  <w:style w:type="paragraph" w:styleId="ab">
    <w:name w:val="List Paragraph"/>
    <w:basedOn w:val="a"/>
    <w:uiPriority w:val="34"/>
    <w:qFormat/>
    <w:rsid w:val="00826CD9"/>
    <w:pPr>
      <w:ind w:firstLineChars="200" w:firstLine="420"/>
    </w:pPr>
  </w:style>
  <w:style w:type="paragraph" w:styleId="ac">
    <w:name w:val="Balloon Text"/>
    <w:basedOn w:val="a"/>
    <w:link w:val="ad"/>
    <w:uiPriority w:val="99"/>
    <w:semiHidden/>
    <w:unhideWhenUsed/>
    <w:rsid w:val="0016704D"/>
    <w:rPr>
      <w:sz w:val="18"/>
      <w:szCs w:val="18"/>
    </w:rPr>
  </w:style>
  <w:style w:type="character" w:customStyle="1" w:styleId="ad">
    <w:name w:val="批注框文本 字符"/>
    <w:basedOn w:val="a0"/>
    <w:link w:val="ac"/>
    <w:uiPriority w:val="99"/>
    <w:semiHidden/>
    <w:rsid w:val="0016704D"/>
    <w:rPr>
      <w:sz w:val="18"/>
      <w:szCs w:val="18"/>
    </w:rPr>
  </w:style>
  <w:style w:type="character" w:styleId="ae">
    <w:name w:val="annotation reference"/>
    <w:basedOn w:val="a0"/>
    <w:uiPriority w:val="99"/>
    <w:semiHidden/>
    <w:unhideWhenUsed/>
    <w:rsid w:val="00E21197"/>
    <w:rPr>
      <w:sz w:val="21"/>
      <w:szCs w:val="21"/>
    </w:rPr>
  </w:style>
  <w:style w:type="paragraph" w:styleId="af">
    <w:name w:val="annotation text"/>
    <w:basedOn w:val="a"/>
    <w:link w:val="af0"/>
    <w:uiPriority w:val="99"/>
    <w:semiHidden/>
    <w:unhideWhenUsed/>
    <w:rsid w:val="00E21197"/>
    <w:pPr>
      <w:jc w:val="left"/>
    </w:pPr>
  </w:style>
  <w:style w:type="character" w:customStyle="1" w:styleId="af0">
    <w:name w:val="批注文字 字符"/>
    <w:basedOn w:val="a0"/>
    <w:link w:val="af"/>
    <w:uiPriority w:val="99"/>
    <w:semiHidden/>
    <w:rsid w:val="00E21197"/>
  </w:style>
  <w:style w:type="paragraph" w:styleId="af1">
    <w:name w:val="annotation subject"/>
    <w:basedOn w:val="af"/>
    <w:next w:val="af"/>
    <w:link w:val="af2"/>
    <w:uiPriority w:val="99"/>
    <w:semiHidden/>
    <w:unhideWhenUsed/>
    <w:rsid w:val="00E21197"/>
    <w:rPr>
      <w:b/>
      <w:bCs/>
    </w:rPr>
  </w:style>
  <w:style w:type="character" w:customStyle="1" w:styleId="af2">
    <w:name w:val="批注主题 字符"/>
    <w:basedOn w:val="af0"/>
    <w:link w:val="af1"/>
    <w:uiPriority w:val="99"/>
    <w:semiHidden/>
    <w:rsid w:val="00E21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251</Words>
  <Characters>1435</Characters>
  <Application>Microsoft Office Word</Application>
  <DocSecurity>0</DocSecurity>
  <Lines>11</Lines>
  <Paragraphs>3</Paragraphs>
  <ScaleCrop>false</ScaleCrop>
  <Company>Microsoft</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Haiwen</cp:lastModifiedBy>
  <cp:revision>8</cp:revision>
  <cp:lastPrinted>2019-06-25T08:09:00Z</cp:lastPrinted>
  <dcterms:created xsi:type="dcterms:W3CDTF">2019-06-10T13:28:00Z</dcterms:created>
  <dcterms:modified xsi:type="dcterms:W3CDTF">2019-07-04T13:16:00Z</dcterms:modified>
</cp:coreProperties>
</file>