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食品销售者静态风险因素量化分值表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社会餐饮服务经营者静态风险因素量化分值表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中央厨房和集体用餐配送单位静态风险因素量化分值表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单位食堂静态风险因素量化分值表</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集中交易市场开办者静态风险因素量化分值表</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网络食品交易第三方平台提供者静态风险因素量化分值表</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食用农产品销售者静态风险因素量化分值表</w:t>
      </w:r>
    </w:p>
    <w:p>
      <w:pPr>
        <w:pStyle w:val="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8.</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食品（食用农产品）</w:t>
      </w:r>
      <w:r>
        <w:rPr>
          <w:rFonts w:hint="eastAsia" w:ascii="仿宋_GB2312" w:hAnsi="仿宋_GB2312" w:eastAsia="仿宋_GB2312" w:cs="仿宋_GB2312"/>
          <w:color w:val="000000" w:themeColor="text1"/>
          <w:sz w:val="32"/>
          <w:szCs w:val="32"/>
          <w14:textFill>
            <w14:solidFill>
              <w14:schemeClr w14:val="tx1"/>
            </w14:solidFill>
          </w14:textFill>
        </w:rPr>
        <w:t>贮存服务提供者静态风险因素量化分值表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eastAsia="zh-CN"/>
          <w14:textFill>
            <w14:solidFill>
              <w14:schemeClr w14:val="tx1"/>
            </w14:solidFill>
          </w14:textFill>
        </w:rPr>
        <w:t>小餐饮</w:t>
      </w:r>
      <w:r>
        <w:rPr>
          <w:rFonts w:hint="eastAsia" w:ascii="仿宋_GB2312" w:hAnsi="仿宋_GB2312" w:eastAsia="仿宋_GB2312" w:cs="仿宋_GB2312"/>
          <w:color w:val="000000" w:themeColor="text1"/>
          <w:sz w:val="32"/>
          <w:szCs w:val="32"/>
          <w14:textFill>
            <w14:solidFill>
              <w14:schemeClr w14:val="tx1"/>
            </w14:solidFill>
          </w14:textFill>
        </w:rPr>
        <w:t>经营者静态风险因素量化分值表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现场制售食品小摊点</w:t>
      </w:r>
      <w:r>
        <w:rPr>
          <w:rFonts w:hint="eastAsia" w:ascii="仿宋_GB2312" w:hAnsi="仿宋_GB2312" w:eastAsia="仿宋_GB2312" w:cs="仿宋_GB2312"/>
          <w:color w:val="000000" w:themeColor="text1"/>
          <w:sz w:val="32"/>
          <w:szCs w:val="32"/>
          <w14:textFill>
            <w14:solidFill>
              <w14:schemeClr w14:val="tx1"/>
            </w14:solidFill>
          </w14:textFill>
        </w:rPr>
        <w:t>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食品</w:t>
      </w:r>
      <w:r>
        <w:rPr>
          <w:rFonts w:hint="eastAsia" w:ascii="仿宋_GB2312" w:hAnsi="仿宋_GB2312" w:eastAsia="仿宋_GB2312" w:cs="仿宋_GB2312"/>
          <w:color w:val="000000" w:themeColor="text1"/>
          <w:sz w:val="32"/>
          <w:szCs w:val="32"/>
          <w:lang w:eastAsia="zh-CN"/>
          <w14:textFill>
            <w14:solidFill>
              <w14:schemeClr w14:val="tx1"/>
            </w14:solidFill>
          </w14:textFill>
        </w:rPr>
        <w:t>销售小摊点</w:t>
      </w:r>
      <w:r>
        <w:rPr>
          <w:rFonts w:hint="eastAsia" w:ascii="仿宋_GB2312" w:hAnsi="仿宋_GB2312" w:eastAsia="仿宋_GB2312" w:cs="仿宋_GB2312"/>
          <w:color w:val="000000" w:themeColor="text1"/>
          <w:sz w:val="32"/>
          <w:szCs w:val="32"/>
          <w14:textFill>
            <w14:solidFill>
              <w14:schemeClr w14:val="tx1"/>
            </w14:solidFill>
          </w14:textFill>
        </w:rPr>
        <w:t>静态风险因素量化分值表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食品销售者动态风险因素量化分值表（食品销售者日常监督检查要点表）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社会餐饮服务经营者动态风险因素量化分值表（社会餐饮服务经营者日常监督检查要点表）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中央厨房和集体用餐配送单位动态风险因素量化分值表（中央厨房和集体用餐配送单位日常监督检查要点表）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单位食堂动态风险因素量化分值表（单位食堂日常监督检查要点表）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集中交易市场开办者动态风险因素量化分值表（集中交易市场开办者日常监督检查要点表）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网络食品交易第三方平台提供者动态风险因素量化分值表（网络食品交易第三方平台提供者日常监督检查要点表）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食用农产品销售者动态风险因素量化分值表（食用农产品</w:t>
      </w:r>
      <w:r>
        <w:rPr>
          <w:rFonts w:hint="eastAsia" w:ascii="仿宋_GB2312" w:hAnsi="仿宋_GB2312" w:eastAsia="仿宋_GB2312" w:cs="仿宋_GB2312"/>
          <w:color w:val="000000" w:themeColor="text1"/>
          <w:sz w:val="32"/>
          <w:szCs w:val="32"/>
          <w:lang w:eastAsia="zh-CN"/>
          <w14:textFill>
            <w14:solidFill>
              <w14:schemeClr w14:val="tx1"/>
            </w14:solidFill>
          </w14:textFill>
        </w:rPr>
        <w:t>销售者</w:t>
      </w:r>
      <w:r>
        <w:rPr>
          <w:rFonts w:hint="eastAsia" w:ascii="仿宋_GB2312" w:hAnsi="仿宋_GB2312" w:eastAsia="仿宋_GB2312" w:cs="仿宋_GB2312"/>
          <w:color w:val="000000" w:themeColor="text1"/>
          <w:sz w:val="32"/>
          <w:szCs w:val="32"/>
          <w14:textFill>
            <w14:solidFill>
              <w14:schemeClr w14:val="tx1"/>
            </w14:solidFill>
          </w14:textFill>
        </w:rPr>
        <w:t>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食品（食用农产品）</w:t>
      </w:r>
      <w:r>
        <w:rPr>
          <w:rFonts w:hint="eastAsia" w:ascii="仿宋_GB2312" w:hAnsi="仿宋_GB2312" w:eastAsia="仿宋_GB2312" w:cs="仿宋_GB2312"/>
          <w:color w:val="000000" w:themeColor="text1"/>
          <w:sz w:val="32"/>
          <w:szCs w:val="32"/>
          <w14:textFill>
            <w14:solidFill>
              <w14:schemeClr w14:val="tx1"/>
            </w14:solidFill>
          </w14:textFill>
        </w:rPr>
        <w:t>贮存服务提供者动态风险因素量化分值表（食品（食用农产品）贮存服务提供者日常监督检查要点表）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小餐饮</w:t>
      </w:r>
      <w:r>
        <w:rPr>
          <w:rFonts w:hint="eastAsia" w:ascii="仿宋_GB2312" w:hAnsi="仿宋_GB2312" w:eastAsia="仿宋_GB2312" w:cs="仿宋_GB2312"/>
          <w:color w:val="000000" w:themeColor="text1"/>
          <w:sz w:val="32"/>
          <w:szCs w:val="32"/>
          <w14:textFill>
            <w14:solidFill>
              <w14:schemeClr w14:val="tx1"/>
            </w14:solidFill>
          </w14:textFill>
        </w:rPr>
        <w:t>经营者动态风险因素量化分值表（</w:t>
      </w:r>
      <w:r>
        <w:rPr>
          <w:rFonts w:hint="eastAsia" w:ascii="仿宋_GB2312" w:hAnsi="仿宋_GB2312" w:eastAsia="仿宋_GB2312" w:cs="仿宋_GB2312"/>
          <w:color w:val="000000" w:themeColor="text1"/>
          <w:sz w:val="32"/>
          <w:szCs w:val="32"/>
          <w:lang w:eastAsia="zh-CN"/>
          <w14:textFill>
            <w14:solidFill>
              <w14:schemeClr w14:val="tx1"/>
            </w14:solidFill>
          </w14:textFill>
        </w:rPr>
        <w:t>小餐饮</w:t>
      </w:r>
      <w:r>
        <w:rPr>
          <w:rFonts w:hint="eastAsia" w:ascii="仿宋_GB2312" w:hAnsi="仿宋_GB2312" w:eastAsia="仿宋_GB2312" w:cs="仿宋_GB2312"/>
          <w:color w:val="000000" w:themeColor="text1"/>
          <w:sz w:val="32"/>
          <w:szCs w:val="32"/>
          <w14:textFill>
            <w14:solidFill>
              <w14:schemeClr w14:val="tx1"/>
            </w14:solidFill>
          </w14:textFill>
        </w:rPr>
        <w:t>经营者日常监督检查要点表）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现场制售食品小摊点</w:t>
      </w:r>
      <w:r>
        <w:rPr>
          <w:rFonts w:hint="eastAsia" w:ascii="仿宋_GB2312" w:hAnsi="仿宋_GB2312" w:eastAsia="仿宋_GB2312" w:cs="仿宋_GB2312"/>
          <w:color w:val="000000" w:themeColor="text1"/>
          <w:sz w:val="32"/>
          <w:szCs w:val="32"/>
          <w14:textFill>
            <w14:solidFill>
              <w14:schemeClr w14:val="tx1"/>
            </w14:solidFill>
          </w14:textFill>
        </w:rPr>
        <w:t>动态风险因素量化分值表（</w:t>
      </w:r>
      <w:r>
        <w:rPr>
          <w:rFonts w:hint="eastAsia" w:ascii="仿宋_GB2312" w:hAnsi="仿宋_GB2312" w:eastAsia="仿宋_GB2312" w:cs="仿宋_GB2312"/>
          <w:color w:val="000000" w:themeColor="text1"/>
          <w:sz w:val="32"/>
          <w:szCs w:val="32"/>
          <w:lang w:eastAsia="zh-CN"/>
          <w14:textFill>
            <w14:solidFill>
              <w14:schemeClr w14:val="tx1"/>
            </w14:solidFill>
          </w14:textFill>
        </w:rPr>
        <w:t>现场制售食品小摊点</w:t>
      </w:r>
      <w:r>
        <w:rPr>
          <w:rFonts w:hint="eastAsia" w:ascii="仿宋_GB2312" w:hAnsi="仿宋_GB2312" w:eastAsia="仿宋_GB2312" w:cs="仿宋_GB2312"/>
          <w:color w:val="000000" w:themeColor="text1"/>
          <w:sz w:val="32"/>
          <w:szCs w:val="32"/>
          <w14:textFill>
            <w14:solidFill>
              <w14:schemeClr w14:val="tx1"/>
            </w14:solidFill>
          </w14:textFill>
        </w:rPr>
        <w:t>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食品</w:t>
      </w:r>
      <w:r>
        <w:rPr>
          <w:rFonts w:hint="eastAsia" w:ascii="仿宋_GB2312" w:hAnsi="仿宋_GB2312" w:eastAsia="仿宋_GB2312" w:cs="仿宋_GB2312"/>
          <w:color w:val="000000" w:themeColor="text1"/>
          <w:sz w:val="32"/>
          <w:szCs w:val="32"/>
          <w:lang w:eastAsia="zh-CN"/>
          <w14:textFill>
            <w14:solidFill>
              <w14:schemeClr w14:val="tx1"/>
            </w14:solidFill>
          </w14:textFill>
        </w:rPr>
        <w:t>销售小摊点</w:t>
      </w:r>
      <w:r>
        <w:rPr>
          <w:rFonts w:hint="eastAsia" w:ascii="仿宋_GB2312" w:hAnsi="仿宋_GB2312" w:eastAsia="仿宋_GB2312" w:cs="仿宋_GB2312"/>
          <w:color w:val="000000" w:themeColor="text1"/>
          <w:sz w:val="32"/>
          <w:szCs w:val="32"/>
          <w14:textFill>
            <w14:solidFill>
              <w14:schemeClr w14:val="tx1"/>
            </w14:solidFill>
          </w14:textFill>
        </w:rPr>
        <w:t>动态风险因素量化分值表（食品</w:t>
      </w:r>
      <w:r>
        <w:rPr>
          <w:rFonts w:hint="eastAsia" w:ascii="仿宋_GB2312" w:hAnsi="仿宋_GB2312" w:eastAsia="仿宋_GB2312" w:cs="仿宋_GB2312"/>
          <w:color w:val="000000" w:themeColor="text1"/>
          <w:sz w:val="32"/>
          <w:szCs w:val="32"/>
          <w:lang w:eastAsia="zh-CN"/>
          <w14:textFill>
            <w14:solidFill>
              <w14:schemeClr w14:val="tx1"/>
            </w14:solidFill>
          </w14:textFill>
        </w:rPr>
        <w:t>销售小摊点</w:t>
      </w:r>
      <w:r>
        <w:rPr>
          <w:rFonts w:hint="eastAsia" w:ascii="仿宋_GB2312" w:hAnsi="仿宋_GB2312" w:eastAsia="仿宋_GB2312" w:cs="仿宋_GB2312"/>
          <w:color w:val="000000" w:themeColor="text1"/>
          <w:sz w:val="32"/>
          <w:szCs w:val="32"/>
          <w14:textFill>
            <w14:solidFill>
              <w14:schemeClr w14:val="tx1"/>
            </w14:solidFill>
          </w14:textFill>
        </w:rPr>
        <w:t>日常监督检查要点表）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食品经营者风险等级确定表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ascii="方正小标宋简体" w:eastAsia="方正小标宋简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食品经营者日常监督检查结果记录表</w:t>
      </w: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附件1</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食品销售者静态风险因素量化分值表</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p>
    <w:tbl>
      <w:tblPr>
        <w:tblStyle w:val="7"/>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33"/>
        <w:gridCol w:w="482"/>
        <w:gridCol w:w="1218"/>
        <w:gridCol w:w="976"/>
        <w:gridCol w:w="1069"/>
        <w:gridCol w:w="1368"/>
        <w:gridCol w:w="1507"/>
        <w:gridCol w:w="1172"/>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59" w:type="dxa"/>
            <w:noWrap/>
            <w:vAlign w:val="center"/>
          </w:tcPr>
          <w:p>
            <w:pPr>
              <w:widowControl/>
              <w:spacing w:line="280" w:lineRule="exact"/>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序号</w:t>
            </w:r>
          </w:p>
        </w:tc>
        <w:tc>
          <w:tcPr>
            <w:tcW w:w="2833" w:type="dxa"/>
            <w:gridSpan w:val="3"/>
            <w:noWrap w:val="0"/>
            <w:vAlign w:val="center"/>
          </w:tcPr>
          <w:p>
            <w:pPr>
              <w:spacing w:line="280" w:lineRule="exact"/>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评分项（共40分）</w:t>
            </w:r>
          </w:p>
        </w:tc>
        <w:tc>
          <w:tcPr>
            <w:tcW w:w="6092" w:type="dxa"/>
            <w:gridSpan w:val="5"/>
            <w:noWrap w:val="0"/>
            <w:vAlign w:val="center"/>
          </w:tcPr>
          <w:p>
            <w:pPr>
              <w:widowControl/>
              <w:spacing w:line="280" w:lineRule="exact"/>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参考分值</w:t>
            </w:r>
          </w:p>
        </w:tc>
        <w:tc>
          <w:tcPr>
            <w:tcW w:w="574" w:type="dxa"/>
            <w:noWrap w:val="0"/>
            <w:vAlign w:val="center"/>
          </w:tcPr>
          <w:p>
            <w:pPr>
              <w:widowControl/>
              <w:spacing w:line="280" w:lineRule="exact"/>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2833" w:type="dxa"/>
            <w:gridSpan w:val="3"/>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食品经营场所面积</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面积（㎡）</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50以下</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51-200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201-1000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2833" w:type="dxa"/>
            <w:gridSpan w:val="3"/>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1.5分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1133"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预包装食品单品数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1700" w:type="dxa"/>
            <w:gridSpan w:val="2"/>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500以下 </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501-2000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2001-5000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0.2分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0.8分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100以下</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101-300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301-1000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1.5分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p>
        </w:tc>
        <w:tc>
          <w:tcPr>
            <w:tcW w:w="1133"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散装食品单品数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（5分）</w:t>
            </w:r>
          </w:p>
        </w:tc>
        <w:tc>
          <w:tcPr>
            <w:tcW w:w="1700" w:type="dxa"/>
            <w:gridSpan w:val="2"/>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1-100</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101-300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301-1000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1.5分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50以下</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51-100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101-200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gridSpan w:val="2"/>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1.5分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1133" w:type="dxa"/>
            <w:vMerge w:val="restart"/>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（6分）</w:t>
            </w:r>
          </w:p>
        </w:tc>
        <w:tc>
          <w:tcPr>
            <w:tcW w:w="1700"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畜禽水产品</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6092" w:type="dxa"/>
            <w:gridSpan w:val="5"/>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4分</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1700"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进口食用农产品（2分）</w:t>
            </w:r>
          </w:p>
        </w:tc>
        <w:tc>
          <w:tcPr>
            <w:tcW w:w="6092" w:type="dxa"/>
            <w:gridSpan w:val="5"/>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9" w:type="dxa"/>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c>
          <w:tcPr>
            <w:tcW w:w="2833" w:type="dxa"/>
            <w:gridSpan w:val="3"/>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特殊食品</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6092" w:type="dxa"/>
            <w:gridSpan w:val="5"/>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hint="eastAsia" w:ascii="仿宋" w:hAnsi="仿宋" w:eastAsia="仿宋"/>
                <w:color w:val="000000" w:themeColor="text1"/>
                <w:kern w:val="0"/>
                <w:sz w:val="20"/>
                <w:szCs w:val="20"/>
                <w14:textFill>
                  <w14:solidFill>
                    <w14:schemeClr w14:val="tx1"/>
                  </w14:solidFill>
                </w14:textFill>
              </w:rPr>
              <w:t>分</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c>
          <w:tcPr>
            <w:tcW w:w="1615" w:type="dxa"/>
            <w:gridSpan w:val="2"/>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现场制售食品（</w:t>
            </w:r>
            <w:r>
              <w:rPr>
                <w:rFonts w:hint="eastAsia" w:ascii="仿宋" w:hAnsi="仿宋" w:eastAsia="仿宋"/>
                <w:color w:val="000000" w:themeColor="text1"/>
                <w:kern w:val="0"/>
                <w:sz w:val="20"/>
                <w:szCs w:val="20"/>
                <w14:textFill>
                  <w14:solidFill>
                    <w14:schemeClr w14:val="tx1"/>
                  </w14:solidFill>
                </w14:textFill>
              </w:rPr>
              <w:t>9</w:t>
            </w:r>
            <w:r>
              <w:rPr>
                <w:rFonts w:ascii="仿宋" w:hAnsi="仿宋" w:eastAsia="仿宋"/>
                <w:color w:val="000000" w:themeColor="text1"/>
                <w:kern w:val="0"/>
                <w:sz w:val="20"/>
                <w:szCs w:val="20"/>
                <w14:textFill>
                  <w14:solidFill>
                    <w14:schemeClr w14:val="tx1"/>
                  </w14:solidFill>
                </w14:textFill>
              </w:rPr>
              <w:t>分）</w:t>
            </w:r>
          </w:p>
        </w:tc>
        <w:tc>
          <w:tcPr>
            <w:tcW w:w="1218"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单品数</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2437"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10以下</w:t>
            </w:r>
          </w:p>
        </w:tc>
        <w:tc>
          <w:tcPr>
            <w:tcW w:w="2679"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615" w:type="dxa"/>
            <w:gridSpan w:val="2"/>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218"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37"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2679"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574" w:type="dxa"/>
            <w:vMerge w:val="continue"/>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615" w:type="dxa"/>
            <w:gridSpan w:val="2"/>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2194" w:type="dxa"/>
            <w:gridSpan w:val="2"/>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含裱花蛋糕（3分）</w:t>
            </w:r>
          </w:p>
        </w:tc>
        <w:tc>
          <w:tcPr>
            <w:tcW w:w="5116" w:type="dxa"/>
            <w:gridSpan w:val="4"/>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574"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restart"/>
            <w:noWrap/>
            <w:vAlign w:val="center"/>
          </w:tcPr>
          <w:p>
            <w:pPr>
              <w:widowControl/>
              <w:spacing w:line="280" w:lineRule="exact"/>
              <w:jc w:val="center"/>
              <w:rPr>
                <w:rFonts w:hint="eastAsia" w:ascii="仿宋" w:hAnsi="仿宋" w:eastAsia="仿宋"/>
                <w:color w:val="000000" w:themeColor="text1"/>
                <w:kern w:val="0"/>
                <w:sz w:val="20"/>
                <w:szCs w:val="20"/>
                <w:lang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p>
        </w:tc>
        <w:tc>
          <w:tcPr>
            <w:tcW w:w="2833" w:type="dxa"/>
            <w:gridSpan w:val="3"/>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供货者数量</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50以下</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51-100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101-200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2833" w:type="dxa"/>
            <w:gridSpan w:val="3"/>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574"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659" w:type="dxa"/>
            <w:tcBorders>
              <w:bottom w:val="single" w:color="auto" w:sz="4" w:space="0"/>
            </w:tcBorders>
            <w:noWrap/>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8</w:t>
            </w:r>
          </w:p>
        </w:tc>
        <w:tc>
          <w:tcPr>
            <w:tcW w:w="2833" w:type="dxa"/>
            <w:gridSpan w:val="3"/>
            <w:tcBorders>
              <w:bottom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出租柜台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6092" w:type="dxa"/>
            <w:gridSpan w:val="5"/>
            <w:tcBorders>
              <w:bottom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4分</w:t>
            </w:r>
          </w:p>
        </w:tc>
        <w:tc>
          <w:tcPr>
            <w:tcW w:w="574" w:type="dxa"/>
            <w:tcBorders>
              <w:bottom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492" w:type="dxa"/>
            <w:gridSpan w:val="4"/>
            <w:tcBorders>
              <w:bottom w:val="single" w:color="auto" w:sz="4" w:space="0"/>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p>
        </w:tc>
        <w:tc>
          <w:tcPr>
            <w:tcW w:w="6666" w:type="dxa"/>
            <w:gridSpan w:val="6"/>
            <w:tcBorders>
              <w:bottom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659" w:type="dxa"/>
            <w:noWrap w:val="0"/>
            <w:vAlign w:val="center"/>
          </w:tcPr>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备</w:t>
            </w: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注</w:t>
            </w:r>
          </w:p>
          <w:p>
            <w:pPr>
              <w:widowControl/>
              <w:spacing w:line="220" w:lineRule="exact"/>
              <w:ind w:firstLine="360" w:firstLineChars="200"/>
              <w:jc w:val="center"/>
              <w:rPr>
                <w:rFonts w:ascii="仿宋" w:hAnsi="仿宋" w:eastAsia="仿宋"/>
                <w:color w:val="000000" w:themeColor="text1"/>
                <w:kern w:val="0"/>
                <w:sz w:val="18"/>
                <w:szCs w:val="18"/>
                <w14:textFill>
                  <w14:solidFill>
                    <w14:schemeClr w14:val="tx1"/>
                  </w14:solidFill>
                </w14:textFill>
              </w:rPr>
            </w:pPr>
          </w:p>
          <w:p>
            <w:pPr>
              <w:spacing w:line="220" w:lineRule="exact"/>
              <w:jc w:val="center"/>
              <w:rPr>
                <w:rFonts w:ascii="仿宋" w:hAnsi="仿宋" w:eastAsia="仿宋"/>
                <w:color w:val="000000" w:themeColor="text1"/>
                <w:kern w:val="0"/>
                <w:sz w:val="18"/>
                <w:szCs w:val="18"/>
                <w14:textFill>
                  <w14:solidFill>
                    <w14:schemeClr w14:val="tx1"/>
                  </w14:solidFill>
                </w14:textFill>
              </w:rPr>
            </w:pPr>
          </w:p>
        </w:tc>
        <w:tc>
          <w:tcPr>
            <w:tcW w:w="9499" w:type="dxa"/>
            <w:gridSpan w:val="9"/>
            <w:noWrap w:val="0"/>
            <w:vAlign w:val="center"/>
          </w:tcPr>
          <w:p>
            <w:pPr>
              <w:widowControl/>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1</w:t>
            </w:r>
            <w:r>
              <w:rPr>
                <w:rFonts w:hint="eastAsia" w:ascii="仿宋" w:hAnsi="仿宋" w:eastAsia="仿宋"/>
                <w:color w:val="000000" w:themeColor="text1"/>
                <w:kern w:val="0"/>
                <w:sz w:val="18"/>
                <w:szCs w:val="18"/>
                <w14:textFill>
                  <w14:solidFill>
                    <w14:schemeClr w14:val="tx1"/>
                  </w14:solidFill>
                </w14:textFill>
              </w:rPr>
              <w:t>.食品销售者同时经营食用农产品的按照食品销售者实施风险分级管理。</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2</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评分总和为40分，评分项因实际情况缺项的，对应的得分为“0”。</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3</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含进货查验、食品贮存、食品内部运输、食品陈列展售场所的面积总和。</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4</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单品数不含制作过程中各类食品原料和半成品数量，指独立展售食品的品种数。</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5.表中畜禽水产品不包括进口食用农产品。</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6</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特殊食品是指婴幼儿配方乳粉、婴幼儿配方食品、保健食品以及特殊医学用途食品等。</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7</w:t>
            </w:r>
            <w:r>
              <w:rPr>
                <w:rFonts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18"/>
                <w:szCs w:val="18"/>
                <w14:textFill>
                  <w14:solidFill>
                    <w14:schemeClr w14:val="tx1"/>
                  </w14:solidFill>
                </w14:textFill>
              </w:rPr>
              <w:t>各数值均为整数，如有小数，四舍五入取整。数量单位为个，面积单位为</w:t>
            </w:r>
            <w:r>
              <w:rPr>
                <w:rFonts w:ascii="仿宋" w:hAnsi="仿宋" w:eastAsia="仿宋"/>
                <w:color w:val="000000" w:themeColor="text1"/>
                <w:kern w:val="0"/>
                <w:sz w:val="18"/>
                <w:szCs w:val="18"/>
                <w14:textFill>
                  <w14:solidFill>
                    <w14:schemeClr w14:val="tx1"/>
                  </w14:solidFill>
                </w14:textFill>
              </w:rPr>
              <w:t>m</w:t>
            </w:r>
            <w:r>
              <w:rPr>
                <w:rFonts w:ascii="仿宋" w:hAnsi="仿宋" w:eastAsia="仿宋"/>
                <w:color w:val="000000" w:themeColor="text1"/>
                <w:kern w:val="0"/>
                <w:sz w:val="18"/>
                <w:szCs w:val="18"/>
                <w:vertAlign w:val="superscript"/>
                <w14:textFill>
                  <w14:solidFill>
                    <w14:schemeClr w14:val="tx1"/>
                  </w14:solidFill>
                </w14:textFill>
              </w:rPr>
              <w:t>2</w:t>
            </w:r>
            <w:r>
              <w:rPr>
                <w:rFonts w:hint="eastAsia" w:ascii="仿宋" w:hAnsi="仿宋" w:eastAsia="仿宋"/>
                <w:color w:val="000000" w:themeColor="text1"/>
                <w:kern w:val="0"/>
                <w:sz w:val="18"/>
                <w:szCs w:val="18"/>
                <w14:textFill>
                  <w14:solidFill>
                    <w14:schemeClr w14:val="tx1"/>
                  </w14:solidFill>
                </w14:textFill>
              </w:rPr>
              <w:t>。</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8.“以上”、“以下”均包含本数。</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tbl>
      <w:tblPr>
        <w:tblStyle w:val="7"/>
        <w:tblpPr w:leftFromText="180" w:rightFromText="180" w:vertAnchor="page" w:horzAnchor="margin" w:tblpXSpec="center" w:tblpY="3406"/>
        <w:tblW w:w="10234" w:type="dxa"/>
        <w:tblInd w:w="0" w:type="dxa"/>
        <w:tblLayout w:type="fixed"/>
        <w:tblCellMar>
          <w:top w:w="28" w:type="dxa"/>
          <w:left w:w="28" w:type="dxa"/>
          <w:bottom w:w="28" w:type="dxa"/>
          <w:right w:w="28" w:type="dxa"/>
        </w:tblCellMar>
      </w:tblPr>
      <w:tblGrid>
        <w:gridCol w:w="879"/>
        <w:gridCol w:w="1150"/>
        <w:gridCol w:w="1118"/>
        <w:gridCol w:w="1258"/>
        <w:gridCol w:w="868"/>
        <w:gridCol w:w="851"/>
        <w:gridCol w:w="1275"/>
        <w:gridCol w:w="284"/>
        <w:gridCol w:w="1984"/>
        <w:gridCol w:w="567"/>
      </w:tblGrid>
      <w:tr>
        <w:tblPrEx>
          <w:tblCellMar>
            <w:top w:w="28" w:type="dxa"/>
            <w:left w:w="28" w:type="dxa"/>
            <w:bottom w:w="28" w:type="dxa"/>
            <w:right w:w="28" w:type="dxa"/>
          </w:tblCellMar>
        </w:tblPrEx>
        <w:trPr>
          <w:trHeight w:val="389" w:hRule="atLeast"/>
        </w:trPr>
        <w:tc>
          <w:tcPr>
            <w:tcW w:w="31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评分项（共40分）</w:t>
            </w:r>
          </w:p>
        </w:tc>
        <w:tc>
          <w:tcPr>
            <w:tcW w:w="652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参考分值</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 w:val="18"/>
                <w:szCs w:val="18"/>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得分</w:t>
            </w:r>
          </w:p>
        </w:tc>
      </w:tr>
      <w:tr>
        <w:tblPrEx>
          <w:tblCellMar>
            <w:top w:w="28" w:type="dxa"/>
            <w:left w:w="28" w:type="dxa"/>
            <w:bottom w:w="28" w:type="dxa"/>
            <w:right w:w="28" w:type="dxa"/>
          </w:tblCellMar>
        </w:tblPrEx>
        <w:trPr>
          <w:trHeight w:val="490" w:hRule="atLeast"/>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社会餐饮服务</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经营者</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基础项</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（5分）</w:t>
            </w: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规模</w:t>
            </w: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面积150m</w:t>
            </w:r>
            <w:r>
              <w:rPr>
                <w:rFonts w:hint="eastAsia" w:ascii="仿宋" w:hAnsi="仿宋" w:eastAsia="仿宋" w:cs="宋体"/>
                <w:color w:val="000000" w:themeColor="text1"/>
                <w:kern w:val="0"/>
                <w:szCs w:val="21"/>
                <w:vertAlign w:val="superscript"/>
                <w14:textFill>
                  <w14:solidFill>
                    <w14:schemeClr w14:val="tx1"/>
                  </w14:solidFill>
                </w14:textFill>
              </w:rPr>
              <w:t>2</w:t>
            </w:r>
            <w:r>
              <w:rPr>
                <w:rFonts w:hint="eastAsia" w:ascii="仿宋" w:hAnsi="仿宋" w:eastAsia="仿宋" w:cs="宋体"/>
                <w:color w:val="000000" w:themeColor="text1"/>
                <w:kern w:val="0"/>
                <w:szCs w:val="21"/>
                <w14:textFill>
                  <w14:solidFill>
                    <w14:schemeClr w14:val="tx1"/>
                  </w14:solidFill>
                </w14:textFill>
              </w:rPr>
              <w:t>以下</w:t>
            </w: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面积 150 m</w:t>
            </w:r>
            <w:r>
              <w:rPr>
                <w:rFonts w:hint="eastAsia" w:ascii="仿宋" w:hAnsi="仿宋" w:eastAsia="仿宋" w:cs="宋体"/>
                <w:color w:val="000000" w:themeColor="text1"/>
                <w:kern w:val="0"/>
                <w:szCs w:val="21"/>
                <w:vertAlign w:val="superscript"/>
                <w14:textFill>
                  <w14:solidFill>
                    <w14:schemeClr w14:val="tx1"/>
                  </w14:solidFill>
                </w14:textFill>
              </w:rPr>
              <w:t>2</w:t>
            </w:r>
            <w:r>
              <w:rPr>
                <w:rFonts w:hint="eastAsia" w:ascii="仿宋" w:hAnsi="仿宋" w:eastAsia="仿宋" w:cs="宋体"/>
                <w:color w:val="000000" w:themeColor="text1"/>
                <w:kern w:val="0"/>
                <w:szCs w:val="21"/>
                <w14:textFill>
                  <w14:solidFill>
                    <w14:schemeClr w14:val="tx1"/>
                  </w14:solidFill>
                </w14:textFill>
              </w:rPr>
              <w:t>（含）～1000m</w:t>
            </w:r>
            <w:r>
              <w:rPr>
                <w:rFonts w:hint="eastAsia" w:ascii="仿宋" w:hAnsi="仿宋" w:eastAsia="仿宋" w:cs="宋体"/>
                <w:color w:val="000000" w:themeColor="text1"/>
                <w:kern w:val="0"/>
                <w:szCs w:val="21"/>
                <w:vertAlign w:val="superscript"/>
                <w14:textFill>
                  <w14:solidFill>
                    <w14:schemeClr w14:val="tx1"/>
                  </w14:solidFill>
                </w14:textFill>
              </w:rPr>
              <w:t>2</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面积1000 m</w:t>
            </w:r>
            <w:r>
              <w:rPr>
                <w:rFonts w:hint="eastAsia" w:ascii="仿宋" w:hAnsi="仿宋" w:eastAsia="仿宋" w:cs="宋体"/>
                <w:color w:val="000000" w:themeColor="text1"/>
                <w:kern w:val="0"/>
                <w:szCs w:val="21"/>
                <w:vertAlign w:val="superscript"/>
                <w14:textFill>
                  <w14:solidFill>
                    <w14:schemeClr w14:val="tx1"/>
                  </w14:solidFill>
                </w14:textFill>
              </w:rPr>
              <w:t>2</w:t>
            </w:r>
            <w:r>
              <w:rPr>
                <w:rFonts w:hint="eastAsia" w:ascii="仿宋" w:hAnsi="仿宋" w:eastAsia="仿宋" w:cs="宋体"/>
                <w:color w:val="000000" w:themeColor="text1"/>
                <w:kern w:val="0"/>
                <w:szCs w:val="21"/>
                <w14:textFill>
                  <w14:solidFill>
                    <w14:schemeClr w14:val="tx1"/>
                  </w14:solidFill>
                </w14:textFill>
              </w:rPr>
              <w:t>（含）以上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28"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491"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特殊项</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类别</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从事入网餐饮服务</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经营</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食品原料采购无固定的供应商</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承办集体聚餐</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（含旅游团餐、婚宴、</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xml:space="preserve">会议、年夜饭等）                                                                                                                             </w:t>
            </w:r>
          </w:p>
        </w:tc>
        <w:tc>
          <w:tcPr>
            <w:tcW w:w="56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16"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56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57" w:hRule="atLeast"/>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作</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食</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品</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的</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类</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别</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和</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(25分)</w:t>
            </w: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冷食类</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食品制售</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1118"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（3分）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11～40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24"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11～20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56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生食类</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食品制售</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（6分）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11～20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56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糕点类食品</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制售，包括裱花蛋糕</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（5分）</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1～20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21～40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137"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11～20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热食类</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食品制售</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（4分）</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1～30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31～200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201及以上</w:t>
            </w:r>
          </w:p>
        </w:tc>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1～20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21～80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81及以上</w:t>
            </w:r>
          </w:p>
        </w:tc>
        <w:tc>
          <w:tcPr>
            <w:tcW w:w="567" w:type="dxa"/>
            <w:vMerge w:val="restart"/>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135"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自制饮品</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制售</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（4分）</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6～20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6～20</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ign w:val="center"/>
          </w:tcPr>
          <w:p>
            <w:pPr>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65"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372" w:hRule="atLeast"/>
        </w:trPr>
        <w:tc>
          <w:tcPr>
            <w:tcW w:w="31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得分总和</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165" w:hRule="atLeast"/>
        </w:trPr>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备</w:t>
            </w: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注</w:t>
            </w:r>
            <w:r>
              <w:rPr>
                <w:rFonts w:hint="eastAsia" w:ascii="仿宋" w:hAnsi="仿宋" w:eastAsia="仿宋" w:cs="宋体"/>
                <w:color w:val="000000" w:themeColor="text1"/>
                <w:kern w:val="0"/>
                <w:szCs w:val="21"/>
                <w14:textFill>
                  <w14:solidFill>
                    <w14:schemeClr w14:val="tx1"/>
                  </w14:solidFill>
                </w14:textFill>
              </w:rPr>
              <w:br w:type="textWrapping"/>
            </w:r>
          </w:p>
          <w:p>
            <w:pPr>
              <w:widowControl/>
              <w:spacing w:line="220" w:lineRule="exact"/>
              <w:ind w:left="395" w:leftChars="188"/>
              <w:jc w:val="left"/>
              <w:rPr>
                <w:rFonts w:ascii="仿宋" w:hAnsi="仿宋" w:eastAsia="仿宋" w:cs="宋体"/>
                <w:color w:val="000000" w:themeColor="text1"/>
                <w:kern w:val="0"/>
                <w:szCs w:val="21"/>
                <w14:textFill>
                  <w14:solidFill>
                    <w14:schemeClr w14:val="tx1"/>
                  </w14:solidFill>
                </w14:textFill>
              </w:rPr>
            </w:pPr>
          </w:p>
        </w:tc>
        <w:tc>
          <w:tcPr>
            <w:tcW w:w="9355"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420" w:hanging="420" w:hangingChars="2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1.社会餐饮服务经营者是指除中央厨房、集体用餐配送单位以外的餐饮服务经营者。</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2.各项分值总和为40分。因实际情况存在缺项情形的，该项评分为“0”。特殊项得分为各特殊项分值累加。</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3.数量单位为“个”。</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4.单品数是指最新菜单中所展示的独立销售的食品品种数,不含制作过程中各类食品原料和半成品数量。</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5.具有热食、冷食、生食等多种情形,难以明确归类的食品，可按食品安全风险等级最高的情形进行归类。</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易腐原料是指蛋白质或碳水化合物含量较高，通常pH大于4.6且水分活度大于0.85，需要控制温度和时间以防止腐败变质和细菌生长、繁殖、产毒的食品。如乳、蛋、禽、畜、水产品等动物源性食品（含）及豆制品等。</w:t>
            </w:r>
          </w:p>
        </w:tc>
      </w:tr>
    </w:tbl>
    <w:p>
      <w:pPr>
        <w:widowControl/>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jc w:val="center"/>
        <w:rPr>
          <w:color w:val="000000" w:themeColor="text1"/>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社会餐饮服务经营者静态风险因素量化分值表</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tbl>
      <w:tblPr>
        <w:tblStyle w:val="7"/>
        <w:tblpPr w:leftFromText="180" w:rightFromText="180" w:vertAnchor="page" w:horzAnchor="margin" w:tblpXSpec="center" w:tblpY="751"/>
        <w:tblW w:w="9809" w:type="dxa"/>
        <w:tblInd w:w="0" w:type="dxa"/>
        <w:tblLayout w:type="fixed"/>
        <w:tblCellMar>
          <w:top w:w="28" w:type="dxa"/>
          <w:left w:w="28" w:type="dxa"/>
          <w:bottom w:w="28" w:type="dxa"/>
          <w:right w:w="28" w:type="dxa"/>
        </w:tblCellMar>
      </w:tblPr>
      <w:tblGrid>
        <w:gridCol w:w="737"/>
        <w:gridCol w:w="992"/>
        <w:gridCol w:w="1148"/>
        <w:gridCol w:w="1546"/>
        <w:gridCol w:w="565"/>
        <w:gridCol w:w="994"/>
        <w:gridCol w:w="1276"/>
        <w:gridCol w:w="283"/>
        <w:gridCol w:w="1700"/>
        <w:gridCol w:w="568"/>
      </w:tblGrid>
      <w:tr>
        <w:tblPrEx>
          <w:tblCellMar>
            <w:top w:w="28" w:type="dxa"/>
            <w:left w:w="28" w:type="dxa"/>
            <w:bottom w:w="28" w:type="dxa"/>
            <w:right w:w="28" w:type="dxa"/>
          </w:tblCellMar>
        </w:tblPrEx>
        <w:trPr>
          <w:trHeight w:val="1122" w:hRule="atLeast"/>
        </w:trPr>
        <w:tc>
          <w:tcPr>
            <w:tcW w:w="9809" w:type="dxa"/>
            <w:gridSpan w:val="10"/>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黑体" w:hAnsi="黑体" w:eastAsia="黑体" w:cs="黑体"/>
                <w:bCs/>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eastAsia="zh-CN"/>
                <w14:textFill>
                  <w14:solidFill>
                    <w14:schemeClr w14:val="tx1"/>
                  </w14:solidFill>
                </w14:textFill>
              </w:rPr>
              <w:t>附件</w:t>
            </w:r>
            <w:r>
              <w:rPr>
                <w:rFonts w:hint="eastAsia" w:ascii="黑体" w:hAnsi="黑体" w:eastAsia="黑体" w:cs="黑体"/>
                <w:bCs/>
                <w:color w:val="000000" w:themeColor="text1"/>
                <w:kern w:val="0"/>
                <w:sz w:val="32"/>
                <w:szCs w:val="32"/>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bCs/>
                <w:color w:val="000000" w:themeColor="text1"/>
                <w:kern w:val="0"/>
                <w:sz w:val="44"/>
                <w:szCs w:val="44"/>
                <w14:textFill>
                  <w14:solidFill>
                    <w14:schemeClr w14:val="tx1"/>
                  </w14:solidFill>
                </w14:textFill>
              </w:rPr>
            </w:pPr>
            <w:r>
              <w:rPr>
                <w:rFonts w:hint="eastAsia" w:ascii="方正小标宋简体" w:hAnsi="仿宋" w:eastAsia="方正小标宋简体" w:cs="宋体"/>
                <w:bCs/>
                <w:color w:val="000000" w:themeColor="text1"/>
                <w:kern w:val="0"/>
                <w:sz w:val="32"/>
                <w:szCs w:val="32"/>
                <w14:textFill>
                  <w14:solidFill>
                    <w14:schemeClr w14:val="tx1"/>
                  </w14:solidFill>
                </w14:textFill>
              </w:rPr>
              <w:t>中央厨房和集体用餐配送单位静态风险因素量化分值表</w:t>
            </w:r>
          </w:p>
        </w:tc>
      </w:tr>
      <w:tr>
        <w:tblPrEx>
          <w:tblCellMar>
            <w:top w:w="28" w:type="dxa"/>
            <w:left w:w="28" w:type="dxa"/>
            <w:bottom w:w="28" w:type="dxa"/>
            <w:right w:w="28" w:type="dxa"/>
          </w:tblCellMar>
        </w:tblPrEx>
        <w:trPr>
          <w:trHeight w:val="196" w:hRule="atLeast"/>
        </w:trPr>
        <w:tc>
          <w:tcPr>
            <w:tcW w:w="287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b/>
                <w:bCs/>
                <w:color w:val="000000" w:themeColor="text1"/>
                <w:kern w:val="0"/>
                <w:sz w:val="18"/>
                <w:szCs w:val="18"/>
                <w14:textFill>
                  <w14:solidFill>
                    <w14:schemeClr w14:val="tx1"/>
                  </w14:solidFill>
                </w14:textFill>
              </w:rPr>
            </w:pPr>
            <w:r>
              <w:rPr>
                <w:rFonts w:hint="eastAsia" w:ascii="仿宋" w:hAnsi="仿宋" w:eastAsia="仿宋" w:cs="宋体"/>
                <w:b/>
                <w:bCs/>
                <w:color w:val="000000" w:themeColor="text1"/>
                <w:kern w:val="0"/>
                <w:sz w:val="18"/>
                <w:szCs w:val="18"/>
                <w14:textFill>
                  <w14:solidFill>
                    <w14:schemeClr w14:val="tx1"/>
                  </w14:solidFill>
                </w14:textFill>
              </w:rPr>
              <w:t>评分项（共40分）</w:t>
            </w:r>
          </w:p>
        </w:tc>
        <w:tc>
          <w:tcPr>
            <w:tcW w:w="6364" w:type="dxa"/>
            <w:gridSpan w:val="6"/>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b/>
                <w:bCs/>
                <w:color w:val="000000" w:themeColor="text1"/>
                <w:kern w:val="0"/>
                <w:sz w:val="18"/>
                <w:szCs w:val="18"/>
                <w14:textFill>
                  <w14:solidFill>
                    <w14:schemeClr w14:val="tx1"/>
                  </w14:solidFill>
                </w14:textFill>
              </w:rPr>
            </w:pPr>
            <w:r>
              <w:rPr>
                <w:rFonts w:hint="eastAsia" w:ascii="仿宋" w:hAnsi="仿宋" w:eastAsia="仿宋" w:cs="宋体"/>
                <w:b/>
                <w:bCs/>
                <w:color w:val="000000" w:themeColor="text1"/>
                <w:kern w:val="0"/>
                <w:sz w:val="18"/>
                <w:szCs w:val="18"/>
                <w14:textFill>
                  <w14:solidFill>
                    <w14:schemeClr w14:val="tx1"/>
                  </w14:solidFill>
                </w14:textFill>
              </w:rPr>
              <w:t>参考分值</w:t>
            </w:r>
          </w:p>
        </w:tc>
        <w:tc>
          <w:tcPr>
            <w:tcW w:w="56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b/>
                <w:bCs/>
                <w:color w:val="000000" w:themeColor="text1"/>
                <w:kern w:val="0"/>
                <w:sz w:val="18"/>
                <w:szCs w:val="18"/>
                <w14:textFill>
                  <w14:solidFill>
                    <w14:schemeClr w14:val="tx1"/>
                  </w14:solidFill>
                </w14:textFill>
              </w:rPr>
            </w:pPr>
            <w:r>
              <w:rPr>
                <w:rFonts w:hint="eastAsia" w:ascii="仿宋" w:hAnsi="仿宋" w:eastAsia="仿宋" w:cs="宋体"/>
                <w:b/>
                <w:bCs/>
                <w:color w:val="000000" w:themeColor="text1"/>
                <w:kern w:val="0"/>
                <w:sz w:val="18"/>
                <w:szCs w:val="18"/>
                <w14:textFill>
                  <w14:solidFill>
                    <w14:schemeClr w14:val="tx1"/>
                  </w14:solidFill>
                </w14:textFill>
              </w:rPr>
              <w:t>得分</w:t>
            </w:r>
          </w:p>
        </w:tc>
      </w:tr>
      <w:tr>
        <w:tblPrEx>
          <w:tblCellMar>
            <w:top w:w="28" w:type="dxa"/>
            <w:left w:w="28" w:type="dxa"/>
            <w:bottom w:w="28" w:type="dxa"/>
            <w:right w:w="28" w:type="dxa"/>
          </w:tblCellMar>
        </w:tblPrEx>
        <w:trPr>
          <w:trHeight w:val="20" w:hRule="atLeast"/>
        </w:trPr>
        <w:tc>
          <w:tcPr>
            <w:tcW w:w="737" w:type="dxa"/>
            <w:vMerge w:val="restart"/>
            <w:tcBorders>
              <w:top w:val="nil"/>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业</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态</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和</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规</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模</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(20分)</w:t>
            </w:r>
          </w:p>
        </w:tc>
        <w:tc>
          <w:tcPr>
            <w:tcW w:w="992" w:type="dxa"/>
            <w:vMerge w:val="restart"/>
            <w:tcBorders>
              <w:top w:val="nil"/>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中央厨房</w:t>
            </w:r>
          </w:p>
        </w:tc>
        <w:tc>
          <w:tcPr>
            <w:tcW w:w="1148"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规模</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配送门店</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1家～5家</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配送门店</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6家～10家</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配送门店</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11家～20家</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配送门店</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21家及以上</w:t>
            </w:r>
          </w:p>
        </w:tc>
        <w:tc>
          <w:tcPr>
            <w:tcW w:w="56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9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5</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w:t>
            </w:r>
          </w:p>
        </w:tc>
        <w:tc>
          <w:tcPr>
            <w:tcW w:w="56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1"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特殊项</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（5分）</w:t>
            </w:r>
          </w:p>
        </w:tc>
        <w:tc>
          <w:tcPr>
            <w:tcW w:w="3105"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食品原料采购无固定供应商</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为学校（含托幼机构）食堂、养老机构食堂、医疗机构食堂、建筑工地食堂配送食品的</w:t>
            </w:r>
          </w:p>
        </w:tc>
        <w:tc>
          <w:tcPr>
            <w:tcW w:w="568" w:type="dxa"/>
            <w:vMerge w:val="restart"/>
            <w:tcBorders>
              <w:top w:val="single" w:color="auto" w:sz="4" w:space="0"/>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57"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3105"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w:t>
            </w:r>
          </w:p>
        </w:tc>
        <w:tc>
          <w:tcPr>
            <w:tcW w:w="568"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restart"/>
            <w:tcBorders>
              <w:top w:val="nil"/>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集体用餐</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配送单位</w:t>
            </w:r>
          </w:p>
        </w:tc>
        <w:tc>
          <w:tcPr>
            <w:tcW w:w="1148"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规模</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（10分）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供餐人数</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50人及以下</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供餐人数</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51人～100人</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供餐人数</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101人～300人</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供餐人数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301人及以上</w:t>
            </w:r>
          </w:p>
        </w:tc>
        <w:tc>
          <w:tcPr>
            <w:tcW w:w="56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1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7</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10</w:t>
            </w:r>
          </w:p>
        </w:tc>
        <w:tc>
          <w:tcPr>
            <w:tcW w:w="56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301"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特殊项</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（5分）</w:t>
            </w:r>
          </w:p>
        </w:tc>
        <w:tc>
          <w:tcPr>
            <w:tcW w:w="3105"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食品原料采购无固定供应商</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为学校（含托幼机构）、养老机构、医疗机构、建筑工地提供集体用餐配送的</w:t>
            </w:r>
          </w:p>
        </w:tc>
        <w:tc>
          <w:tcPr>
            <w:tcW w:w="568" w:type="dxa"/>
            <w:vMerge w:val="restart"/>
            <w:tcBorders>
              <w:top w:val="single" w:color="auto" w:sz="4" w:space="0"/>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65"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3105"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w:t>
            </w:r>
          </w:p>
        </w:tc>
        <w:tc>
          <w:tcPr>
            <w:tcW w:w="568"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4"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配送时间</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（5分）</w:t>
            </w:r>
          </w:p>
        </w:tc>
        <w:tc>
          <w:tcPr>
            <w:tcW w:w="2111"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30分钟以内</w:t>
            </w:r>
          </w:p>
        </w:tc>
        <w:tc>
          <w:tcPr>
            <w:tcW w:w="2270"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30分钟～45分钟</w:t>
            </w: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45分钟以上</w:t>
            </w:r>
          </w:p>
        </w:tc>
        <w:tc>
          <w:tcPr>
            <w:tcW w:w="568" w:type="dxa"/>
            <w:vMerge w:val="restart"/>
            <w:tcBorders>
              <w:top w:val="single" w:color="auto" w:sz="4" w:space="0"/>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90" w:hRule="atLeast"/>
        </w:trPr>
        <w:tc>
          <w:tcPr>
            <w:tcW w:w="737"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992"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2111"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w:t>
            </w:r>
          </w:p>
        </w:tc>
        <w:tc>
          <w:tcPr>
            <w:tcW w:w="2270"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w:t>
            </w: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5</w:t>
            </w:r>
          </w:p>
        </w:tc>
        <w:tc>
          <w:tcPr>
            <w:tcW w:w="568"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restart"/>
            <w:tcBorders>
              <w:top w:val="nil"/>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制</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作</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食</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品</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的</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类</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别</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和</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数</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量</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(20分)</w:t>
            </w: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冷食类</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食品制售</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（4分）</w:t>
            </w: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（2分）</w:t>
            </w:r>
          </w:p>
        </w:tc>
        <w:tc>
          <w:tcPr>
            <w:tcW w:w="1546"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11～40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含易腐原料</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11～20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生食类</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食品制售</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（4分）</w:t>
            </w: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11～20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17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3分</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糕点类食品</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制售，包括</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裱花蛋糕</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（3分）</w:t>
            </w: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1～20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21～40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41及以上</w:t>
            </w:r>
          </w:p>
        </w:tc>
        <w:tc>
          <w:tcPr>
            <w:tcW w:w="568" w:type="dxa"/>
            <w:vMerge w:val="restart"/>
            <w:tcBorders>
              <w:top w:val="nil"/>
              <w:left w:val="single" w:color="auto" w:sz="4" w:space="0"/>
              <w:bottom w:val="single" w:color="000000" w:sz="4" w:space="0"/>
              <w:right w:val="single" w:color="auto" w:sz="4" w:space="0"/>
            </w:tcBorders>
            <w:noWrap/>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301"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含易腐原料</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11～20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nil"/>
              <w:left w:val="single" w:color="auto" w:sz="4" w:space="0"/>
              <w:bottom w:val="single" w:color="000000" w:sz="4" w:space="0"/>
              <w:right w:val="single" w:color="auto" w:sz="4" w:space="0"/>
            </w:tcBorders>
            <w:noWrap/>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42"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热食类</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食品制售</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（3分）</w:t>
            </w: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1～30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31～200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201及以上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含易腐原料</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1～20</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21～80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81及以上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restart"/>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自制饮品</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制售</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（3分）</w:t>
            </w: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r>
              <w:rPr>
                <w:rFonts w:hint="eastAsia" w:ascii="仿宋" w:hAnsi="仿宋" w:eastAsia="仿宋" w:cs="宋体"/>
                <w:color w:val="000000" w:themeColor="text1"/>
                <w:kern w:val="0"/>
                <w:sz w:val="18"/>
                <w:szCs w:val="18"/>
                <w14:textFill>
                  <w14:solidFill>
                    <w14:schemeClr w14:val="tx1"/>
                  </w14:solidFill>
                </w14:textFill>
              </w:rPr>
              <w:br w:type="textWrapping"/>
            </w: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6～20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nil"/>
              <w:left w:val="single" w:color="auto" w:sz="4" w:space="0"/>
              <w:bottom w:val="single" w:color="000000"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含易腐原料</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6～20</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20"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c>
          <w:tcPr>
            <w:tcW w:w="1546"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nil"/>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top w:val="nil"/>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49"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restart"/>
            <w:tcBorders>
              <w:top w:val="single" w:color="auto" w:sz="4" w:space="0"/>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半成品类</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制售</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（3分）</w:t>
            </w: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单品数</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6～20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single" w:color="auto" w:sz="4" w:space="0"/>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35"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546"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75" w:hRule="atLeast"/>
        </w:trPr>
        <w:tc>
          <w:tcPr>
            <w:tcW w:w="737" w:type="dxa"/>
            <w:vMerge w:val="continue"/>
            <w:tcBorders>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left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含易腐原料</w:t>
            </w:r>
          </w:p>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1546"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数量</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6～20</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21及以上</w:t>
            </w:r>
          </w:p>
        </w:tc>
        <w:tc>
          <w:tcPr>
            <w:tcW w:w="568" w:type="dxa"/>
            <w:vMerge w:val="restart"/>
            <w:tcBorders>
              <w:top w:val="single" w:color="auto" w:sz="4" w:space="0"/>
              <w:left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69" w:hRule="atLeast"/>
        </w:trPr>
        <w:tc>
          <w:tcPr>
            <w:tcW w:w="737"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6"/>
                <w:szCs w:val="16"/>
                <w14:textFill>
                  <w14:solidFill>
                    <w14:schemeClr w14:val="tx1"/>
                  </w14:solidFill>
                </w14:textFill>
              </w:rPr>
            </w:pPr>
          </w:p>
        </w:tc>
        <w:tc>
          <w:tcPr>
            <w:tcW w:w="992" w:type="dxa"/>
            <w:vMerge w:val="continue"/>
            <w:tcBorders>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p>
        </w:tc>
        <w:tc>
          <w:tcPr>
            <w:tcW w:w="1546"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分值</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0.5分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1分</w:t>
            </w:r>
          </w:p>
        </w:tc>
        <w:tc>
          <w:tcPr>
            <w:tcW w:w="1700" w:type="dxa"/>
            <w:tcBorders>
              <w:top w:val="single" w:color="auto" w:sz="4" w:space="0"/>
              <w:left w:val="nil"/>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1.5分</w:t>
            </w:r>
          </w:p>
        </w:tc>
        <w:tc>
          <w:tcPr>
            <w:tcW w:w="568" w:type="dxa"/>
            <w:vMerge w:val="continue"/>
            <w:tcBorders>
              <w:left w:val="single" w:color="auto" w:sz="4" w:space="0"/>
              <w:bottom w:val="single" w:color="000000" w:sz="4" w:space="0"/>
              <w:right w:val="single" w:color="auto" w:sz="4" w:space="0"/>
            </w:tcBorders>
            <w:noWrap w:val="0"/>
            <w:vAlign w:val="center"/>
          </w:tcPr>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176" w:hRule="atLeast"/>
        </w:trPr>
        <w:tc>
          <w:tcPr>
            <w:tcW w:w="287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得分总和</w:t>
            </w:r>
          </w:p>
        </w:tc>
        <w:tc>
          <w:tcPr>
            <w:tcW w:w="6932" w:type="dxa"/>
            <w:gridSpan w:val="7"/>
            <w:tcBorders>
              <w:top w:val="single" w:color="auto" w:sz="4" w:space="0"/>
              <w:left w:val="nil"/>
              <w:bottom w:val="single" w:color="auto" w:sz="4" w:space="0"/>
              <w:right w:val="single" w:color="auto" w:sz="4" w:space="0"/>
            </w:tcBorders>
            <w:noWrap w:val="0"/>
            <w:vAlign w:val="center"/>
          </w:tcPr>
          <w:p>
            <w:pPr>
              <w:spacing w:line="18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　</w:t>
            </w:r>
          </w:p>
        </w:tc>
      </w:tr>
      <w:tr>
        <w:tblPrEx>
          <w:tblCellMar>
            <w:top w:w="28" w:type="dxa"/>
            <w:left w:w="28" w:type="dxa"/>
            <w:bottom w:w="28" w:type="dxa"/>
            <w:right w:w="28" w:type="dxa"/>
          </w:tblCellMar>
        </w:tblPrEx>
        <w:trPr>
          <w:trHeight w:val="24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ind w:left="360" w:hanging="360" w:hangingChars="200"/>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备</w:t>
            </w:r>
          </w:p>
          <w:p>
            <w:pPr>
              <w:widowControl/>
              <w:spacing w:line="180" w:lineRule="exact"/>
              <w:ind w:left="360" w:hanging="360" w:hangingChars="200"/>
              <w:jc w:val="center"/>
              <w:rPr>
                <w:rFonts w:ascii="仿宋" w:hAnsi="仿宋" w:eastAsia="仿宋" w:cs="宋体"/>
                <w:color w:val="000000" w:themeColor="text1"/>
                <w:kern w:val="0"/>
                <w:sz w:val="18"/>
                <w:szCs w:val="18"/>
                <w14:textFill>
                  <w14:solidFill>
                    <w14:schemeClr w14:val="tx1"/>
                  </w14:solidFill>
                </w14:textFill>
              </w:rPr>
            </w:pPr>
          </w:p>
          <w:p>
            <w:pPr>
              <w:widowControl/>
              <w:spacing w:line="180" w:lineRule="exact"/>
              <w:ind w:left="360" w:hanging="360" w:hangingChars="200"/>
              <w:jc w:val="center"/>
              <w:rPr>
                <w:rFonts w:ascii="仿宋" w:hAnsi="仿宋" w:eastAsia="仿宋" w:cs="宋体"/>
                <w:color w:val="000000" w:themeColor="text1"/>
                <w:kern w:val="0"/>
                <w:sz w:val="18"/>
                <w:szCs w:val="18"/>
                <w14:textFill>
                  <w14:solidFill>
                    <w14:schemeClr w14:val="tx1"/>
                  </w14:solidFill>
                </w14:textFill>
              </w:rPr>
            </w:pPr>
          </w:p>
          <w:p>
            <w:pPr>
              <w:widowControl/>
              <w:spacing w:line="180" w:lineRule="exact"/>
              <w:ind w:left="360" w:hanging="360" w:hangingChars="200"/>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注</w:t>
            </w:r>
          </w:p>
          <w:p>
            <w:pPr>
              <w:widowControl/>
              <w:spacing w:line="180" w:lineRule="exact"/>
              <w:ind w:left="401" w:leftChars="191"/>
              <w:jc w:val="left"/>
              <w:rPr>
                <w:rFonts w:ascii="仿宋" w:hAnsi="仿宋" w:eastAsia="仿宋" w:cs="宋体"/>
                <w:color w:val="000000" w:themeColor="text1"/>
                <w:kern w:val="0"/>
                <w:sz w:val="18"/>
                <w:szCs w:val="18"/>
                <w14:textFill>
                  <w14:solidFill>
                    <w14:schemeClr w14:val="tx1"/>
                  </w14:solidFill>
                </w14:textFill>
              </w:rPr>
            </w:pPr>
          </w:p>
        </w:tc>
        <w:tc>
          <w:tcPr>
            <w:tcW w:w="9072"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180" w:lineRule="exact"/>
              <w:ind w:left="180" w:hanging="180" w:hangingChars="100"/>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1.中央厨房，指由餐饮单位建立的，具有独立场所及设施设备，集中完成食品成品或者半成品加工制作并配送的食品经营者。</w:t>
            </w:r>
          </w:p>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2.集中用餐配送单位，指根据服务对象订购要求，集中加工、分送食品但不提供就餐场所的食品经营者。</w:t>
            </w:r>
          </w:p>
          <w:p>
            <w:pPr>
              <w:widowControl/>
              <w:spacing w:line="180" w:lineRule="exact"/>
              <w:ind w:left="180" w:hanging="180" w:hangingChars="100"/>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3.各项评分总和为40分。因实际情况存在缺项情形的，该项评分为“0”。特殊项得分为各特殊项分值累加。</w:t>
            </w:r>
          </w:p>
          <w:p>
            <w:pPr>
              <w:widowControl/>
              <w:spacing w:line="180" w:lineRule="exact"/>
              <w:ind w:left="180" w:hanging="180" w:hangingChars="100"/>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4.数量单位为“个”</w:t>
            </w:r>
            <w:r>
              <w:rPr>
                <w:rFonts w:hint="eastAsia" w:ascii="仿宋" w:hAnsi="仿宋" w:eastAsia="仿宋" w:cs="宋体"/>
                <w:color w:val="000000" w:themeColor="text1"/>
                <w:kern w:val="0"/>
                <w:sz w:val="18"/>
                <w:szCs w:val="18"/>
                <w14:textFill>
                  <w14:solidFill>
                    <w14:schemeClr w14:val="tx1"/>
                  </w14:solidFill>
                </w14:textFill>
              </w:rPr>
              <w:t>。</w:t>
            </w:r>
          </w:p>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5.单品数是指最新菜单中所展示的独立销售的食品品种数,不含制作过程中各类食品原料和半成品数量。</w:t>
            </w:r>
          </w:p>
          <w:p>
            <w:pPr>
              <w:widowControl/>
              <w:spacing w:line="180" w:lineRule="exact"/>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6.具有热食、冷食、生食等多种情形,难以明确归类的食品，可按食品安全风险等级最高的情形进行归类。</w:t>
            </w:r>
          </w:p>
          <w:p>
            <w:pPr>
              <w:widowControl/>
              <w:spacing w:line="180" w:lineRule="exact"/>
              <w:ind w:left="180" w:hanging="180" w:hangingChars="100"/>
              <w:jc w:val="lef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7.易腐原料是指蛋白质或碳水化合物含量较高，通常pH大于4.6且水分活度大于0.85，需要控制温度和时间以防止腐败变质和细菌生长、繁殖、产毒的食品。如乳、蛋、禽、畜、水产品等动物源性食品（含）及豆制品等。</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tbl>
      <w:tblPr>
        <w:tblStyle w:val="7"/>
        <w:tblpPr w:leftFromText="180" w:rightFromText="180" w:vertAnchor="page" w:horzAnchor="margin" w:tblpXSpec="center" w:tblpY="751"/>
        <w:tblW w:w="9809" w:type="dxa"/>
        <w:tblInd w:w="0" w:type="dxa"/>
        <w:tblLayout w:type="fixed"/>
        <w:tblCellMar>
          <w:top w:w="28" w:type="dxa"/>
          <w:left w:w="28" w:type="dxa"/>
          <w:bottom w:w="28" w:type="dxa"/>
          <w:right w:w="28" w:type="dxa"/>
        </w:tblCellMar>
      </w:tblPr>
      <w:tblGrid>
        <w:gridCol w:w="736"/>
        <w:gridCol w:w="1135"/>
        <w:gridCol w:w="1134"/>
        <w:gridCol w:w="1418"/>
        <w:gridCol w:w="1560"/>
        <w:gridCol w:w="1700"/>
        <w:gridCol w:w="1559"/>
        <w:gridCol w:w="567"/>
      </w:tblGrid>
      <w:tr>
        <w:tblPrEx>
          <w:tblCellMar>
            <w:top w:w="28" w:type="dxa"/>
            <w:left w:w="28" w:type="dxa"/>
            <w:bottom w:w="28" w:type="dxa"/>
            <w:right w:w="28" w:type="dxa"/>
          </w:tblCellMar>
        </w:tblPrEx>
        <w:trPr>
          <w:trHeight w:val="1122" w:hRule="atLeast"/>
        </w:trPr>
        <w:tc>
          <w:tcPr>
            <w:tcW w:w="9809" w:type="dxa"/>
            <w:gridSpan w:val="8"/>
            <w:tcBorders>
              <w:top w:val="nil"/>
              <w:left w:val="nil"/>
              <w:bottom w:val="single" w:color="auto" w:sz="4" w:space="0"/>
              <w:right w:val="nil"/>
            </w:tcBorders>
            <w:noWrap w:val="0"/>
            <w:vAlign w:val="center"/>
          </w:tcPr>
          <w:p>
            <w:pPr>
              <w:widowControl/>
              <w:spacing w:line="500" w:lineRule="exact"/>
              <w:ind w:firstLine="470" w:firstLineChars="147"/>
              <w:jc w:val="left"/>
              <w:rPr>
                <w:rFonts w:ascii="方正小标宋简体" w:hAnsi="仿宋" w:eastAsia="方正小标宋简体" w:cs="宋体"/>
                <w:color w:val="000000" w:themeColor="text1"/>
                <w:kern w:val="0"/>
                <w:sz w:val="32"/>
                <w:szCs w:val="32"/>
                <w14:textFill>
                  <w14:solidFill>
                    <w14:schemeClr w14:val="tx1"/>
                  </w14:solidFill>
                </w14:textFill>
              </w:rPr>
            </w:pPr>
          </w:p>
          <w:p>
            <w:pPr>
              <w:widowControl/>
              <w:spacing w:line="500" w:lineRule="exact"/>
              <w:ind w:firstLine="470" w:firstLineChars="147"/>
              <w:jc w:val="left"/>
              <w:rPr>
                <w:rFonts w:ascii="方正小标宋简体" w:hAnsi="仿宋" w:eastAsia="方正小标宋简体" w:cs="宋体"/>
                <w:color w:val="000000" w:themeColor="text1"/>
                <w:kern w:val="0"/>
                <w:sz w:val="32"/>
                <w:szCs w:val="32"/>
                <w14:textFill>
                  <w14:solidFill>
                    <w14:schemeClr w14:val="tx1"/>
                  </w14:solidFill>
                </w14:textFill>
              </w:rPr>
            </w:pPr>
          </w:p>
          <w:p>
            <w:pPr>
              <w:widowControl/>
              <w:spacing w:line="500" w:lineRule="exact"/>
              <w:ind w:firstLine="470" w:firstLineChars="147"/>
              <w:jc w:val="left"/>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4</w:t>
            </w:r>
          </w:p>
          <w:p>
            <w:pPr>
              <w:widowControl/>
              <w:jc w:val="center"/>
              <w:rPr>
                <w:rFonts w:ascii="方正小标宋简体" w:hAnsi="仿宋" w:eastAsia="方正小标宋简体" w:cs="宋体"/>
                <w:bCs/>
                <w:color w:val="000000" w:themeColor="text1"/>
                <w:kern w:val="0"/>
                <w:sz w:val="44"/>
                <w:szCs w:val="44"/>
                <w14:textFill>
                  <w14:solidFill>
                    <w14:schemeClr w14:val="tx1"/>
                  </w14:solidFill>
                </w14:textFill>
              </w:rPr>
            </w:pPr>
            <w:r>
              <w:rPr>
                <w:rFonts w:hint="eastAsia" w:ascii="方正小标宋简体" w:hAnsi="仿宋" w:eastAsia="方正小标宋简体" w:cs="宋体"/>
                <w:bCs/>
                <w:color w:val="000000" w:themeColor="text1"/>
                <w:kern w:val="0"/>
                <w:sz w:val="32"/>
                <w:szCs w:val="32"/>
                <w14:textFill>
                  <w14:solidFill>
                    <w14:schemeClr w14:val="tx1"/>
                  </w14:solidFill>
                </w14:textFill>
              </w:rPr>
              <w:t>单位食堂静态风险因素量化分值表</w:t>
            </w:r>
          </w:p>
        </w:tc>
      </w:tr>
      <w:tr>
        <w:tblPrEx>
          <w:tblCellMar>
            <w:top w:w="28" w:type="dxa"/>
            <w:left w:w="28" w:type="dxa"/>
            <w:bottom w:w="28" w:type="dxa"/>
            <w:right w:w="28" w:type="dxa"/>
          </w:tblCellMar>
        </w:tblPrEx>
        <w:trPr>
          <w:trHeight w:val="250" w:hRule="atLeast"/>
        </w:trPr>
        <w:tc>
          <w:tcPr>
            <w:tcW w:w="3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评分项（共40分）</w:t>
            </w:r>
          </w:p>
        </w:tc>
        <w:tc>
          <w:tcPr>
            <w:tcW w:w="62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参考分值</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得分</w:t>
            </w:r>
          </w:p>
        </w:tc>
      </w:tr>
      <w:tr>
        <w:tblPrEx>
          <w:tblCellMar>
            <w:top w:w="28" w:type="dxa"/>
            <w:left w:w="28" w:type="dxa"/>
            <w:bottom w:w="28" w:type="dxa"/>
            <w:right w:w="28" w:type="dxa"/>
          </w:tblCellMar>
        </w:tblPrEx>
        <w:trPr>
          <w:trHeight w:val="559" w:hRule="atLeast"/>
        </w:trPr>
        <w:tc>
          <w:tcPr>
            <w:tcW w:w="187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单位食堂</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规模</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供餐人数</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50人及以下</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供餐人数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51人～300人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供餐人数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301人～500人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供餐人数</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501人及以上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315" w:hRule="atLeast"/>
        </w:trPr>
        <w:tc>
          <w:tcPr>
            <w:tcW w:w="18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570" w:hRule="atLeast"/>
        </w:trPr>
        <w:tc>
          <w:tcPr>
            <w:tcW w:w="18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特殊项</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（5分）</w:t>
            </w:r>
          </w:p>
        </w:tc>
        <w:tc>
          <w:tcPr>
            <w:tcW w:w="29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食品原料采购无固定供应商</w:t>
            </w:r>
          </w:p>
        </w:tc>
        <w:tc>
          <w:tcPr>
            <w:tcW w:w="32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学校（含托幼机构）食堂、养老机构食堂、医疗机构食堂、建筑工地食堂</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140" w:hRule="atLeast"/>
        </w:trPr>
        <w:tc>
          <w:tcPr>
            <w:tcW w:w="18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297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32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制</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作</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食</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品</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的</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类</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别</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和</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量</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(25分)</w:t>
            </w: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冷食类</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食品制售</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（6分）</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单品数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（3分）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11～40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含易腐原料</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11～20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6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生食类</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食品制售</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（6分）</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单品数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（6分）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11～20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5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糕点类食品</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制售，包括</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裱花蛋糕</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（5分）</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单品数</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（2分）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21～40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41及以上</w:t>
            </w:r>
          </w:p>
        </w:tc>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含易腐原料</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11～20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热食类</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食品制售</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（4分）</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单品数</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1～30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31～200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含易腐原料</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21～80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81及以上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自制饮品</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制售</w:t>
            </w:r>
            <w:r>
              <w:rPr>
                <w:rFonts w:hint="eastAsia" w:ascii="仿宋" w:hAnsi="仿宋" w:eastAsia="仿宋" w:cs="仿宋"/>
                <w:color w:val="000000" w:themeColor="text1"/>
                <w:kern w:val="0"/>
                <w:szCs w:val="21"/>
                <w14:textFill>
                  <w14:solidFill>
                    <w14:schemeClr w14:val="tx1"/>
                  </w14:solidFill>
                </w14:textFill>
              </w:rPr>
              <w:br w:type="textWrapping"/>
            </w:r>
            <w:r>
              <w:rPr>
                <w:rFonts w:hint="eastAsia" w:ascii="仿宋" w:hAnsi="仿宋" w:eastAsia="仿宋" w:cs="仿宋"/>
                <w:color w:val="000000" w:themeColor="text1"/>
                <w:kern w:val="0"/>
                <w:szCs w:val="21"/>
                <w14:textFill>
                  <w14:solidFill>
                    <w14:schemeClr w14:val="tx1"/>
                  </w14:solidFill>
                </w14:textFill>
              </w:rPr>
              <w:t>（4分）</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单品数</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6～20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含易腐原料</w:t>
            </w:r>
          </w:p>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6～20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150" w:hRule="atLeast"/>
        </w:trPr>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40" w:hRule="atLeast"/>
        </w:trPr>
        <w:tc>
          <w:tcPr>
            <w:tcW w:w="3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得分总和　</w:t>
            </w:r>
          </w:p>
        </w:tc>
        <w:tc>
          <w:tcPr>
            <w:tcW w:w="68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195"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ind w:left="210" w:hanging="210" w:hangingChars="100"/>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备</w:t>
            </w:r>
          </w:p>
          <w:p>
            <w:pPr>
              <w:widowControl/>
              <w:spacing w:line="200" w:lineRule="exact"/>
              <w:ind w:left="210" w:hanging="210" w:hangingChars="100"/>
              <w:jc w:val="center"/>
              <w:rPr>
                <w:rFonts w:ascii="仿宋" w:hAnsi="仿宋" w:eastAsia="仿宋" w:cs="仿宋"/>
                <w:color w:val="000000" w:themeColor="text1"/>
                <w:kern w:val="0"/>
                <w:szCs w:val="21"/>
                <w14:textFill>
                  <w14:solidFill>
                    <w14:schemeClr w14:val="tx1"/>
                  </w14:solidFill>
                </w14:textFill>
              </w:rPr>
            </w:pPr>
          </w:p>
          <w:p>
            <w:pPr>
              <w:widowControl/>
              <w:spacing w:line="200" w:lineRule="exact"/>
              <w:ind w:left="210" w:hanging="210" w:hangingChars="100"/>
              <w:jc w:val="center"/>
              <w:rPr>
                <w:rFonts w:ascii="仿宋" w:hAnsi="仿宋" w:eastAsia="仿宋" w:cs="仿宋"/>
                <w:color w:val="000000" w:themeColor="text1"/>
                <w:kern w:val="0"/>
                <w:szCs w:val="21"/>
                <w14:textFill>
                  <w14:solidFill>
                    <w14:schemeClr w14:val="tx1"/>
                  </w14:solidFill>
                </w14:textFill>
              </w:rPr>
            </w:pPr>
          </w:p>
          <w:p>
            <w:pPr>
              <w:widowControl/>
              <w:spacing w:line="200" w:lineRule="exact"/>
              <w:ind w:left="210" w:hanging="210" w:hangingChars="100"/>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注</w:t>
            </w:r>
          </w:p>
          <w:p>
            <w:pPr>
              <w:widowControl/>
              <w:spacing w:line="200" w:lineRule="exact"/>
              <w:ind w:left="201" w:leftChars="96" w:firstLine="176" w:firstLineChars="98"/>
              <w:jc w:val="left"/>
              <w:rPr>
                <w:rFonts w:ascii="仿宋" w:hAnsi="仿宋" w:eastAsia="仿宋" w:cs="仿宋"/>
                <w:color w:val="000000" w:themeColor="text1"/>
                <w:kern w:val="0"/>
                <w:sz w:val="18"/>
                <w:szCs w:val="18"/>
                <w14:textFill>
                  <w14:solidFill>
                    <w14:schemeClr w14:val="tx1"/>
                  </w14:solidFill>
                </w14:textFill>
              </w:rPr>
            </w:pPr>
          </w:p>
        </w:tc>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ind w:left="180" w:hanging="180" w:hangingChars="100"/>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1.单位食堂,指设于机关、事业单位、社会团体、民办非企业单位、企业等，供应内部职工、学生等集中就餐的餐饮服务提供者。</w:t>
            </w:r>
          </w:p>
          <w:p>
            <w:pPr>
              <w:widowControl/>
              <w:spacing w:line="200" w:lineRule="exact"/>
              <w:ind w:left="180" w:hanging="180" w:hangingChars="100"/>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2.各项评分总和为40分。因实际情况存在缺项情形的，该项评分为“0”。特殊项得分为各特殊项分值累加。</w:t>
            </w:r>
          </w:p>
          <w:p>
            <w:pPr>
              <w:widowControl/>
              <w:spacing w:line="200" w:lineRule="exact"/>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3.数量单位为“个”</w:t>
            </w:r>
            <w:r>
              <w:rPr>
                <w:rFonts w:hint="eastAsia" w:ascii="仿宋" w:hAnsi="仿宋" w:eastAsia="仿宋" w:cs="仿宋"/>
                <w:color w:val="000000" w:themeColor="text1"/>
                <w:kern w:val="0"/>
                <w:sz w:val="18"/>
                <w:szCs w:val="18"/>
                <w14:textFill>
                  <w14:solidFill>
                    <w14:schemeClr w14:val="tx1"/>
                  </w14:solidFill>
                </w14:textFill>
              </w:rPr>
              <w:t>。</w:t>
            </w:r>
          </w:p>
          <w:p>
            <w:pPr>
              <w:widowControl/>
              <w:spacing w:line="200" w:lineRule="exact"/>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4</w:t>
            </w:r>
            <w:r>
              <w:rPr>
                <w:rFonts w:hint="eastAsia" w:ascii="仿宋" w:hAnsi="仿宋" w:eastAsia="仿宋" w:cs="仿宋"/>
                <w:color w:val="000000" w:themeColor="text1"/>
                <w:kern w:val="0"/>
                <w:sz w:val="18"/>
                <w:szCs w:val="18"/>
                <w14:textFill>
                  <w14:solidFill>
                    <w14:schemeClr w14:val="tx1"/>
                  </w14:solidFill>
                </w14:textFill>
              </w:rPr>
              <w:t>.</w:t>
            </w:r>
            <w:r>
              <w:rPr>
                <w:rFonts w:ascii="仿宋" w:hAnsi="仿宋" w:eastAsia="仿宋" w:cs="仿宋"/>
                <w:color w:val="000000" w:themeColor="text1"/>
                <w:kern w:val="0"/>
                <w:sz w:val="18"/>
                <w:szCs w:val="18"/>
                <w14:textFill>
                  <w14:solidFill>
                    <w14:schemeClr w14:val="tx1"/>
                  </w14:solidFill>
                </w14:textFill>
              </w:rPr>
              <w:t>单品数是指最新菜单中所展示的独立销售的食品品种数,不含制作过程中各类食品原料和半成品数量。</w:t>
            </w:r>
          </w:p>
          <w:p>
            <w:pPr>
              <w:widowControl/>
              <w:spacing w:line="200" w:lineRule="exact"/>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5.具有热食、冷食、生食等多种情形,难以明确归类的食品，可按食品安全风险等级最高的情形进行归类。</w:t>
            </w:r>
          </w:p>
          <w:p>
            <w:pPr>
              <w:widowControl/>
              <w:spacing w:line="200" w:lineRule="exact"/>
              <w:ind w:left="180" w:hanging="180" w:hangingChars="100"/>
              <w:jc w:val="left"/>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6.易腐原料是指蛋白质或碳水化合物含量较高，通常pH大于4.6且水分活度大于0.85，需要控制温度和时间以防止腐败变质和细菌生长、繁殖、产毒的食品。如乳、蛋、禽、畜、水产品等动物源性食品（含）及豆制品等。</w:t>
            </w:r>
          </w:p>
        </w:tc>
      </w:tr>
    </w:tbl>
    <w:p>
      <w:pPr>
        <w:rPr>
          <w:color w:val="000000" w:themeColor="text1"/>
          <w14:textFill>
            <w14:solidFill>
              <w14:schemeClr w14:val="tx1"/>
            </w14:solidFill>
          </w14:textFill>
        </w:rPr>
      </w:pPr>
    </w:p>
    <w:p>
      <w:pPr>
        <w:widowControl/>
        <w:shd w:val="clear" w:color="auto" w:fill="FFFFFF"/>
        <w:spacing w:line="400" w:lineRule="exact"/>
        <w:jc w:val="left"/>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p>
      <w:pPr>
        <w:widowControl/>
        <w:shd w:val="clear" w:color="auto" w:fill="FFFFFF"/>
        <w:spacing w:line="390" w:lineRule="atLeast"/>
        <w:rPr>
          <w:rFonts w:hint="eastAsia" w:ascii="方正小标宋简体" w:hAnsi="仿宋" w:eastAsia="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5</w:t>
      </w:r>
    </w:p>
    <w:p>
      <w:pPr>
        <w:widowControl/>
        <w:shd w:val="clear" w:color="auto" w:fill="FFFFFF"/>
        <w:spacing w:line="400" w:lineRule="exact"/>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集中交易市场开办者静态风险因素量化分值表</w:t>
      </w:r>
    </w:p>
    <w:p>
      <w:pPr>
        <w:spacing w:line="240" w:lineRule="exact"/>
        <w:rPr>
          <w:rFonts w:ascii="仿宋" w:hAnsi="仿宋" w:eastAsia="仿宋"/>
          <w:color w:val="000000" w:themeColor="text1"/>
          <w:sz w:val="20"/>
          <w:szCs w:val="20"/>
          <w14:textFill>
            <w14:solidFill>
              <w14:schemeClr w14:val="tx1"/>
            </w14:solidFill>
          </w14:textFill>
        </w:rPr>
      </w:pPr>
    </w:p>
    <w:tbl>
      <w:tblPr>
        <w:tblStyle w:val="7"/>
        <w:tblW w:w="10109" w:type="dxa"/>
        <w:jc w:val="center"/>
        <w:tblLayout w:type="fixed"/>
        <w:tblCellMar>
          <w:top w:w="0" w:type="dxa"/>
          <w:left w:w="108" w:type="dxa"/>
          <w:bottom w:w="0" w:type="dxa"/>
          <w:right w:w="108" w:type="dxa"/>
        </w:tblCellMar>
      </w:tblPr>
      <w:tblGrid>
        <w:gridCol w:w="754"/>
        <w:gridCol w:w="1577"/>
        <w:gridCol w:w="851"/>
        <w:gridCol w:w="910"/>
        <w:gridCol w:w="845"/>
        <w:gridCol w:w="727"/>
        <w:gridCol w:w="1193"/>
        <w:gridCol w:w="596"/>
        <w:gridCol w:w="597"/>
        <w:gridCol w:w="1193"/>
        <w:gridCol w:w="866"/>
      </w:tblGrid>
      <w:tr>
        <w:tblPrEx>
          <w:tblCellMar>
            <w:top w:w="0" w:type="dxa"/>
            <w:left w:w="108" w:type="dxa"/>
            <w:bottom w:w="0" w:type="dxa"/>
            <w:right w:w="108" w:type="dxa"/>
          </w:tblCellMar>
        </w:tblPrEx>
        <w:trPr>
          <w:trHeight w:val="456" w:hRule="atLeast"/>
          <w:jc w:val="center"/>
        </w:trPr>
        <w:tc>
          <w:tcPr>
            <w:tcW w:w="754" w:type="dxa"/>
            <w:tcBorders>
              <w:top w:val="single" w:color="auto" w:sz="4" w:space="0"/>
              <w:left w:val="single" w:color="auto" w:sz="4" w:space="0"/>
              <w:bottom w:val="single" w:color="auto" w:sz="4" w:space="0"/>
              <w:right w:val="nil"/>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序号</w:t>
            </w:r>
          </w:p>
        </w:tc>
        <w:tc>
          <w:tcPr>
            <w:tcW w:w="4183"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评分项（共40分）</w:t>
            </w:r>
          </w:p>
        </w:tc>
        <w:tc>
          <w:tcPr>
            <w:tcW w:w="4306"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参考分值</w:t>
            </w:r>
          </w:p>
        </w:tc>
        <w:tc>
          <w:tcPr>
            <w:tcW w:w="8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得分</w:t>
            </w:r>
          </w:p>
        </w:tc>
      </w:tr>
      <w:tr>
        <w:tblPrEx>
          <w:tblCellMar>
            <w:top w:w="0" w:type="dxa"/>
            <w:left w:w="108" w:type="dxa"/>
            <w:bottom w:w="0" w:type="dxa"/>
            <w:right w:w="108" w:type="dxa"/>
          </w:tblCellMar>
        </w:tblPrEx>
        <w:trPr>
          <w:trHeight w:val="78" w:hRule="atLeast"/>
          <w:jc w:val="center"/>
        </w:trPr>
        <w:tc>
          <w:tcPr>
            <w:tcW w:w="754"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4183"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集中交易市场类型</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（10分）</w:t>
            </w:r>
          </w:p>
        </w:tc>
        <w:tc>
          <w:tcPr>
            <w:tcW w:w="727" w:type="dxa"/>
            <w:tcBorders>
              <w:top w:val="nil"/>
              <w:left w:val="nil"/>
              <w:bottom w:val="single" w:color="auto" w:sz="4" w:space="0"/>
              <w:right w:val="nil"/>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类型</w:t>
            </w:r>
          </w:p>
        </w:tc>
        <w:tc>
          <w:tcPr>
            <w:tcW w:w="1789"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批发市场</w:t>
            </w:r>
          </w:p>
        </w:tc>
        <w:tc>
          <w:tcPr>
            <w:tcW w:w="179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零售市场</w:t>
            </w:r>
          </w:p>
        </w:tc>
        <w:tc>
          <w:tcPr>
            <w:tcW w:w="86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146" w:hRule="atLeast"/>
          <w:jc w:val="center"/>
        </w:trPr>
        <w:tc>
          <w:tcPr>
            <w:tcW w:w="75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4183"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nil"/>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789"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w:t>
            </w:r>
          </w:p>
        </w:tc>
        <w:tc>
          <w:tcPr>
            <w:tcW w:w="179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8</w:t>
            </w:r>
          </w:p>
        </w:tc>
        <w:tc>
          <w:tcPr>
            <w:tcW w:w="866"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15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入场销售</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者数量</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（5分）</w:t>
            </w:r>
          </w:p>
        </w:tc>
        <w:tc>
          <w:tcPr>
            <w:tcW w:w="2606"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批发</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606"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866"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606"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零售</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606"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8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157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入场销售者</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在售食品种类</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（10分）</w:t>
            </w:r>
          </w:p>
        </w:tc>
        <w:tc>
          <w:tcPr>
            <w:tcW w:w="851"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进口　（5分）</w:t>
            </w:r>
          </w:p>
        </w:tc>
        <w:tc>
          <w:tcPr>
            <w:tcW w:w="1755"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预包装食品</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散装食品</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特殊食品</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国产　（5分）</w:t>
            </w:r>
          </w:p>
        </w:tc>
        <w:tc>
          <w:tcPr>
            <w:tcW w:w="1755"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预包装食品</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散装食品</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特殊食品</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11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c>
          <w:tcPr>
            <w:tcW w:w="1577"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入场食用农产品销售者数量</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（15分）</w:t>
            </w:r>
          </w:p>
        </w:tc>
        <w:tc>
          <w:tcPr>
            <w:tcW w:w="851"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进口　　（9分）</w:t>
            </w:r>
          </w:p>
        </w:tc>
        <w:tc>
          <w:tcPr>
            <w:tcW w:w="91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畜禽</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产品</w:t>
            </w:r>
          </w:p>
          <w:p>
            <w:pPr>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（5分）</w:t>
            </w:r>
          </w:p>
        </w:tc>
        <w:tc>
          <w:tcPr>
            <w:tcW w:w="84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t>冷藏冷冻（4分）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11以上</w:t>
            </w:r>
          </w:p>
        </w:tc>
        <w:tc>
          <w:tcPr>
            <w:tcW w:w="866"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239" w:hRule="atLeast"/>
          <w:jc w:val="center"/>
        </w:trPr>
        <w:tc>
          <w:tcPr>
            <w:tcW w:w="754" w:type="dxa"/>
            <w:vMerge w:val="continue"/>
            <w:tcBorders>
              <w:left w:val="single" w:color="auto" w:sz="4" w:space="0"/>
              <w:bottom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bottom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bottom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bottom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18"/>
                <w:szCs w:val="18"/>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c>
          <w:tcPr>
            <w:tcW w:w="866" w:type="dxa"/>
            <w:vMerge w:val="continue"/>
            <w:tcBorders>
              <w:left w:val="single" w:color="auto" w:sz="4" w:space="0"/>
              <w:bottom w:val="single" w:color="000000"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14:textFill>
                  <w14:solidFill>
                    <w14:schemeClr w14:val="tx1"/>
                  </w14:solidFill>
                </w14:textFill>
              </w:rPr>
              <w:t>常温</w:t>
            </w:r>
          </w:p>
          <w:p>
            <w:pPr>
              <w:spacing w:line="240" w:lineRule="exact"/>
              <w:jc w:val="center"/>
              <w:rPr>
                <w:rFonts w:hint="eastAsia" w:ascii="仿宋_GB2312" w:hAnsi="仿宋_GB2312" w:eastAsia="仿宋_GB2312" w:cs="仿宋_GB2312"/>
                <w:b w:val="0"/>
                <w:bCs/>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14:textFill>
                  <w14:solidFill>
                    <w14:schemeClr w14:val="tx1"/>
                  </w14:solidFill>
                </w14:textFill>
              </w:rPr>
              <w:t>（1分）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11以上</w:t>
            </w:r>
          </w:p>
        </w:tc>
        <w:tc>
          <w:tcPr>
            <w:tcW w:w="86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866"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r>
              <w:rPr>
                <w:rFonts w:hint="eastAsia" w:ascii="仿宋_GB2312" w:hAnsi="仿宋_GB2312" w:eastAsia="仿宋_GB2312" w:cs="仿宋_GB2312"/>
                <w:b w:val="0"/>
                <w:bCs/>
                <w:color w:val="000000" w:themeColor="text1"/>
                <w:kern w:val="0"/>
                <w:sz w:val="21"/>
                <w:szCs w:val="21"/>
                <w14:textFill>
                  <w14:solidFill>
                    <w14:schemeClr w14:val="tx1"/>
                  </w14:solidFill>
                </w14:textFill>
              </w:rPr>
              <w:t>水产品　</w:t>
            </w:r>
          </w:p>
          <w:p>
            <w:pPr>
              <w:widowControl/>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r>
              <w:rPr>
                <w:rFonts w:hint="eastAsia" w:ascii="仿宋_GB2312" w:hAnsi="仿宋_GB2312" w:eastAsia="仿宋_GB2312" w:cs="仿宋_GB2312"/>
                <w:b w:val="0"/>
                <w:bCs/>
                <w:color w:val="000000" w:themeColor="text1"/>
                <w:kern w:val="0"/>
                <w:sz w:val="21"/>
                <w:szCs w:val="21"/>
                <w14:textFill>
                  <w14:solidFill>
                    <w14:schemeClr w14:val="tx1"/>
                  </w14:solidFill>
                </w14:textFill>
              </w:rPr>
              <w:t>（2.5分）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nil"/>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2.5</w:t>
            </w:r>
          </w:p>
        </w:tc>
        <w:tc>
          <w:tcPr>
            <w:tcW w:w="866"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r>
              <w:rPr>
                <w:rFonts w:hint="eastAsia" w:ascii="仿宋_GB2312" w:hAnsi="仿宋_GB2312" w:eastAsia="仿宋_GB2312" w:cs="仿宋_GB2312"/>
                <w:b w:val="0"/>
                <w:bCs/>
                <w:color w:val="000000" w:themeColor="text1"/>
                <w:kern w:val="0"/>
                <w:sz w:val="21"/>
                <w:szCs w:val="21"/>
                <w14:textFill>
                  <w14:solidFill>
                    <w14:schemeClr w14:val="tx1"/>
                  </w14:solidFill>
                </w14:textFill>
              </w:rPr>
              <w:t>果蔬类　　</w:t>
            </w:r>
          </w:p>
          <w:p>
            <w:pPr>
              <w:widowControl/>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r>
              <w:rPr>
                <w:rFonts w:hint="eastAsia" w:ascii="仿宋_GB2312" w:hAnsi="仿宋_GB2312" w:eastAsia="仿宋_GB2312" w:cs="仿宋_GB2312"/>
                <w:b w:val="0"/>
                <w:bCs/>
                <w:color w:val="000000" w:themeColor="text1"/>
                <w:kern w:val="0"/>
                <w:sz w:val="21"/>
                <w:szCs w:val="21"/>
                <w14:textFill>
                  <w14:solidFill>
                    <w14:schemeClr w14:val="tx1"/>
                  </w14:solidFill>
                </w14:textFill>
              </w:rPr>
              <w:t>（1.5分）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nil"/>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86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国产　（6分）</w:t>
            </w:r>
          </w:p>
        </w:tc>
        <w:tc>
          <w:tcPr>
            <w:tcW w:w="91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畜禽</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产品</w:t>
            </w:r>
          </w:p>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（3分）</w:t>
            </w:r>
          </w:p>
        </w:tc>
        <w:tc>
          <w:tcPr>
            <w:tcW w:w="84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t>冷藏冷冻（2分）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11以上</w:t>
            </w:r>
          </w:p>
        </w:tc>
        <w:tc>
          <w:tcPr>
            <w:tcW w:w="86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145" w:hRule="atLeast"/>
          <w:jc w:val="center"/>
        </w:trPr>
        <w:tc>
          <w:tcPr>
            <w:tcW w:w="754" w:type="dxa"/>
            <w:vMerge w:val="continue"/>
            <w:tcBorders>
              <w:left w:val="single" w:color="auto" w:sz="4" w:space="0"/>
              <w:bottom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bottom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bottom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86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restart"/>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t>常温</w:t>
            </w:r>
          </w:p>
          <w:p>
            <w:pPr>
              <w:spacing w:line="240" w:lineRule="exact"/>
              <w:jc w:val="cente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pPr>
            <w:r>
              <w:rPr>
                <w:rFonts w:hint="eastAsia" w:ascii="仿宋_GB2312" w:hAnsi="仿宋_GB2312" w:eastAsia="仿宋_GB2312" w:cs="仿宋_GB2312"/>
                <w:b w:val="0"/>
                <w:bCs/>
                <w:color w:val="000000" w:themeColor="text1"/>
                <w:spacing w:val="-20"/>
                <w:kern w:val="0"/>
                <w:sz w:val="18"/>
                <w:szCs w:val="18"/>
                <w14:textFill>
                  <w14:solidFill>
                    <w14:schemeClr w14:val="tx1"/>
                  </w14:solidFill>
                </w14:textFill>
              </w:rPr>
              <w:t>（1分）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11以上</w:t>
            </w:r>
          </w:p>
        </w:tc>
        <w:tc>
          <w:tcPr>
            <w:tcW w:w="866"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254"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4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7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7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86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水产品　</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（2分）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86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果蔬　　</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（1分）</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10以下</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11－50</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51以上</w:t>
            </w:r>
          </w:p>
        </w:tc>
        <w:tc>
          <w:tcPr>
            <w:tcW w:w="866"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5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77"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7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0.5</w:t>
            </w:r>
          </w:p>
        </w:tc>
        <w:tc>
          <w:tcPr>
            <w:tcW w:w="11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0.8</w:t>
            </w:r>
          </w:p>
        </w:tc>
        <w:tc>
          <w:tcPr>
            <w:tcW w:w="11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86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35" w:hRule="atLeast"/>
          <w:jc w:val="center"/>
        </w:trPr>
        <w:tc>
          <w:tcPr>
            <w:tcW w:w="4937"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得分总和</w:t>
            </w:r>
          </w:p>
        </w:tc>
        <w:tc>
          <w:tcPr>
            <w:tcW w:w="517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1785"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备注</w:t>
            </w:r>
          </w:p>
          <w:p>
            <w:pPr>
              <w:widowControl/>
              <w:spacing w:line="200" w:lineRule="exact"/>
              <w:ind w:left="811" w:leftChars="286" w:hanging="210" w:hangingChars="100"/>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ind w:left="811" w:leftChars="286" w:hanging="210" w:hangingChars="100"/>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ind w:left="811" w:leftChars="286" w:hanging="210" w:hangingChars="100"/>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ind w:left="811" w:leftChars="286" w:hanging="210" w:hangingChars="100"/>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ind w:left="813" w:leftChars="287" w:hanging="210" w:hangingChars="100"/>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p>
            <w:pPr>
              <w:widowControl/>
              <w:spacing w:line="200" w:lineRule="exact"/>
              <w:jc w:val="center"/>
              <w:rPr>
                <w:rFonts w:hint="eastAsia" w:ascii="仿宋_GB2312" w:hAnsi="仿宋_GB2312" w:eastAsia="仿宋_GB2312" w:cs="仿宋_GB2312"/>
                <w:color w:val="000000" w:themeColor="text1"/>
                <w:kern w:val="0"/>
                <w:sz w:val="21"/>
                <w:szCs w:val="21"/>
                <w:highlight w:val="yellow"/>
                <w14:textFill>
                  <w14:solidFill>
                    <w14:schemeClr w14:val="tx1"/>
                  </w14:solidFill>
                </w14:textFill>
              </w:rPr>
            </w:pPr>
          </w:p>
        </w:tc>
        <w:tc>
          <w:tcPr>
            <w:tcW w:w="93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1.集中交易市场开办者是指依法设立、为</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食品（食用农产品）</w:t>
            </w:r>
            <w:r>
              <w:rPr>
                <w:rFonts w:hint="eastAsia" w:ascii="仿宋_GB2312" w:hAnsi="仿宋_GB2312" w:eastAsia="仿宋_GB2312" w:cs="仿宋_GB2312"/>
                <w:color w:val="000000" w:themeColor="text1"/>
                <w:kern w:val="0"/>
                <w:sz w:val="21"/>
                <w:szCs w:val="21"/>
                <w14:textFill>
                  <w14:solidFill>
                    <w14:schemeClr w14:val="tx1"/>
                  </w14:solidFill>
                </w14:textFill>
              </w:rPr>
              <w:t>交易提供平台、场地、设施、服务以及日常管理的企业法人或者其他组织。</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2.集中交易市场是指由集中交易市场开办者经营管理、多个场内经营者集中进行现货</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食品（食用农产品）</w:t>
            </w:r>
            <w:r>
              <w:rPr>
                <w:rFonts w:hint="eastAsia" w:ascii="仿宋_GB2312" w:hAnsi="仿宋_GB2312" w:eastAsia="仿宋_GB2312" w:cs="仿宋_GB2312"/>
                <w:color w:val="000000" w:themeColor="text1"/>
                <w:kern w:val="0"/>
                <w:sz w:val="21"/>
                <w:szCs w:val="21"/>
                <w14:textFill>
                  <w14:solidFill>
                    <w14:schemeClr w14:val="tx1"/>
                  </w14:solidFill>
                </w14:textFill>
              </w:rPr>
              <w:t>交易的固定场所。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3.属于一家市场开办者开办多个市场的情形的，将具体市场作为实施风险分级的工作对象。</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4.各评分总和为40分，评分项因实际情况评分项因实际情况同时存在多种选项的，得分为累加分；缺项的，得分为“0”。</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5.“得分”栏各项得分按实际分值填写，可以有小数，但得分总和，应四舍五入取整。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21"/>
                <w:szCs w:val="21"/>
                <w:highlight w:val="yellow"/>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6.“以上”、“以下”均包含本数。</w:t>
            </w:r>
          </w:p>
        </w:tc>
      </w:tr>
    </w:tbl>
    <w:p>
      <w:pPr>
        <w:rPr>
          <w:color w:val="000000" w:themeColor="text1"/>
          <w14:textFill>
            <w14:solidFill>
              <w14:schemeClr w14:val="tx1"/>
            </w14:solidFill>
          </w14:textFill>
        </w:rPr>
      </w:pPr>
    </w:p>
    <w:p>
      <w:pPr>
        <w:widowControl/>
        <w:shd w:val="clear" w:color="auto" w:fill="FFFFFF"/>
        <w:spacing w:line="400" w:lineRule="exact"/>
        <w:rPr>
          <w:rFonts w:hint="eastAsia" w:ascii="方正小标宋简体" w:hAnsi="黑体" w:eastAsia="黑体"/>
          <w:color w:val="000000" w:themeColor="text1"/>
          <w:kern w:val="0"/>
          <w:sz w:val="32"/>
          <w:szCs w:val="32"/>
          <w:lang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6</w:t>
      </w:r>
    </w:p>
    <w:p>
      <w:pPr>
        <w:widowControl/>
        <w:shd w:val="clear" w:color="auto" w:fill="FFFFFF"/>
        <w:spacing w:line="400" w:lineRule="exact"/>
        <w:jc w:val="center"/>
        <w:rPr>
          <w:rFonts w:ascii="方正小标宋简体" w:hAnsi="Times New Roman" w:eastAsia="方正小标宋简体"/>
          <w:color w:val="000000" w:themeColor="text1"/>
          <w:kern w:val="0"/>
          <w:sz w:val="32"/>
          <w:szCs w:val="32"/>
          <w14:textFill>
            <w14:solidFill>
              <w14:schemeClr w14:val="tx1"/>
            </w14:solidFill>
          </w14:textFill>
        </w:rPr>
      </w:pPr>
      <w:r>
        <w:rPr>
          <w:rFonts w:hint="eastAsia" w:ascii="方正小标宋简体" w:hAnsi="Times New Roman" w:eastAsia="方正小标宋简体"/>
          <w:color w:val="000000" w:themeColor="text1"/>
          <w:kern w:val="0"/>
          <w:sz w:val="32"/>
          <w:szCs w:val="32"/>
          <w14:textFill>
            <w14:solidFill>
              <w14:schemeClr w14:val="tx1"/>
            </w14:solidFill>
          </w14:textFill>
        </w:rPr>
        <w:t>网络食品交易第三方平台提供者</w:t>
      </w:r>
    </w:p>
    <w:p>
      <w:pPr>
        <w:widowControl/>
        <w:shd w:val="clear" w:color="auto" w:fill="FFFFFF"/>
        <w:spacing w:line="400" w:lineRule="exact"/>
        <w:jc w:val="center"/>
        <w:rPr>
          <w:rFonts w:ascii="方正小标宋简体" w:hAnsi="宋体" w:eastAsia="方正小标宋简体"/>
          <w:color w:val="000000" w:themeColor="text1"/>
          <w:kern w:val="0"/>
          <w:sz w:val="32"/>
          <w:szCs w:val="32"/>
          <w14:textFill>
            <w14:solidFill>
              <w14:schemeClr w14:val="tx1"/>
            </w14:solidFill>
          </w14:textFill>
        </w:rPr>
      </w:pPr>
      <w:r>
        <w:rPr>
          <w:rFonts w:hint="eastAsia" w:ascii="方正小标宋简体" w:hAnsi="宋体" w:eastAsia="方正小标宋简体"/>
          <w:color w:val="000000" w:themeColor="text1"/>
          <w:kern w:val="0"/>
          <w:sz w:val="32"/>
          <w:szCs w:val="32"/>
          <w14:textFill>
            <w14:solidFill>
              <w14:schemeClr w14:val="tx1"/>
            </w14:solidFill>
          </w14:textFill>
        </w:rPr>
        <w:t>静态风险因素量化分值表</w:t>
      </w:r>
    </w:p>
    <w:p>
      <w:pPr>
        <w:widowControl/>
        <w:spacing w:line="240" w:lineRule="exact"/>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w:t>
      </w:r>
    </w:p>
    <w:tbl>
      <w:tblPr>
        <w:tblStyle w:val="7"/>
        <w:tblW w:w="9844" w:type="dxa"/>
        <w:jc w:val="center"/>
        <w:tblLayout w:type="fixed"/>
        <w:tblCellMar>
          <w:top w:w="0" w:type="dxa"/>
          <w:left w:w="108" w:type="dxa"/>
          <w:bottom w:w="0" w:type="dxa"/>
          <w:right w:w="108" w:type="dxa"/>
        </w:tblCellMar>
      </w:tblPr>
      <w:tblGrid>
        <w:gridCol w:w="821"/>
        <w:gridCol w:w="2440"/>
        <w:gridCol w:w="709"/>
        <w:gridCol w:w="850"/>
        <w:gridCol w:w="992"/>
        <w:gridCol w:w="426"/>
        <w:gridCol w:w="567"/>
        <w:gridCol w:w="850"/>
        <w:gridCol w:w="1276"/>
        <w:gridCol w:w="913"/>
      </w:tblGrid>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nil"/>
            </w:tcBorders>
            <w:noWrap w:val="0"/>
            <w:vAlign w:val="center"/>
          </w:tcPr>
          <w:p>
            <w:pPr>
              <w:widowControl/>
              <w:jc w:val="center"/>
              <w:rPr>
                <w:rFonts w:hint="eastAsia" w:ascii="黑体" w:hAnsi="黑体" w:eastAsia="黑体" w:cs="黑体"/>
                <w:b w:val="0"/>
                <w:bCs/>
                <w:color w:val="000000" w:themeColor="text1"/>
                <w:kern w:val="0"/>
                <w:sz w:val="24"/>
                <w14:textFill>
                  <w14:solidFill>
                    <w14:schemeClr w14:val="tx1"/>
                  </w14:solidFill>
                </w14:textFill>
              </w:rPr>
            </w:pPr>
            <w:r>
              <w:rPr>
                <w:rFonts w:hint="eastAsia" w:ascii="黑体" w:hAnsi="黑体" w:eastAsia="黑体" w:cs="黑体"/>
                <w:b w:val="0"/>
                <w:bCs/>
                <w:color w:val="000000" w:themeColor="text1"/>
                <w:kern w:val="0"/>
                <w:sz w:val="24"/>
                <w14:textFill>
                  <w14:solidFill>
                    <w14:schemeClr w14:val="tx1"/>
                  </w14:solidFill>
                </w14:textFill>
              </w:rPr>
              <w:t>序号</w:t>
            </w:r>
          </w:p>
        </w:tc>
        <w:tc>
          <w:tcPr>
            <w:tcW w:w="2440"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黑体" w:hAnsi="黑体" w:eastAsia="黑体" w:cs="黑体"/>
                <w:b w:val="0"/>
                <w:bCs/>
                <w:color w:val="000000" w:themeColor="text1"/>
                <w:kern w:val="0"/>
                <w:sz w:val="24"/>
                <w14:textFill>
                  <w14:solidFill>
                    <w14:schemeClr w14:val="tx1"/>
                  </w14:solidFill>
                </w14:textFill>
              </w:rPr>
            </w:pPr>
            <w:r>
              <w:rPr>
                <w:rFonts w:hint="eastAsia" w:ascii="黑体" w:hAnsi="黑体" w:eastAsia="黑体" w:cs="黑体"/>
                <w:b w:val="0"/>
                <w:bCs/>
                <w:color w:val="000000" w:themeColor="text1"/>
                <w:kern w:val="0"/>
                <w:sz w:val="24"/>
                <w14:textFill>
                  <w14:solidFill>
                    <w14:schemeClr w14:val="tx1"/>
                  </w14:solidFill>
                </w14:textFill>
              </w:rPr>
              <w:t>评分项（共40分）</w:t>
            </w:r>
          </w:p>
        </w:tc>
        <w:tc>
          <w:tcPr>
            <w:tcW w:w="5670" w:type="dxa"/>
            <w:gridSpan w:val="7"/>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color w:val="000000" w:themeColor="text1"/>
                <w:kern w:val="0"/>
                <w:sz w:val="24"/>
                <w14:textFill>
                  <w14:solidFill>
                    <w14:schemeClr w14:val="tx1"/>
                  </w14:solidFill>
                </w14:textFill>
              </w:rPr>
            </w:pPr>
            <w:r>
              <w:rPr>
                <w:rFonts w:hint="eastAsia" w:ascii="黑体" w:hAnsi="黑体" w:eastAsia="黑体" w:cs="黑体"/>
                <w:b w:val="0"/>
                <w:bCs/>
                <w:color w:val="000000" w:themeColor="text1"/>
                <w:kern w:val="0"/>
                <w:sz w:val="24"/>
                <w14:textFill>
                  <w14:solidFill>
                    <w14:schemeClr w14:val="tx1"/>
                  </w14:solidFill>
                </w14:textFill>
              </w:rPr>
              <w:t>参考分值</w:t>
            </w:r>
          </w:p>
        </w:tc>
        <w:tc>
          <w:tcPr>
            <w:tcW w:w="9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color w:val="000000" w:themeColor="text1"/>
                <w:kern w:val="0"/>
                <w:sz w:val="24"/>
                <w14:textFill>
                  <w14:solidFill>
                    <w14:schemeClr w14:val="tx1"/>
                  </w14:solidFill>
                </w14:textFill>
              </w:rPr>
            </w:pPr>
            <w:r>
              <w:rPr>
                <w:rFonts w:hint="eastAsia" w:ascii="黑体" w:hAnsi="黑体" w:eastAsia="黑体" w:cs="黑体"/>
                <w:b w:val="0"/>
                <w:bCs/>
                <w:color w:val="000000" w:themeColor="text1"/>
                <w:kern w:val="0"/>
                <w:sz w:val="24"/>
                <w14:textFill>
                  <w14:solidFill>
                    <w14:schemeClr w14:val="tx1"/>
                  </w14:solidFill>
                </w14:textFill>
              </w:rPr>
              <w:t>得分</w:t>
            </w:r>
          </w:p>
        </w:tc>
      </w:tr>
      <w:tr>
        <w:tblPrEx>
          <w:tblCellMar>
            <w:top w:w="0" w:type="dxa"/>
            <w:left w:w="108" w:type="dxa"/>
            <w:bottom w:w="0" w:type="dxa"/>
            <w:right w:w="108" w:type="dxa"/>
          </w:tblCellMar>
        </w:tblPrEx>
        <w:trPr>
          <w:trHeight w:val="470" w:hRule="atLeast"/>
          <w:jc w:val="center"/>
        </w:trPr>
        <w:tc>
          <w:tcPr>
            <w:tcW w:w="82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2440"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网络食品交易</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第三方平台类型</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（10分）</w:t>
            </w:r>
          </w:p>
        </w:tc>
        <w:tc>
          <w:tcPr>
            <w:tcW w:w="155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类型</w:t>
            </w:r>
          </w:p>
        </w:tc>
        <w:tc>
          <w:tcPr>
            <w:tcW w:w="1418"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食品</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食用农产品</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餐饮服务</w:t>
            </w:r>
          </w:p>
        </w:tc>
        <w:tc>
          <w:tcPr>
            <w:tcW w:w="913"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9" w:hRule="atLeast"/>
          <w:jc w:val="center"/>
        </w:trPr>
        <w:tc>
          <w:tcPr>
            <w:tcW w:w="8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418"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141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w:t>
            </w:r>
          </w:p>
        </w:tc>
        <w:tc>
          <w:tcPr>
            <w:tcW w:w="913"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13" w:hRule="atLeast"/>
          <w:jc w:val="center"/>
        </w:trPr>
        <w:tc>
          <w:tcPr>
            <w:tcW w:w="82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2440"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入网销售者</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（餐饮服务经营者）数量（5分）</w:t>
            </w:r>
          </w:p>
        </w:tc>
        <w:tc>
          <w:tcPr>
            <w:tcW w:w="155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户数</w:t>
            </w:r>
          </w:p>
        </w:tc>
        <w:tc>
          <w:tcPr>
            <w:tcW w:w="14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5000以下</w:t>
            </w:r>
          </w:p>
        </w:tc>
        <w:tc>
          <w:tcPr>
            <w:tcW w:w="14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5001-10000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10001以上</w:t>
            </w:r>
          </w:p>
        </w:tc>
        <w:tc>
          <w:tcPr>
            <w:tcW w:w="913"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19" w:hRule="atLeast"/>
          <w:jc w:val="center"/>
        </w:trPr>
        <w:tc>
          <w:tcPr>
            <w:tcW w:w="821"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1418"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1417"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w:t>
            </w:r>
          </w:p>
        </w:tc>
        <w:tc>
          <w:tcPr>
            <w:tcW w:w="91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90" w:hRule="atLeast"/>
          <w:jc w:val="center"/>
        </w:trPr>
        <w:tc>
          <w:tcPr>
            <w:tcW w:w="821"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2440"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入网销售者在售食品</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（食用农产品）种类</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（12分）</w:t>
            </w: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类别</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90"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食品</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（6分）</w:t>
            </w: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预包装食品</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38"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散装食品</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特殊食品</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68"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食用农产品</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（6分）</w:t>
            </w:r>
          </w:p>
        </w:tc>
        <w:tc>
          <w:tcPr>
            <w:tcW w:w="1418" w:type="dxa"/>
            <w:gridSpan w:val="2"/>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畜禽产品</w:t>
            </w:r>
          </w:p>
        </w:tc>
        <w:tc>
          <w:tcPr>
            <w:tcW w:w="2693" w:type="dxa"/>
            <w:gridSpan w:val="3"/>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91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90"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水产品　</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90" w:hRule="atLeast"/>
          <w:jc w:val="center"/>
        </w:trPr>
        <w:tc>
          <w:tcPr>
            <w:tcW w:w="82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559"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果蔬类　　</w:t>
            </w:r>
          </w:p>
        </w:tc>
        <w:tc>
          <w:tcPr>
            <w:tcW w:w="26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08" w:hRule="atLeast"/>
          <w:jc w:val="center"/>
        </w:trPr>
        <w:tc>
          <w:tcPr>
            <w:tcW w:w="82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c>
          <w:tcPr>
            <w:tcW w:w="24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入网餐饮服务经营者</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在售食品种类</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（13分）</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类别</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热食类</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冷食类</w:t>
            </w:r>
          </w:p>
        </w:tc>
        <w:tc>
          <w:tcPr>
            <w:tcW w:w="99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生食类</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糕点类</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自制饮品</w:t>
            </w:r>
          </w:p>
        </w:tc>
        <w:tc>
          <w:tcPr>
            <w:tcW w:w="913"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31" w:hRule="atLeast"/>
          <w:jc w:val="center"/>
        </w:trPr>
        <w:tc>
          <w:tcPr>
            <w:tcW w:w="82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24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99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w:t>
            </w:r>
          </w:p>
        </w:tc>
        <w:tc>
          <w:tcPr>
            <w:tcW w:w="913"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976" w:hRule="atLeast"/>
          <w:jc w:val="center"/>
        </w:trPr>
        <w:tc>
          <w:tcPr>
            <w:tcW w:w="3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得分总和</w:t>
            </w:r>
          </w:p>
        </w:tc>
        <w:tc>
          <w:tcPr>
            <w:tcW w:w="658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1164"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备</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02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1.各项分值总和为40分，评分项因实际情况同时存在多种选项的，得分为累加分；缺项的，得分为“0”。</w:t>
            </w:r>
          </w:p>
          <w:p>
            <w:pPr>
              <w:keepNext w:val="0"/>
              <w:keepLines w:val="0"/>
              <w:pageBreakBefore w:val="0"/>
              <w:widowControl w:val="0"/>
              <w:kinsoku/>
              <w:wordWrap/>
              <w:overflowPunct/>
              <w:topLinePunct w:val="0"/>
              <w:autoSpaceDE/>
              <w:autoSpaceDN/>
              <w:bidi w:val="0"/>
              <w:adjustRightInd/>
              <w:snapToGrid/>
              <w:spacing w:line="240" w:lineRule="exact"/>
              <w:ind w:left="200" w:hanging="210" w:hangingChars="100"/>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2.“以上”、“以下”均包含本数。</w:t>
            </w:r>
          </w:p>
        </w:tc>
      </w:tr>
    </w:tbl>
    <w:p>
      <w:pPr>
        <w:rPr>
          <w:color w:val="000000" w:themeColor="text1"/>
          <w14:textFill>
            <w14:solidFill>
              <w14:schemeClr w14:val="tx1"/>
            </w14:solidFill>
          </w14:textFill>
        </w:rPr>
      </w:pPr>
    </w:p>
    <w:p>
      <w:pPr>
        <w:widowControl/>
        <w:shd w:val="clear" w:color="auto" w:fill="FFFFFF"/>
        <w:spacing w:line="480" w:lineRule="exact"/>
        <w:rPr>
          <w:rFonts w:ascii="方正小标宋简体" w:hAnsi="仿宋" w:eastAsia="方正小标宋简体"/>
          <w:color w:val="000000" w:themeColor="text1"/>
          <w:kern w:val="0"/>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7</w:t>
      </w:r>
      <w:r>
        <w:rPr>
          <w:rFonts w:hint="eastAsia" w:ascii="方正小标宋简体" w:hAnsi="仿宋" w:eastAsia="方正小标宋简体"/>
          <w:color w:val="000000" w:themeColor="text1"/>
          <w:kern w:val="0"/>
          <w:sz w:val="32"/>
          <w:szCs w:val="32"/>
          <w14:textFill>
            <w14:solidFill>
              <w14:schemeClr w14:val="tx1"/>
            </w14:solidFill>
          </w14:textFill>
        </w:rPr>
        <w:t>　</w:t>
      </w:r>
    </w:p>
    <w:p>
      <w:pPr>
        <w:widowControl/>
        <w:shd w:val="clear" w:color="auto" w:fill="FFFFFF"/>
        <w:spacing w:line="480" w:lineRule="exact"/>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食用农产品销售者静态风险因素量化分值表</w:t>
      </w:r>
    </w:p>
    <w:p>
      <w:pPr>
        <w:widowControl/>
        <w:shd w:val="clear" w:color="auto" w:fill="FFFFFF"/>
        <w:spacing w:line="480" w:lineRule="exact"/>
        <w:jc w:val="center"/>
        <w:rPr>
          <w:rFonts w:ascii="方正小标宋简体" w:hAnsi="仿宋" w:eastAsia="方正小标宋简体"/>
          <w:color w:val="000000" w:themeColor="text1"/>
          <w:kern w:val="0"/>
          <w:sz w:val="32"/>
          <w:szCs w:val="32"/>
          <w14:textFill>
            <w14:solidFill>
              <w14:schemeClr w14:val="tx1"/>
            </w14:solidFill>
          </w14:textFill>
        </w:rPr>
      </w:pPr>
    </w:p>
    <w:tbl>
      <w:tblPr>
        <w:tblStyle w:val="7"/>
        <w:tblW w:w="10122" w:type="dxa"/>
        <w:jc w:val="center"/>
        <w:tblLayout w:type="fixed"/>
        <w:tblCellMar>
          <w:top w:w="0" w:type="dxa"/>
          <w:left w:w="108" w:type="dxa"/>
          <w:bottom w:w="0" w:type="dxa"/>
          <w:right w:w="108" w:type="dxa"/>
        </w:tblCellMar>
      </w:tblPr>
      <w:tblGrid>
        <w:gridCol w:w="704"/>
        <w:gridCol w:w="965"/>
        <w:gridCol w:w="960"/>
        <w:gridCol w:w="960"/>
        <w:gridCol w:w="900"/>
        <w:gridCol w:w="1613"/>
        <w:gridCol w:w="808"/>
        <w:gridCol w:w="805"/>
        <w:gridCol w:w="1617"/>
        <w:gridCol w:w="790"/>
      </w:tblGrid>
      <w:tr>
        <w:tblPrEx>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序号</w:t>
            </w:r>
          </w:p>
        </w:tc>
        <w:tc>
          <w:tcPr>
            <w:tcW w:w="2885" w:type="dxa"/>
            <w:gridSpan w:val="3"/>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评分项（共40分）</w:t>
            </w:r>
          </w:p>
        </w:tc>
        <w:tc>
          <w:tcPr>
            <w:tcW w:w="574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参考分值</w:t>
            </w:r>
          </w:p>
        </w:tc>
        <w:tc>
          <w:tcPr>
            <w:tcW w:w="7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得分</w:t>
            </w:r>
          </w:p>
        </w:tc>
      </w:tr>
      <w:tr>
        <w:tblPrEx>
          <w:tblCellMar>
            <w:top w:w="0" w:type="dxa"/>
            <w:left w:w="108" w:type="dxa"/>
            <w:bottom w:w="0" w:type="dxa"/>
            <w:right w:w="108" w:type="dxa"/>
          </w:tblCellMar>
        </w:tblPrEx>
        <w:trPr>
          <w:trHeight w:val="209" w:hRule="atLeast"/>
          <w:jc w:val="center"/>
        </w:trPr>
        <w:tc>
          <w:tcPr>
            <w:tcW w:w="70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2885"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食用农产品销售者经营方式 （5分）</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方式</w:t>
            </w:r>
          </w:p>
        </w:tc>
        <w:tc>
          <w:tcPr>
            <w:tcW w:w="2421" w:type="dxa"/>
            <w:gridSpan w:val="2"/>
            <w:tcBorders>
              <w:top w:val="nil"/>
              <w:left w:val="nil"/>
              <w:bottom w:val="single" w:color="auto" w:sz="4" w:space="0"/>
              <w:right w:val="single" w:color="000000"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w:t>
            </w:r>
          </w:p>
        </w:tc>
        <w:tc>
          <w:tcPr>
            <w:tcW w:w="2422" w:type="dxa"/>
            <w:gridSpan w:val="2"/>
            <w:tcBorders>
              <w:top w:val="nil"/>
              <w:left w:val="nil"/>
              <w:bottom w:val="single" w:color="auto" w:sz="4" w:space="0"/>
              <w:right w:val="single" w:color="000000"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零售</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85" w:hRule="atLeast"/>
          <w:jc w:val="center"/>
        </w:trPr>
        <w:tc>
          <w:tcPr>
            <w:tcW w:w="70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2885"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nil"/>
              <w:left w:val="nil"/>
              <w:bottom w:val="single" w:color="auto" w:sz="4" w:space="0"/>
              <w:right w:val="single" w:color="000000"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2422" w:type="dxa"/>
            <w:gridSpan w:val="2"/>
            <w:tcBorders>
              <w:top w:val="nil"/>
              <w:left w:val="nil"/>
              <w:bottom w:val="single" w:color="auto" w:sz="4" w:space="0"/>
              <w:right w:val="single" w:color="000000"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2" w:hRule="atLeast"/>
          <w:jc w:val="center"/>
        </w:trPr>
        <w:tc>
          <w:tcPr>
            <w:tcW w:w="704" w:type="dxa"/>
            <w:vMerge w:val="restart"/>
            <w:tcBorders>
              <w:top w:val="nil"/>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965" w:type="dxa"/>
            <w:vMerge w:val="restart"/>
            <w:tcBorders>
              <w:top w:val="nil"/>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在售普通食用农产品的种类（27分）</w:t>
            </w:r>
          </w:p>
        </w:tc>
        <w:tc>
          <w:tcPr>
            <w:tcW w:w="960" w:type="dxa"/>
            <w:vMerge w:val="restart"/>
            <w:tcBorders>
              <w:top w:val="nil"/>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w:t>
            </w:r>
          </w:p>
          <w:p>
            <w:pPr>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（11分）</w:t>
            </w: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猪肉</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14:textFill>
                  <w14:solidFill>
                    <w14:schemeClr w14:val="tx1"/>
                  </w14:solidFill>
                </w14:textFill>
              </w:rPr>
              <w:t>.5</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牛羊肉（3分）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nil"/>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790"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83"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禽肉</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nil"/>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nil"/>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2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14:textFill>
                  <w14:solidFill>
                    <w14:schemeClr w14:val="tx1"/>
                  </w14:solidFill>
                </w14:textFill>
              </w:rPr>
              <w:t>.5</w:t>
            </w:r>
          </w:p>
        </w:tc>
        <w:tc>
          <w:tcPr>
            <w:tcW w:w="790"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水产品（2分）</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鲜活</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果蔬类（2分）</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79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国产</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（16分）</w:t>
            </w: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猪肉</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1.5</w:t>
            </w: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牛羊肉（5分）</w:t>
            </w: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93"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4"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禽肉</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水产品（3分）</w:t>
            </w: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鲜活</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nil"/>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nil"/>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60"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果蔬类（2分）</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79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70" w:hRule="atLeast"/>
          <w:jc w:val="center"/>
        </w:trPr>
        <w:tc>
          <w:tcPr>
            <w:tcW w:w="704"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5"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6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58"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p>
        </w:tc>
        <w:tc>
          <w:tcPr>
            <w:tcW w:w="2885" w:type="dxa"/>
            <w:gridSpan w:val="3"/>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在售认证食用农产品品类</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2421"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绿色</w:t>
            </w:r>
          </w:p>
        </w:tc>
        <w:tc>
          <w:tcPr>
            <w:tcW w:w="2422"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有机</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89"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2885"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2422"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52"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2885" w:type="dxa"/>
            <w:gridSpan w:val="3"/>
            <w:vMerge w:val="restart"/>
            <w:tcBorders>
              <w:top w:val="nil"/>
              <w:left w:val="single" w:color="auto" w:sz="4" w:space="0"/>
              <w:bottom w:val="single" w:color="000000" w:sz="4" w:space="0"/>
              <w:right w:val="nil"/>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供货者数量</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2421"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10以下</w:t>
            </w:r>
          </w:p>
        </w:tc>
        <w:tc>
          <w:tcPr>
            <w:tcW w:w="2422"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11以上</w:t>
            </w:r>
          </w:p>
        </w:tc>
        <w:tc>
          <w:tcPr>
            <w:tcW w:w="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83"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2885" w:type="dxa"/>
            <w:gridSpan w:val="3"/>
            <w:vMerge w:val="continue"/>
            <w:tcBorders>
              <w:top w:val="nil"/>
              <w:left w:val="single" w:color="auto" w:sz="4" w:space="0"/>
              <w:bottom w:val="single" w:color="000000" w:sz="4" w:space="0"/>
              <w:right w:val="nil"/>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9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2421"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r>
              <w:rPr>
                <w:rFonts w:hint="eastAsia" w:ascii="仿宋" w:hAnsi="仿宋" w:eastAsia="仿宋"/>
                <w:color w:val="000000" w:themeColor="text1"/>
                <w:kern w:val="0"/>
                <w:sz w:val="20"/>
                <w:szCs w:val="20"/>
                <w14:textFill>
                  <w14:solidFill>
                    <w14:schemeClr w14:val="tx1"/>
                  </w14:solidFill>
                </w14:textFill>
              </w:rPr>
              <w:t>.5</w:t>
            </w:r>
          </w:p>
        </w:tc>
        <w:tc>
          <w:tcPr>
            <w:tcW w:w="2422"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r>
              <w:rPr>
                <w:rFonts w:hint="eastAsia" w:ascii="仿宋" w:hAnsi="仿宋" w:eastAsia="仿宋"/>
                <w:color w:val="000000" w:themeColor="text1"/>
                <w:kern w:val="0"/>
                <w:sz w:val="20"/>
                <w:szCs w:val="20"/>
                <w14:textFill>
                  <w14:solidFill>
                    <w14:schemeClr w14:val="tx1"/>
                  </w14:solidFill>
                </w14:textFill>
              </w:rPr>
              <w:t>.5</w:t>
            </w:r>
          </w:p>
        </w:tc>
        <w:tc>
          <w:tcPr>
            <w:tcW w:w="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358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p>
        </w:tc>
        <w:tc>
          <w:tcPr>
            <w:tcW w:w="6533"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122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仿宋" w:hAnsi="仿宋" w:eastAsia="仿宋"/>
                <w:color w:val="000000" w:themeColor="text1"/>
                <w:kern w:val="0"/>
                <w:sz w:val="20"/>
                <w:szCs w:val="20"/>
                <w14:textFill>
                  <w14:solidFill>
                    <w14:schemeClr w14:val="tx1"/>
                  </w14:solidFill>
                </w14:textFill>
              </w:rPr>
            </w:pPr>
          </w:p>
          <w:p>
            <w:pPr>
              <w:spacing w:line="160" w:lineRule="exact"/>
              <w:jc w:val="center"/>
              <w:rPr>
                <w:rFonts w:ascii="仿宋" w:hAnsi="仿宋" w:eastAsia="仿宋"/>
                <w:color w:val="000000" w:themeColor="text1"/>
                <w:kern w:val="0"/>
                <w:sz w:val="20"/>
                <w:szCs w:val="20"/>
                <w14:textFill>
                  <w14:solidFill>
                    <w14:schemeClr w14:val="tx1"/>
                  </w14:solidFill>
                </w14:textFill>
              </w:rPr>
            </w:pPr>
          </w:p>
          <w:p>
            <w:pPr>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备</w:t>
            </w:r>
          </w:p>
          <w:p>
            <w:pPr>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注</w:t>
            </w:r>
          </w:p>
          <w:p>
            <w:pPr>
              <w:rPr>
                <w:rFonts w:ascii="仿宋" w:hAnsi="仿宋" w:eastAsia="仿宋"/>
                <w:color w:val="000000" w:themeColor="text1"/>
                <w:kern w:val="0"/>
                <w:sz w:val="20"/>
                <w:szCs w:val="20"/>
                <w:highlight w:val="yellow"/>
                <w14:textFill>
                  <w14:solidFill>
                    <w14:schemeClr w14:val="tx1"/>
                  </w14:solidFill>
                </w14:textFill>
              </w:rPr>
            </w:pPr>
          </w:p>
        </w:tc>
        <w:tc>
          <w:tcPr>
            <w:tcW w:w="9418"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1.食用农产品销售者是指只经营食用农产品的销售者。</w:t>
            </w:r>
          </w:p>
          <w:p>
            <w:pP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2.各评分总和为40分，评分项因实际情况同时存在多种选项的，得分为累加分；缺项的，得分为“0”。</w:t>
            </w:r>
          </w:p>
          <w:p>
            <w:pP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3.“得分”栏各项得分按实际分值填写，可以有小数，但得分总和，应四舍五入取整。 </w:t>
            </w:r>
          </w:p>
          <w:p>
            <w:pP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4.“以上”、“以下”均包含本数。</w:t>
            </w:r>
            <w:r>
              <w:rPr>
                <w:rFonts w:ascii="仿宋" w:hAnsi="仿宋" w:eastAsia="仿宋"/>
                <w:color w:val="000000" w:themeColor="text1"/>
                <w:kern w:val="0"/>
                <w:sz w:val="20"/>
                <w:szCs w:val="20"/>
                <w14:textFill>
                  <w14:solidFill>
                    <w14:schemeClr w14:val="tx1"/>
                  </w14:solidFill>
                </w14:textFill>
              </w:rPr>
              <w:t xml:space="preserve">    </w:t>
            </w:r>
          </w:p>
        </w:tc>
      </w:tr>
    </w:tbl>
    <w:p>
      <w:pPr>
        <w:rPr>
          <w:color w:val="000000" w:themeColor="text1"/>
          <w14:textFill>
            <w14:solidFill>
              <w14:schemeClr w14:val="tx1"/>
            </w14:solidFill>
          </w14:textFill>
        </w:rPr>
      </w:pPr>
    </w:p>
    <w:p>
      <w:pPr>
        <w:widowControl/>
        <w:shd w:val="clear" w:color="auto" w:fill="FFFFFF"/>
        <w:spacing w:line="560" w:lineRule="exact"/>
        <w:rPr>
          <w:rFonts w:ascii="方正小标宋简体" w:hAnsi="仿宋" w:eastAsia="方正小标宋简体"/>
          <w:color w:val="000000" w:themeColor="text1"/>
          <w:kern w:val="0"/>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8</w:t>
      </w:r>
      <w:r>
        <w:rPr>
          <w:rFonts w:hint="eastAsia" w:ascii="方正小标宋简体" w:hAnsi="仿宋" w:eastAsia="方正小标宋简体"/>
          <w:color w:val="000000" w:themeColor="text1"/>
          <w:kern w:val="0"/>
          <w:sz w:val="32"/>
          <w:szCs w:val="32"/>
          <w14:textFill>
            <w14:solidFill>
              <w14:schemeClr w14:val="tx1"/>
            </w14:solidFill>
          </w14:textFill>
        </w:rPr>
        <w:t>　</w:t>
      </w:r>
    </w:p>
    <w:p>
      <w:pPr>
        <w:widowControl/>
        <w:shd w:val="clear" w:color="auto" w:fill="FFFFFF"/>
        <w:spacing w:line="600" w:lineRule="exact"/>
        <w:jc w:val="center"/>
        <w:rPr>
          <w:rFonts w:ascii="方正小标宋简体" w:hAnsi="仿宋" w:eastAsia="方正小标宋简体"/>
          <w:color w:val="000000" w:themeColor="text1"/>
          <w:spacing w:val="-20"/>
          <w:kern w:val="0"/>
          <w:sz w:val="32"/>
          <w:szCs w:val="32"/>
          <w14:textFill>
            <w14:solidFill>
              <w14:schemeClr w14:val="tx1"/>
            </w14:solidFill>
          </w14:textFill>
        </w:rPr>
      </w:pPr>
      <w:r>
        <w:rPr>
          <w:rFonts w:hint="eastAsia" w:ascii="方正小标宋简体" w:hAnsi="仿宋" w:eastAsia="方正小标宋简体"/>
          <w:color w:val="000000" w:themeColor="text1"/>
          <w:spacing w:val="-20"/>
          <w:kern w:val="0"/>
          <w:sz w:val="32"/>
          <w:szCs w:val="32"/>
          <w:lang w:eastAsia="zh-CN"/>
          <w14:textFill>
            <w14:solidFill>
              <w14:schemeClr w14:val="tx1"/>
            </w14:solidFill>
          </w14:textFill>
        </w:rPr>
        <w:t>食品（食用农产品）</w:t>
      </w:r>
      <w:r>
        <w:rPr>
          <w:rFonts w:hint="eastAsia" w:ascii="方正小标宋简体" w:hAnsi="仿宋" w:eastAsia="方正小标宋简体"/>
          <w:color w:val="000000" w:themeColor="text1"/>
          <w:spacing w:val="-20"/>
          <w:kern w:val="0"/>
          <w:sz w:val="32"/>
          <w:szCs w:val="32"/>
          <w14:textFill>
            <w14:solidFill>
              <w14:schemeClr w14:val="tx1"/>
            </w14:solidFill>
          </w14:textFill>
        </w:rPr>
        <w:t>贮存服务提供者静态风险因素量化分值表</w:t>
      </w:r>
    </w:p>
    <w:p>
      <w:pPr>
        <w:widowControl/>
        <w:shd w:val="clear" w:color="auto" w:fill="FFFFFF"/>
        <w:spacing w:line="200" w:lineRule="exact"/>
        <w:jc w:val="center"/>
        <w:rPr>
          <w:rFonts w:ascii="方正小标宋简体" w:hAnsi="仿宋" w:eastAsia="方正小标宋简体"/>
          <w:color w:val="000000" w:themeColor="text1"/>
          <w:spacing w:val="-20"/>
          <w:kern w:val="0"/>
          <w:sz w:val="32"/>
          <w:szCs w:val="32"/>
          <w14:textFill>
            <w14:solidFill>
              <w14:schemeClr w14:val="tx1"/>
            </w14:solidFill>
          </w14:textFill>
        </w:rPr>
      </w:pPr>
    </w:p>
    <w:tbl>
      <w:tblPr>
        <w:tblStyle w:val="7"/>
        <w:tblW w:w="10354" w:type="dxa"/>
        <w:jc w:val="center"/>
        <w:tblLayout w:type="fixed"/>
        <w:tblCellMar>
          <w:top w:w="0" w:type="dxa"/>
          <w:left w:w="108" w:type="dxa"/>
          <w:bottom w:w="0" w:type="dxa"/>
          <w:right w:w="108" w:type="dxa"/>
        </w:tblCellMar>
      </w:tblPr>
      <w:tblGrid>
        <w:gridCol w:w="708"/>
        <w:gridCol w:w="1148"/>
        <w:gridCol w:w="945"/>
        <w:gridCol w:w="949"/>
        <w:gridCol w:w="897"/>
        <w:gridCol w:w="1751"/>
        <w:gridCol w:w="1752"/>
        <w:gridCol w:w="1539"/>
        <w:gridCol w:w="665"/>
      </w:tblGrid>
      <w:tr>
        <w:tblPrEx>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序号</w:t>
            </w:r>
          </w:p>
        </w:tc>
        <w:tc>
          <w:tcPr>
            <w:tcW w:w="3042"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评分项（共40分）</w:t>
            </w:r>
          </w:p>
        </w:tc>
        <w:tc>
          <w:tcPr>
            <w:tcW w:w="593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参考分值</w:t>
            </w:r>
          </w:p>
        </w:tc>
        <w:tc>
          <w:tcPr>
            <w:tcW w:w="66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得分</w:t>
            </w:r>
          </w:p>
        </w:tc>
      </w:tr>
      <w:tr>
        <w:tblPrEx>
          <w:tblCellMar>
            <w:top w:w="0" w:type="dxa"/>
            <w:left w:w="108" w:type="dxa"/>
            <w:bottom w:w="0" w:type="dxa"/>
            <w:right w:w="108" w:type="dxa"/>
          </w:tblCellMar>
        </w:tblPrEx>
        <w:trPr>
          <w:trHeight w:val="305" w:hRule="atLeast"/>
          <w:jc w:val="center"/>
        </w:trPr>
        <w:tc>
          <w:tcPr>
            <w:tcW w:w="70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3042"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贮存服务</w:t>
            </w:r>
          </w:p>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提供者贮存面积</w:t>
            </w:r>
          </w:p>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面积(㎡)</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500以下</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501-2000</w:t>
            </w:r>
          </w:p>
        </w:tc>
        <w:tc>
          <w:tcPr>
            <w:tcW w:w="153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2001以上</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39" w:hRule="atLeast"/>
          <w:jc w:val="center"/>
        </w:trPr>
        <w:tc>
          <w:tcPr>
            <w:tcW w:w="70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3042"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3.5</w:t>
            </w:r>
          </w:p>
        </w:tc>
        <w:tc>
          <w:tcPr>
            <w:tcW w:w="153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restart"/>
            <w:tcBorders>
              <w:top w:val="nil"/>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1148" w:type="dxa"/>
            <w:vMerge w:val="restart"/>
            <w:tcBorders>
              <w:top w:val="nil"/>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贮存的食用农产品</w:t>
            </w:r>
          </w:p>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种类</w:t>
            </w:r>
          </w:p>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21.5</w:t>
            </w:r>
            <w:r>
              <w:rPr>
                <w:rFonts w:ascii="仿宋" w:hAnsi="仿宋" w:eastAsia="仿宋"/>
                <w:color w:val="000000" w:themeColor="text1"/>
                <w:kern w:val="0"/>
                <w:sz w:val="20"/>
                <w:szCs w:val="20"/>
                <w14:textFill>
                  <w14:solidFill>
                    <w14:schemeClr w14:val="tx1"/>
                  </w14:solidFill>
                </w14:textFill>
              </w:rPr>
              <w:t>分）</w:t>
            </w:r>
          </w:p>
        </w:tc>
        <w:tc>
          <w:tcPr>
            <w:tcW w:w="945" w:type="dxa"/>
            <w:vMerge w:val="restart"/>
            <w:tcBorders>
              <w:top w:val="nil"/>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w:t>
            </w:r>
          </w:p>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12</w:t>
            </w:r>
            <w:r>
              <w:rPr>
                <w:rFonts w:ascii="仿宋" w:hAnsi="仿宋" w:eastAsia="仿宋"/>
                <w:color w:val="000000" w:themeColor="text1"/>
                <w:kern w:val="0"/>
                <w:sz w:val="20"/>
                <w:szCs w:val="20"/>
                <w14:textFill>
                  <w14:solidFill>
                    <w14:schemeClr w14:val="tx1"/>
                  </w14:solidFill>
                </w14:textFill>
              </w:rPr>
              <w:t>分）</w:t>
            </w:r>
          </w:p>
        </w:tc>
        <w:tc>
          <w:tcPr>
            <w:tcW w:w="949" w:type="dxa"/>
            <w:vMerge w:val="restart"/>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猪肉</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w:t>
            </w:r>
            <w:r>
              <w:rPr>
                <w:rFonts w:hint="eastAsia" w:ascii="仿宋" w:hAnsi="仿宋" w:eastAsia="仿宋"/>
                <w:color w:val="000000" w:themeColor="text1"/>
                <w:kern w:val="0"/>
                <w:sz w:val="16"/>
                <w:szCs w:val="16"/>
                <w14:textFill>
                  <w14:solidFill>
                    <w14:schemeClr w14:val="tx1"/>
                  </w14:solidFill>
                </w14:textFill>
              </w:rPr>
              <w:t>2.5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04"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牛羊肉（</w:t>
            </w:r>
            <w:r>
              <w:rPr>
                <w:rFonts w:hint="eastAsia" w:ascii="仿宋" w:hAnsi="仿宋" w:eastAsia="仿宋"/>
                <w:color w:val="000000" w:themeColor="text1"/>
                <w:kern w:val="0"/>
                <w:sz w:val="16"/>
                <w:szCs w:val="16"/>
                <w14:textFill>
                  <w14:solidFill>
                    <w14:schemeClr w14:val="tx1"/>
                  </w14:solidFill>
                </w14:textFill>
              </w:rPr>
              <w:t>2.5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4"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8"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禽肉</w:t>
            </w:r>
          </w:p>
          <w:p>
            <w:pPr>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w:t>
            </w:r>
            <w:r>
              <w:rPr>
                <w:rFonts w:hint="eastAsia" w:ascii="仿宋" w:hAnsi="仿宋" w:eastAsia="仿宋"/>
                <w:color w:val="000000" w:themeColor="text1"/>
                <w:kern w:val="0"/>
                <w:sz w:val="16"/>
                <w:szCs w:val="16"/>
                <w14:textFill>
                  <w14:solidFill>
                    <w14:schemeClr w14:val="tx1"/>
                  </w14:solidFill>
                </w14:textFill>
              </w:rPr>
              <w:t>2.5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水产品（</w:t>
            </w:r>
            <w:r>
              <w:rPr>
                <w:rFonts w:hint="eastAsia" w:ascii="仿宋" w:hAnsi="仿宋" w:eastAsia="仿宋"/>
                <w:color w:val="000000" w:themeColor="text1"/>
                <w:kern w:val="0"/>
                <w:sz w:val="16"/>
                <w:szCs w:val="16"/>
                <w14:textFill>
                  <w14:solidFill>
                    <w14:schemeClr w14:val="tx1"/>
                  </w14:solidFill>
                </w14:textFill>
              </w:rPr>
              <w:t>2.5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鲜活</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0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9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果蔬类</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w:t>
            </w:r>
            <w:r>
              <w:rPr>
                <w:rFonts w:hint="eastAsia" w:ascii="仿宋" w:hAnsi="仿宋" w:eastAsia="仿宋"/>
                <w:color w:val="000000" w:themeColor="text1"/>
                <w:kern w:val="0"/>
                <w:sz w:val="16"/>
                <w:szCs w:val="16"/>
                <w14:textFill>
                  <w14:solidFill>
                    <w14:schemeClr w14:val="tx1"/>
                  </w14:solidFill>
                </w14:textFill>
              </w:rPr>
              <w:t>2</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国产</w:t>
            </w:r>
          </w:p>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9.5</w:t>
            </w:r>
            <w:r>
              <w:rPr>
                <w:rFonts w:ascii="仿宋" w:hAnsi="仿宋" w:eastAsia="仿宋"/>
                <w:color w:val="000000" w:themeColor="text1"/>
                <w:kern w:val="0"/>
                <w:sz w:val="20"/>
                <w:szCs w:val="20"/>
                <w14:textFill>
                  <w14:solidFill>
                    <w14:schemeClr w14:val="tx1"/>
                  </w14:solidFill>
                </w14:textFill>
              </w:rPr>
              <w:t>分)</w:t>
            </w:r>
          </w:p>
        </w:tc>
        <w:tc>
          <w:tcPr>
            <w:tcW w:w="949"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猪肉</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（2分）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6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牛羊肉</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（2分）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6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84"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禽肉</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（2分）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6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38"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水产品</w:t>
            </w:r>
          </w:p>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（2分）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鲜活</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6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restart"/>
            <w:tcBorders>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果蔬类（</w:t>
            </w:r>
            <w:r>
              <w:rPr>
                <w:rFonts w:hint="eastAsia" w:ascii="仿宋" w:hAnsi="仿宋" w:eastAsia="仿宋"/>
                <w:color w:val="000000" w:themeColor="text1"/>
                <w:kern w:val="0"/>
                <w:sz w:val="16"/>
                <w:szCs w:val="16"/>
                <w14:textFill>
                  <w14:solidFill>
                    <w14:schemeClr w14:val="tx1"/>
                  </w14:solidFill>
                </w14:textFill>
              </w:rPr>
              <w:t>1.5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w:t>
            </w:r>
          </w:p>
        </w:tc>
        <w:tc>
          <w:tcPr>
            <w:tcW w:w="15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6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83" w:hRule="atLeast"/>
          <w:jc w:val="center"/>
        </w:trPr>
        <w:tc>
          <w:tcPr>
            <w:tcW w:w="708" w:type="dxa"/>
            <w:vMerge w:val="restart"/>
            <w:tcBorders>
              <w:top w:val="nil"/>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p>
        </w:tc>
        <w:tc>
          <w:tcPr>
            <w:tcW w:w="1148" w:type="dxa"/>
            <w:vMerge w:val="restart"/>
            <w:tcBorders>
              <w:top w:val="nil"/>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贮存的食品种类（</w:t>
            </w:r>
            <w:r>
              <w:rPr>
                <w:rFonts w:hint="eastAsia" w:ascii="仿宋" w:hAnsi="仿宋" w:eastAsia="仿宋"/>
                <w:color w:val="000000" w:themeColor="text1"/>
                <w:kern w:val="0"/>
                <w:sz w:val="20"/>
                <w:szCs w:val="20"/>
                <w14:textFill>
                  <w14:solidFill>
                    <w14:schemeClr w14:val="tx1"/>
                  </w14:solidFill>
                </w14:textFill>
              </w:rPr>
              <w:t>13.5</w:t>
            </w:r>
            <w:r>
              <w:rPr>
                <w:rFonts w:ascii="仿宋" w:hAnsi="仿宋" w:eastAsia="仿宋"/>
                <w:color w:val="000000" w:themeColor="text1"/>
                <w:kern w:val="0"/>
                <w:sz w:val="20"/>
                <w:szCs w:val="20"/>
                <w14:textFill>
                  <w14:solidFill>
                    <w14:schemeClr w14:val="tx1"/>
                  </w14:solidFill>
                </w14:textFill>
              </w:rPr>
              <w:t>分）</w:t>
            </w:r>
          </w:p>
        </w:tc>
        <w:tc>
          <w:tcPr>
            <w:tcW w:w="945" w:type="dxa"/>
            <w:vMerge w:val="restart"/>
            <w:tcBorders>
              <w:top w:val="single" w:color="auto" w:sz="4" w:space="0"/>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w:t>
            </w:r>
          </w:p>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8</w:t>
            </w:r>
            <w:r>
              <w:rPr>
                <w:rFonts w:ascii="仿宋" w:hAnsi="仿宋" w:eastAsia="仿宋"/>
                <w:color w:val="000000" w:themeColor="text1"/>
                <w:kern w:val="0"/>
                <w:sz w:val="20"/>
                <w:szCs w:val="20"/>
                <w14:textFill>
                  <w14:solidFill>
                    <w14:schemeClr w14:val="tx1"/>
                  </w14:solidFill>
                </w14:textFill>
              </w:rPr>
              <w:t>分）</w:t>
            </w:r>
          </w:p>
        </w:tc>
        <w:tc>
          <w:tcPr>
            <w:tcW w:w="949" w:type="dxa"/>
            <w:vMerge w:val="restart"/>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仿宋" w:hAnsi="仿宋" w:eastAsia="仿宋"/>
                <w:color w:val="000000" w:themeColor="text1"/>
                <w:kern w:val="0"/>
                <w:sz w:val="11"/>
                <w:szCs w:val="11"/>
                <w14:textFill>
                  <w14:solidFill>
                    <w14:schemeClr w14:val="tx1"/>
                  </w14:solidFill>
                </w14:textFill>
              </w:rPr>
            </w:pPr>
            <w:r>
              <w:rPr>
                <w:rFonts w:ascii="仿宋" w:hAnsi="仿宋" w:eastAsia="仿宋"/>
                <w:color w:val="000000" w:themeColor="text1"/>
                <w:kern w:val="0"/>
                <w:sz w:val="11"/>
                <w:szCs w:val="11"/>
                <w14:textFill>
                  <w14:solidFill>
                    <w14:schemeClr w14:val="tx1"/>
                  </w14:solidFill>
                </w14:textFill>
              </w:rPr>
              <w:t>预包装食品</w:t>
            </w:r>
          </w:p>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（5分）</w:t>
            </w: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04"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特殊食品（</w:t>
            </w:r>
            <w:r>
              <w:rPr>
                <w:rFonts w:hint="eastAsia" w:ascii="仿宋" w:hAnsi="仿宋" w:eastAsia="仿宋"/>
                <w:color w:val="000000" w:themeColor="text1"/>
                <w:kern w:val="0"/>
                <w:sz w:val="16"/>
                <w:szCs w:val="16"/>
                <w14:textFill>
                  <w14:solidFill>
                    <w14:schemeClr w14:val="tx1"/>
                  </w14:solidFill>
                </w14:textFill>
              </w:rPr>
              <w:t>3</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35"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88"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国产</w:t>
            </w:r>
          </w:p>
          <w:p>
            <w:pPr>
              <w:spacing w:line="240" w:lineRule="exact"/>
              <w:jc w:val="center"/>
              <w:rPr>
                <w:rFonts w:ascii="仿宋" w:hAnsi="仿宋" w:eastAsia="仿宋"/>
                <w:color w:val="000000" w:themeColor="text1"/>
                <w:kern w:val="0"/>
                <w:sz w:val="16"/>
                <w:szCs w:val="16"/>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w:t>
            </w:r>
            <w:r>
              <w:rPr>
                <w:rFonts w:hint="eastAsia" w:ascii="仿宋" w:hAnsi="仿宋" w:eastAsia="仿宋"/>
                <w:color w:val="000000" w:themeColor="text1"/>
                <w:kern w:val="0"/>
                <w:sz w:val="16"/>
                <w:szCs w:val="16"/>
                <w14:textFill>
                  <w14:solidFill>
                    <w14:schemeClr w14:val="tx1"/>
                  </w14:solidFill>
                </w14:textFill>
              </w:rPr>
              <w:t>5.5分</w:t>
            </w:r>
            <w:r>
              <w:rPr>
                <w:rFonts w:ascii="仿宋" w:hAnsi="仿宋" w:eastAsia="仿宋"/>
                <w:color w:val="000000" w:themeColor="text1"/>
                <w:kern w:val="0"/>
                <w:sz w:val="16"/>
                <w:szCs w:val="16"/>
                <w14:textFill>
                  <w14:solidFill>
                    <w14:schemeClr w14:val="tx1"/>
                  </w14:solidFill>
                </w14:textFill>
              </w:rPr>
              <w:t>）</w:t>
            </w:r>
          </w:p>
        </w:tc>
        <w:tc>
          <w:tcPr>
            <w:tcW w:w="9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spacing w:val="-11"/>
                <w:kern w:val="0"/>
                <w:sz w:val="15"/>
                <w:szCs w:val="15"/>
                <w14:textFill>
                  <w14:solidFill>
                    <w14:schemeClr w14:val="tx1"/>
                  </w14:solidFill>
                </w14:textFill>
              </w:rPr>
            </w:pPr>
            <w:r>
              <w:rPr>
                <w:rFonts w:ascii="仿宋" w:hAnsi="仿宋" w:eastAsia="仿宋"/>
                <w:color w:val="000000" w:themeColor="text1"/>
                <w:spacing w:val="-11"/>
                <w:kern w:val="0"/>
                <w:sz w:val="15"/>
                <w:szCs w:val="15"/>
                <w14:textFill>
                  <w14:solidFill>
                    <w14:schemeClr w14:val="tx1"/>
                  </w14:solidFill>
                </w14:textFill>
              </w:rPr>
              <w:t>预包装食品</w:t>
            </w:r>
          </w:p>
          <w:p>
            <w:pPr>
              <w:widowControl/>
              <w:spacing w:line="240" w:lineRule="exact"/>
              <w:jc w:val="center"/>
              <w:rPr>
                <w:rFonts w:ascii="仿宋" w:hAnsi="仿宋" w:eastAsia="仿宋"/>
                <w:color w:val="000000" w:themeColor="text1"/>
                <w:kern w:val="0"/>
                <w:sz w:val="15"/>
                <w:szCs w:val="15"/>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w:t>
            </w:r>
            <w:r>
              <w:rPr>
                <w:rFonts w:hint="eastAsia" w:ascii="仿宋" w:hAnsi="仿宋" w:eastAsia="仿宋"/>
                <w:color w:val="000000" w:themeColor="text1"/>
                <w:kern w:val="0"/>
                <w:sz w:val="16"/>
                <w:szCs w:val="16"/>
                <w14:textFill>
                  <w14:solidFill>
                    <w14:schemeClr w14:val="tx1"/>
                  </w14:solidFill>
                </w14:textFill>
              </w:rPr>
              <w:t>3.5</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1.5</w:t>
            </w:r>
          </w:p>
        </w:tc>
        <w:tc>
          <w:tcPr>
            <w:tcW w:w="6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restart"/>
            <w:tcBorders>
              <w:top w:val="single" w:color="auto" w:sz="4" w:space="0"/>
              <w:left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16"/>
                <w:szCs w:val="16"/>
                <w14:textFill>
                  <w14:solidFill>
                    <w14:schemeClr w14:val="tx1"/>
                  </w14:solidFill>
                </w14:textFill>
              </w:rPr>
              <w:t>特殊食品（</w:t>
            </w:r>
            <w:r>
              <w:rPr>
                <w:rFonts w:hint="eastAsia" w:ascii="仿宋" w:hAnsi="仿宋" w:eastAsia="仿宋"/>
                <w:color w:val="000000" w:themeColor="text1"/>
                <w:kern w:val="0"/>
                <w:sz w:val="16"/>
                <w:szCs w:val="16"/>
                <w14:textFill>
                  <w14:solidFill>
                    <w14:schemeClr w14:val="tx1"/>
                  </w14:solidFill>
                </w14:textFill>
              </w:rPr>
              <w:t>2</w:t>
            </w:r>
            <w:r>
              <w:rPr>
                <w:rFonts w:ascii="仿宋" w:hAnsi="仿宋" w:eastAsia="仿宋"/>
                <w:color w:val="000000" w:themeColor="text1"/>
                <w:kern w:val="0"/>
                <w:sz w:val="16"/>
                <w:szCs w:val="16"/>
                <w14:textFill>
                  <w14:solidFill>
                    <w14:schemeClr w14:val="tx1"/>
                  </w14:solidFill>
                </w14:textFill>
              </w:rPr>
              <w:t>分）</w:t>
            </w: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品类</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冷冻</w:t>
            </w:r>
          </w:p>
        </w:tc>
        <w:tc>
          <w:tcPr>
            <w:tcW w:w="665"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bottom w:val="nil"/>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1148" w:type="dxa"/>
            <w:vMerge w:val="continue"/>
            <w:tcBorders>
              <w:left w:val="single" w:color="auto" w:sz="4" w:space="0"/>
              <w:bottom w:val="nil"/>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949" w:type="dxa"/>
            <w:vMerge w:val="continue"/>
            <w:tcBorders>
              <w:left w:val="single" w:color="auto" w:sz="4" w:space="0"/>
              <w:bottom w:val="single" w:color="auto" w:sz="4" w:space="0"/>
              <w:right w:val="nil"/>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c>
          <w:tcPr>
            <w:tcW w:w="89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665" w:type="dxa"/>
            <w:vMerge w:val="continue"/>
            <w:tcBorders>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68" w:hRule="atLeast"/>
          <w:jc w:val="center"/>
        </w:trPr>
        <w:tc>
          <w:tcPr>
            <w:tcW w:w="375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olor w:val="000000" w:themeColor="text1"/>
                <w:kern w:val="0"/>
                <w:sz w:val="20"/>
                <w:szCs w:val="20"/>
                <w14:textFill>
                  <w14:solidFill>
                    <w14:schemeClr w14:val="tx1"/>
                  </w14:solidFill>
                </w14:textFill>
              </w:rPr>
            </w:pPr>
          </w:p>
          <w:p>
            <w:pPr>
              <w:spacing w:line="240" w:lineRule="exact"/>
              <w:jc w:val="center"/>
              <w:rPr>
                <w:rFonts w:hint="eastAsia" w:ascii="仿宋" w:hAnsi="仿宋" w:eastAsia="仿宋"/>
                <w:color w:val="000000" w:themeColor="text1"/>
                <w:kern w:val="0"/>
                <w:sz w:val="20"/>
                <w:szCs w:val="20"/>
                <w:lang w:eastAsia="zh-CN"/>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r>
              <w:rPr>
                <w:rFonts w:hint="eastAsia" w:ascii="仿宋" w:hAnsi="仿宋" w:eastAsia="仿宋"/>
                <w:color w:val="000000" w:themeColor="text1"/>
                <w:kern w:val="0"/>
                <w:sz w:val="20"/>
                <w:szCs w:val="20"/>
                <w:lang w:eastAsia="zh-CN"/>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40分</w:t>
            </w:r>
            <w:r>
              <w:rPr>
                <w:rFonts w:hint="eastAsia" w:ascii="仿宋" w:hAnsi="仿宋" w:eastAsia="仿宋"/>
                <w:color w:val="000000" w:themeColor="text1"/>
                <w:kern w:val="0"/>
                <w:sz w:val="20"/>
                <w:szCs w:val="20"/>
                <w:lang w:eastAsia="zh-CN"/>
                <w14:textFill>
                  <w14:solidFill>
                    <w14:schemeClr w14:val="tx1"/>
                  </w14:solidFill>
                </w14:textFill>
              </w:rPr>
              <w:t>）</w:t>
            </w:r>
          </w:p>
          <w:p>
            <w:pPr>
              <w:spacing w:line="240" w:lineRule="exact"/>
              <w:rPr>
                <w:rFonts w:ascii="仿宋" w:hAnsi="仿宋" w:eastAsia="仿宋"/>
                <w:color w:val="000000" w:themeColor="text1"/>
                <w:kern w:val="0"/>
                <w:sz w:val="20"/>
                <w:szCs w:val="20"/>
                <w14:textFill>
                  <w14:solidFill>
                    <w14:schemeClr w14:val="tx1"/>
                  </w14:solidFill>
                </w14:textFill>
              </w:rPr>
            </w:pPr>
          </w:p>
        </w:tc>
        <w:tc>
          <w:tcPr>
            <w:tcW w:w="660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47"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备</w:t>
            </w:r>
          </w:p>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注</w:t>
            </w:r>
          </w:p>
        </w:tc>
        <w:tc>
          <w:tcPr>
            <w:tcW w:w="964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贮存服务提供者是指对外提供</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存储服务的各类生产经营者。</w:t>
            </w:r>
          </w:p>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2.各评分总和为40分，评分项因实际情况评分项因实际情况同时存在多种选项的，得分为累加分；缺项的，</w:t>
            </w:r>
          </w:p>
          <w:p>
            <w:pPr>
              <w:widowControl/>
              <w:spacing w:line="240" w:lineRule="exact"/>
              <w:ind w:firstLine="200" w:firstLineChars="100"/>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得分为“0”。</w:t>
            </w:r>
          </w:p>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3.“得分”栏各项得分按实际分值填写，可以有小数，但得分总和，应四舍五入取整。</w:t>
            </w:r>
          </w:p>
          <w:p>
            <w:pPr>
              <w:widowControl/>
              <w:spacing w:line="240" w:lineRule="exac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4.“以上”、“以下”均包含本数。</w:t>
            </w:r>
          </w:p>
        </w:tc>
      </w:tr>
    </w:tbl>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9</w:t>
      </w:r>
    </w:p>
    <w:p>
      <w:pPr>
        <w:jc w:val="center"/>
        <w:rPr>
          <w:rFonts w:hint="eastAsia"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lang w:eastAsia="zh-CN"/>
          <w14:textFill>
            <w14:solidFill>
              <w14:schemeClr w14:val="tx1"/>
            </w14:solidFill>
          </w14:textFill>
        </w:rPr>
        <w:t>小餐饮</w:t>
      </w:r>
      <w:r>
        <w:rPr>
          <w:rFonts w:hint="eastAsia" w:ascii="方正小标宋简体" w:hAnsi="仿宋" w:eastAsia="方正小标宋简体"/>
          <w:color w:val="000000" w:themeColor="text1"/>
          <w:sz w:val="32"/>
          <w:szCs w:val="32"/>
          <w14:textFill>
            <w14:solidFill>
              <w14:schemeClr w14:val="tx1"/>
            </w14:solidFill>
          </w14:textFill>
        </w:rPr>
        <w:t>经营者静态风险因素量化分值表</w:t>
      </w:r>
    </w:p>
    <w:p>
      <w:pPr>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bl>
      <w:tblPr>
        <w:tblStyle w:val="7"/>
        <w:tblpPr w:leftFromText="180" w:rightFromText="180" w:vertAnchor="page" w:horzAnchor="page" w:tblpX="1094" w:tblpY="3588"/>
        <w:tblW w:w="10234" w:type="dxa"/>
        <w:tblInd w:w="0" w:type="dxa"/>
        <w:tblLayout w:type="fixed"/>
        <w:tblCellMar>
          <w:top w:w="28" w:type="dxa"/>
          <w:left w:w="28" w:type="dxa"/>
          <w:bottom w:w="28" w:type="dxa"/>
          <w:right w:w="28" w:type="dxa"/>
        </w:tblCellMar>
      </w:tblPr>
      <w:tblGrid>
        <w:gridCol w:w="879"/>
        <w:gridCol w:w="1150"/>
        <w:gridCol w:w="1118"/>
        <w:gridCol w:w="1258"/>
        <w:gridCol w:w="372"/>
        <w:gridCol w:w="496"/>
        <w:gridCol w:w="851"/>
        <w:gridCol w:w="283"/>
        <w:gridCol w:w="1276"/>
        <w:gridCol w:w="354"/>
        <w:gridCol w:w="1630"/>
        <w:gridCol w:w="567"/>
      </w:tblGrid>
      <w:tr>
        <w:tblPrEx>
          <w:tblCellMar>
            <w:top w:w="28" w:type="dxa"/>
            <w:left w:w="28" w:type="dxa"/>
            <w:bottom w:w="28" w:type="dxa"/>
            <w:right w:w="28" w:type="dxa"/>
          </w:tblCellMar>
        </w:tblPrEx>
        <w:trPr>
          <w:trHeight w:val="389" w:hRule="atLeast"/>
        </w:trPr>
        <w:tc>
          <w:tcPr>
            <w:tcW w:w="31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评分项（共40分）</w:t>
            </w:r>
          </w:p>
        </w:tc>
        <w:tc>
          <w:tcPr>
            <w:tcW w:w="6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参考分值</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Cs/>
                <w:color w:val="000000" w:themeColor="text1"/>
                <w:kern w:val="0"/>
                <w:sz w:val="18"/>
                <w:szCs w:val="18"/>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得分</w:t>
            </w:r>
          </w:p>
        </w:tc>
      </w:tr>
      <w:tr>
        <w:tblPrEx>
          <w:tblCellMar>
            <w:top w:w="28" w:type="dxa"/>
            <w:left w:w="28" w:type="dxa"/>
            <w:bottom w:w="28" w:type="dxa"/>
            <w:right w:w="28" w:type="dxa"/>
          </w:tblCellMar>
        </w:tblPrEx>
        <w:trPr>
          <w:trHeight w:val="491" w:hRule="atLeast"/>
        </w:trPr>
        <w:tc>
          <w:tcPr>
            <w:tcW w:w="2029" w:type="dxa"/>
            <w:gridSpan w:val="2"/>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主体业态</w:t>
            </w:r>
            <w:r>
              <w:rPr>
                <w:rFonts w:hint="eastAsia" w:ascii="仿宋" w:hAnsi="仿宋" w:eastAsia="仿宋" w:cs="宋体"/>
                <w:color w:val="000000" w:themeColor="text1"/>
                <w:kern w:val="0"/>
                <w:szCs w:val="21"/>
                <w14:textFill>
                  <w14:solidFill>
                    <w14:schemeClr w14:val="tx1"/>
                  </w14:solidFill>
                </w14:textFill>
              </w:rPr>
              <w:t>(</w:t>
            </w:r>
            <w:r>
              <w:rPr>
                <w:rFonts w:hint="eastAsia" w:ascii="仿宋" w:hAnsi="仿宋" w:eastAsia="仿宋" w:cs="宋体"/>
                <w:color w:val="000000" w:themeColor="text1"/>
                <w:kern w:val="0"/>
                <w:szCs w:val="21"/>
                <w:lang w:val="en-US" w:eastAsia="zh-CN"/>
                <w14:textFill>
                  <w14:solidFill>
                    <w14:schemeClr w14:val="tx1"/>
                  </w14:solidFill>
                </w14:textFill>
              </w:rPr>
              <w:t>14</w:t>
            </w:r>
            <w:r>
              <w:rPr>
                <w:rFonts w:hint="eastAsia" w:ascii="仿宋" w:hAnsi="仿宋" w:eastAsia="仿宋" w:cs="宋体"/>
                <w:color w:val="000000" w:themeColor="text1"/>
                <w:kern w:val="0"/>
                <w:szCs w:val="21"/>
                <w14:textFill>
                  <w14:solidFill>
                    <w14:schemeClr w14:val="tx1"/>
                  </w14:solidFill>
                </w14:textFill>
              </w:rPr>
              <w:t>分)</w:t>
            </w: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eastAsia="zh-CN"/>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业态</w:t>
            </w:r>
          </w:p>
        </w:tc>
        <w:tc>
          <w:tcPr>
            <w:tcW w:w="1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小餐饮</w:t>
            </w:r>
          </w:p>
        </w:tc>
        <w:tc>
          <w:tcPr>
            <w:tcW w:w="16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小餐桌</w:t>
            </w:r>
          </w:p>
        </w:tc>
        <w:tc>
          <w:tcPr>
            <w:tcW w:w="1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spacing w:val="-11"/>
                <w:kern w:val="0"/>
                <w:sz w:val="21"/>
                <w:szCs w:val="21"/>
                <w:lang w:eastAsia="zh-CN"/>
                <w14:textFill>
                  <w14:solidFill>
                    <w14:schemeClr w14:val="tx1"/>
                  </w14:solidFill>
                </w14:textFill>
              </w:rPr>
              <w:t>社区老人照料餐厅</w:t>
            </w:r>
          </w:p>
        </w:tc>
        <w:tc>
          <w:tcPr>
            <w:tcW w:w="16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eastAsia="zh-CN"/>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农村餐饮宴席</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491" w:hRule="atLeast"/>
        </w:trPr>
        <w:tc>
          <w:tcPr>
            <w:tcW w:w="2029"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14:textFill>
                  <w14:solidFill>
                    <w14:schemeClr w14:val="tx1"/>
                  </w14:solidFill>
                </w14:textFill>
              </w:rPr>
            </w:pP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eastAsia="zh-CN"/>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分值</w:t>
            </w:r>
          </w:p>
        </w:tc>
        <w:tc>
          <w:tcPr>
            <w:tcW w:w="1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val="en-US" w:eastAsia="zh-CN"/>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2</w:t>
            </w:r>
          </w:p>
        </w:tc>
        <w:tc>
          <w:tcPr>
            <w:tcW w:w="163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val="en-US" w:eastAsia="zh-CN"/>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4</w:t>
            </w:r>
          </w:p>
        </w:tc>
        <w:tc>
          <w:tcPr>
            <w:tcW w:w="1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Cs w:val="21"/>
                <w:lang w:val="en-US" w:eastAsia="zh-CN"/>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4</w:t>
            </w:r>
          </w:p>
        </w:tc>
        <w:tc>
          <w:tcPr>
            <w:tcW w:w="16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宋体"/>
                <w:color w:val="000000" w:themeColor="text1"/>
                <w:kern w:val="0"/>
                <w:szCs w:val="21"/>
                <w:lang w:val="en-US" w:eastAsia="zh-CN"/>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4</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491" w:hRule="atLeast"/>
        </w:trPr>
        <w:tc>
          <w:tcPr>
            <w:tcW w:w="2029" w:type="dxa"/>
            <w:gridSpan w:val="2"/>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特殊项</w:t>
            </w:r>
          </w:p>
          <w:p>
            <w:pPr>
              <w:widowControl/>
              <w:spacing w:line="240" w:lineRule="exact"/>
              <w:jc w:val="center"/>
              <w:rPr>
                <w:rFonts w:hint="eastAsia"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r>
              <w:rPr>
                <w:rFonts w:hint="eastAsia" w:ascii="仿宋" w:hAnsi="仿宋" w:eastAsia="仿宋" w:cs="宋体"/>
                <w:color w:val="000000" w:themeColor="text1"/>
                <w:kern w:val="0"/>
                <w:szCs w:val="21"/>
                <w:lang w:val="en-US" w:eastAsia="zh-CN"/>
                <w14:textFill>
                  <w14:solidFill>
                    <w14:schemeClr w14:val="tx1"/>
                  </w14:solidFill>
                </w14:textFill>
              </w:rPr>
              <w:t>6</w:t>
            </w:r>
            <w:r>
              <w:rPr>
                <w:rFonts w:hint="eastAsia" w:ascii="仿宋" w:hAnsi="仿宋" w:eastAsia="仿宋" w:cs="宋体"/>
                <w:color w:val="000000" w:themeColor="text1"/>
                <w:kern w:val="0"/>
                <w:szCs w:val="21"/>
                <w14:textFill>
                  <w14:solidFill>
                    <w14:schemeClr w14:val="tx1"/>
                  </w14:solidFill>
                </w14:textFill>
              </w:rPr>
              <w:t>分）</w:t>
            </w: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类别</w:t>
            </w:r>
          </w:p>
        </w:tc>
        <w:tc>
          <w:tcPr>
            <w:tcW w:w="212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从事入网餐饮服务</w:t>
            </w:r>
          </w:p>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经营</w:t>
            </w:r>
          </w:p>
        </w:tc>
        <w:tc>
          <w:tcPr>
            <w:tcW w:w="439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食品原料采购无固定的供应商</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16" w:hRule="atLeast"/>
        </w:trPr>
        <w:tc>
          <w:tcPr>
            <w:tcW w:w="2029"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212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439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57" w:hRule="atLeast"/>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作</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食</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品</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的</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类</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别</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和</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w:t>
            </w:r>
            <w:r>
              <w:rPr>
                <w:rFonts w:hint="eastAsia" w:ascii="仿宋" w:hAnsi="仿宋" w:eastAsia="仿宋" w:cs="宋体"/>
                <w:color w:val="000000" w:themeColor="text1"/>
                <w:kern w:val="0"/>
                <w:szCs w:val="21"/>
                <w:lang w:val="en-US" w:eastAsia="zh-CN"/>
                <w14:textFill>
                  <w14:solidFill>
                    <w14:schemeClr w14:val="tx1"/>
                  </w14:solidFill>
                </w14:textFill>
              </w:rPr>
              <w:t>0</w:t>
            </w:r>
            <w:r>
              <w:rPr>
                <w:rFonts w:hint="eastAsia" w:ascii="仿宋" w:hAnsi="仿宋" w:eastAsia="仿宋" w:cs="宋体"/>
                <w:color w:val="000000" w:themeColor="text1"/>
                <w:kern w:val="0"/>
                <w:szCs w:val="21"/>
                <w14:textFill>
                  <w14:solidFill>
                    <w14:schemeClr w14:val="tx1"/>
                  </w14:solidFill>
                </w14:textFill>
              </w:rPr>
              <w:t>分)</w:t>
            </w: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冷食类</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食品制售</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1118"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（3分）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11～40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41及以上</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24"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11～20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56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热食类</w:t>
            </w:r>
          </w:p>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食品制售</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（4分）</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（2分）</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1～30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31～200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201及以上</w:t>
            </w:r>
          </w:p>
        </w:tc>
        <w:tc>
          <w:tcPr>
            <w:tcW w:w="56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1～20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21～80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81及以上</w:t>
            </w:r>
          </w:p>
        </w:tc>
        <w:tc>
          <w:tcPr>
            <w:tcW w:w="567" w:type="dxa"/>
            <w:vMerge w:val="restart"/>
            <w:tcBorders>
              <w:top w:val="single" w:color="auto" w:sz="4" w:space="0"/>
              <w:left w:val="nil"/>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503"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糕点类食品</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制售，</w:t>
            </w:r>
            <w:r>
              <w:rPr>
                <w:rFonts w:hint="eastAsia" w:ascii="仿宋" w:hAnsi="仿宋" w:eastAsia="仿宋" w:cs="宋体"/>
                <w:color w:val="000000" w:themeColor="text1"/>
                <w:kern w:val="0"/>
                <w:szCs w:val="21"/>
                <w:lang w:eastAsia="zh-CN"/>
                <w14:textFill>
                  <w14:solidFill>
                    <w14:schemeClr w14:val="tx1"/>
                  </w14:solidFill>
                </w14:textFill>
              </w:rPr>
              <w:t>不</w:t>
            </w:r>
            <w:r>
              <w:rPr>
                <w:rFonts w:hint="eastAsia" w:ascii="仿宋" w:hAnsi="仿宋" w:eastAsia="仿宋" w:cs="宋体"/>
                <w:color w:val="000000" w:themeColor="text1"/>
                <w:kern w:val="0"/>
                <w:szCs w:val="21"/>
                <w14:textFill>
                  <w14:solidFill>
                    <w14:schemeClr w14:val="tx1"/>
                  </w14:solidFill>
                </w14:textFill>
              </w:rPr>
              <w:t>包括裱花蛋糕</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111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（6分）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11～20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503"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559" w:type="dxa"/>
            <w:gridSpan w:val="2"/>
            <w:tcBorders>
              <w:top w:val="single" w:color="auto" w:sz="4" w:space="0"/>
              <w:left w:val="nil"/>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4分</w:t>
            </w:r>
          </w:p>
        </w:tc>
        <w:tc>
          <w:tcPr>
            <w:tcW w:w="1984" w:type="dxa"/>
            <w:gridSpan w:val="2"/>
            <w:tcBorders>
              <w:top w:val="single" w:color="auto" w:sz="4" w:space="0"/>
              <w:left w:val="nil"/>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567"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自制饮品</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制售</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（4分）</w:t>
            </w: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6～20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0"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6～20</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21及以上</w:t>
            </w:r>
          </w:p>
        </w:tc>
        <w:tc>
          <w:tcPr>
            <w:tcW w:w="567" w:type="dxa"/>
            <w:vMerge w:val="restart"/>
            <w:tcBorders>
              <w:top w:val="single" w:color="auto" w:sz="4" w:space="0"/>
              <w:left w:val="nil"/>
              <w:bottom w:val="single" w:color="auto" w:sz="4" w:space="0"/>
              <w:right w:val="single" w:color="auto" w:sz="4" w:space="0"/>
            </w:tcBorders>
            <w:noWrap/>
            <w:vAlign w:val="center"/>
          </w:tcPr>
          <w:p>
            <w:pPr>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265" w:hRule="atLeast"/>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color w:val="000000" w:themeColor="text1"/>
                <w:kern w:val="0"/>
                <w:szCs w:val="21"/>
                <w14:textFill>
                  <w14:solidFill>
                    <w14:schemeClr w14:val="tx1"/>
                  </w14:solidFill>
                </w14:textFill>
              </w:rPr>
            </w:pPr>
          </w:p>
        </w:tc>
        <w:tc>
          <w:tcPr>
            <w:tcW w:w="125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1.5分</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2分</w:t>
            </w:r>
          </w:p>
        </w:tc>
        <w:tc>
          <w:tcPr>
            <w:tcW w:w="567"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 w:hAnsi="仿宋" w:eastAsia="仿宋" w:cs="宋体"/>
                <w:color w:val="000000" w:themeColor="text1"/>
                <w:kern w:val="0"/>
                <w:sz w:val="18"/>
                <w:szCs w:val="18"/>
                <w14:textFill>
                  <w14:solidFill>
                    <w14:schemeClr w14:val="tx1"/>
                  </w14:solidFill>
                </w14:textFill>
              </w:rPr>
            </w:pPr>
          </w:p>
        </w:tc>
      </w:tr>
      <w:tr>
        <w:tblPrEx>
          <w:tblCellMar>
            <w:top w:w="28" w:type="dxa"/>
            <w:left w:w="28" w:type="dxa"/>
            <w:bottom w:w="28" w:type="dxa"/>
            <w:right w:w="28" w:type="dxa"/>
          </w:tblCellMar>
        </w:tblPrEx>
        <w:trPr>
          <w:trHeight w:val="372" w:hRule="atLeast"/>
        </w:trPr>
        <w:tc>
          <w:tcPr>
            <w:tcW w:w="31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得分总和</w:t>
            </w:r>
          </w:p>
        </w:tc>
        <w:tc>
          <w:tcPr>
            <w:tcW w:w="708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28" w:type="dxa"/>
            <w:left w:w="28" w:type="dxa"/>
            <w:bottom w:w="28" w:type="dxa"/>
            <w:right w:w="28" w:type="dxa"/>
          </w:tblCellMar>
        </w:tblPrEx>
        <w:trPr>
          <w:trHeight w:val="2165" w:hRule="atLeast"/>
        </w:trPr>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备</w:t>
            </w: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2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注</w:t>
            </w:r>
            <w:r>
              <w:rPr>
                <w:rFonts w:hint="eastAsia" w:ascii="仿宋" w:hAnsi="仿宋" w:eastAsia="仿宋" w:cs="宋体"/>
                <w:color w:val="000000" w:themeColor="text1"/>
                <w:kern w:val="0"/>
                <w:szCs w:val="21"/>
                <w14:textFill>
                  <w14:solidFill>
                    <w14:schemeClr w14:val="tx1"/>
                  </w14:solidFill>
                </w14:textFill>
              </w:rPr>
              <w:br w:type="textWrapping"/>
            </w:r>
          </w:p>
          <w:p>
            <w:pPr>
              <w:widowControl/>
              <w:spacing w:line="220" w:lineRule="exact"/>
              <w:ind w:left="395" w:leftChars="188"/>
              <w:jc w:val="left"/>
              <w:rPr>
                <w:rFonts w:ascii="仿宋" w:hAnsi="仿宋" w:eastAsia="仿宋" w:cs="宋体"/>
                <w:color w:val="000000" w:themeColor="text1"/>
                <w:kern w:val="0"/>
                <w:szCs w:val="21"/>
                <w14:textFill>
                  <w14:solidFill>
                    <w14:schemeClr w14:val="tx1"/>
                  </w14:solidFill>
                </w14:textFill>
              </w:rPr>
            </w:pPr>
          </w:p>
        </w:tc>
        <w:tc>
          <w:tcPr>
            <w:tcW w:w="9355"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s="宋体"/>
                <w:color w:val="000000" w:themeColor="text1"/>
                <w:kern w:val="0"/>
                <w:szCs w:val="21"/>
                <w14:textFill>
                  <w14:solidFill>
                    <w14:schemeClr w14:val="tx1"/>
                  </w14:solidFill>
                </w14:textFill>
              </w:rPr>
              <w:t>各项分值总和为40分。因实际情况存在缺项情形的，该项评分为“0”。特殊项得分为各特殊项分值累加。</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2</w:t>
            </w:r>
            <w:r>
              <w:rPr>
                <w:rFonts w:hint="eastAsia" w:ascii="仿宋" w:hAnsi="仿宋" w:eastAsia="仿宋" w:cs="宋体"/>
                <w:color w:val="000000" w:themeColor="text1"/>
                <w:kern w:val="0"/>
                <w:szCs w:val="21"/>
                <w14:textFill>
                  <w14:solidFill>
                    <w14:schemeClr w14:val="tx1"/>
                  </w14:solidFill>
                </w14:textFill>
              </w:rPr>
              <w:t>.数量单位为“个”。</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3</w:t>
            </w:r>
            <w:r>
              <w:rPr>
                <w:rFonts w:hint="eastAsia" w:ascii="仿宋" w:hAnsi="仿宋" w:eastAsia="仿宋" w:cs="宋体"/>
                <w:color w:val="000000" w:themeColor="text1"/>
                <w:kern w:val="0"/>
                <w:szCs w:val="21"/>
                <w14:textFill>
                  <w14:solidFill>
                    <w14:schemeClr w14:val="tx1"/>
                  </w14:solidFill>
                </w14:textFill>
              </w:rPr>
              <w:t>.单品数是指最新菜单中所展示的独立销售的食品品种数,不含制作过程中各类食品原料和半成品数量。</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4</w:t>
            </w:r>
            <w:r>
              <w:rPr>
                <w:rFonts w:hint="eastAsia" w:ascii="仿宋" w:hAnsi="仿宋" w:eastAsia="仿宋" w:cs="宋体"/>
                <w:color w:val="000000" w:themeColor="text1"/>
                <w:kern w:val="0"/>
                <w:szCs w:val="21"/>
                <w14:textFill>
                  <w14:solidFill>
                    <w14:schemeClr w14:val="tx1"/>
                  </w14:solidFill>
                </w14:textFill>
              </w:rPr>
              <w:t>.具有热食、冷食等多种情形,难以明确归类的食品，可按食品安全风险等级最高的情形进行归类。</w:t>
            </w:r>
          </w:p>
          <w:p>
            <w:pPr>
              <w:widowControl/>
              <w:spacing w:line="22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5</w:t>
            </w:r>
            <w:r>
              <w:rPr>
                <w:rFonts w:hint="eastAsia" w:ascii="仿宋" w:hAnsi="仿宋" w:eastAsia="仿宋" w:cs="宋体"/>
                <w:color w:val="000000" w:themeColor="text1"/>
                <w:kern w:val="0"/>
                <w:szCs w:val="21"/>
                <w14:textFill>
                  <w14:solidFill>
                    <w14:schemeClr w14:val="tx1"/>
                  </w14:solidFill>
                </w14:textFill>
              </w:rPr>
              <w:t>.易腐原料是指蛋白质或碳水化合物含量较高，通常pH大于4.6且水分活度大于0.85，需要控制温度和时间以防止腐败变质和细菌生长、繁殖、产毒的食品。如乳、蛋、禽、畜、水产品等动物源性食品（含）及豆制品等。</w:t>
            </w:r>
          </w:p>
        </w:tc>
      </w:tr>
    </w:tbl>
    <w:p>
      <w:pPr>
        <w:pStyle w:val="2"/>
        <w:rPr>
          <w:color w:val="000000" w:themeColor="text1"/>
          <w14:textFill>
            <w14:solidFill>
              <w14:schemeClr w14:val="tx1"/>
            </w14:solidFill>
          </w14:textFill>
        </w:rPr>
      </w:pPr>
    </w:p>
    <w:p>
      <w:pPr>
        <w:widowControl/>
        <w:jc w:val="left"/>
        <w:rPr>
          <w:rFonts w:hint="eastAsia" w:ascii="方正小标宋简体" w:hAnsi="仿宋" w:eastAsia="方正小标宋简体"/>
          <w:color w:val="000000" w:themeColor="text1"/>
          <w:sz w:val="32"/>
          <w:szCs w:val="32"/>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widowControl/>
        <w:shd w:val="clear" w:color="auto" w:fill="FFFFFF"/>
        <w:spacing w:line="400" w:lineRule="exact"/>
        <w:jc w:val="left"/>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tbl>
      <w:tblPr>
        <w:tblStyle w:val="7"/>
        <w:tblpPr w:leftFromText="180" w:rightFromText="180" w:vertAnchor="page" w:horzAnchor="margin" w:tblpXSpec="center" w:tblpY="406"/>
        <w:tblW w:w="9692" w:type="dxa"/>
        <w:tblInd w:w="0" w:type="dxa"/>
        <w:tblLayout w:type="autofit"/>
        <w:tblCellMar>
          <w:top w:w="57" w:type="dxa"/>
          <w:left w:w="57" w:type="dxa"/>
          <w:bottom w:w="57" w:type="dxa"/>
          <w:right w:w="57" w:type="dxa"/>
        </w:tblCellMar>
      </w:tblPr>
      <w:tblGrid>
        <w:gridCol w:w="878"/>
        <w:gridCol w:w="991"/>
        <w:gridCol w:w="1165"/>
        <w:gridCol w:w="1389"/>
        <w:gridCol w:w="1417"/>
        <w:gridCol w:w="1559"/>
        <w:gridCol w:w="1558"/>
        <w:gridCol w:w="735"/>
      </w:tblGrid>
      <w:tr>
        <w:tblPrEx>
          <w:tblCellMar>
            <w:top w:w="57" w:type="dxa"/>
            <w:left w:w="57" w:type="dxa"/>
            <w:bottom w:w="57" w:type="dxa"/>
            <w:right w:w="57" w:type="dxa"/>
          </w:tblCellMar>
        </w:tblPrEx>
        <w:trPr>
          <w:trHeight w:val="1710" w:hRule="atLeast"/>
        </w:trPr>
        <w:tc>
          <w:tcPr>
            <w:tcW w:w="9692" w:type="dxa"/>
            <w:gridSpan w:val="8"/>
            <w:tcBorders>
              <w:top w:val="nil"/>
              <w:left w:val="nil"/>
              <w:bottom w:val="nil"/>
              <w:right w:val="nil"/>
            </w:tcBorders>
            <w:noWrap w:val="0"/>
            <w:vAlign w:val="center"/>
          </w:tcPr>
          <w:p>
            <w:pPr>
              <w:widowControl/>
              <w:shd w:val="clear" w:color="auto" w:fill="FFFFFF"/>
              <w:spacing w:line="2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p>
          <w:p>
            <w:pPr>
              <w:widowControl/>
              <w:shd w:val="clear" w:color="auto" w:fill="FFFFFF"/>
              <w:spacing w:line="2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p>
          <w:p>
            <w:pPr>
              <w:widowControl/>
              <w:shd w:val="clear" w:color="auto" w:fill="FFFFFF"/>
              <w:spacing w:line="2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p>
          <w:p>
            <w:pPr>
              <w:widowControl/>
              <w:shd w:val="clear" w:color="auto" w:fill="FFFFFF"/>
              <w:spacing w:line="40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p>
          <w:p>
            <w:pPr>
              <w:widowControl/>
              <w:shd w:val="clear" w:color="auto" w:fill="FFFFFF"/>
              <w:spacing w:line="40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p>
          <w:p>
            <w:pPr>
              <w:widowControl/>
              <w:shd w:val="clear" w:color="auto" w:fill="FFFFFF"/>
              <w:spacing w:line="400" w:lineRule="exact"/>
              <w:ind w:firstLine="320" w:firstLineChars="100"/>
              <w:rPr>
                <w:rFonts w:ascii="方正小标宋简体" w:hAnsi="仿宋" w:eastAsia="方正小标宋简体" w:cs="宋体"/>
                <w:bCs/>
                <w:color w:val="000000" w:themeColor="text1"/>
                <w:kern w:val="0"/>
                <w:sz w:val="32"/>
                <w:szCs w:val="32"/>
                <w14:textFill>
                  <w14:solidFill>
                    <w14:schemeClr w14:val="tx1"/>
                  </w14:solidFill>
                </w14:textFill>
              </w:rPr>
            </w:pPr>
            <w:r>
              <w:rPr>
                <w:rFonts w:hint="eastAsia" w:ascii="方正小标宋简体" w:hAnsi="仿宋" w:eastAsia="方正小标宋简体" w:cs="宋体"/>
                <w:bCs/>
                <w:color w:val="000000" w:themeColor="text1"/>
                <w:kern w:val="0"/>
                <w:sz w:val="32"/>
                <w:szCs w:val="32"/>
                <w14:textFill>
                  <w14:solidFill>
                    <w14:schemeClr w14:val="tx1"/>
                  </w14:solidFill>
                </w14:textFill>
              </w:rPr>
              <w:t>附件10</w:t>
            </w:r>
          </w:p>
          <w:p>
            <w:pPr>
              <w:widowControl/>
              <w:spacing w:line="400" w:lineRule="exact"/>
              <w:jc w:val="center"/>
              <w:rPr>
                <w:rFonts w:ascii="仿宋" w:hAnsi="仿宋" w:eastAsia="仿宋" w:cs="宋体"/>
                <w:b/>
                <w:bCs/>
                <w:color w:val="000000" w:themeColor="text1"/>
                <w:kern w:val="0"/>
                <w:sz w:val="44"/>
                <w:szCs w:val="44"/>
                <w14:textFill>
                  <w14:solidFill>
                    <w14:schemeClr w14:val="tx1"/>
                  </w14:solidFill>
                </w14:textFill>
              </w:rPr>
            </w:pPr>
            <w:r>
              <w:rPr>
                <w:rFonts w:hint="eastAsia" w:ascii="方正小标宋简体" w:hAnsi="仿宋" w:eastAsia="方正小标宋简体" w:cs="宋体"/>
                <w:bCs/>
                <w:color w:val="000000" w:themeColor="text1"/>
                <w:kern w:val="0"/>
                <w:sz w:val="32"/>
                <w:szCs w:val="32"/>
                <w:lang w:eastAsia="zh-CN"/>
                <w14:textFill>
                  <w14:solidFill>
                    <w14:schemeClr w14:val="tx1"/>
                  </w14:solidFill>
                </w14:textFill>
              </w:rPr>
              <w:t>现场制售食品小摊点</w:t>
            </w:r>
            <w:r>
              <w:rPr>
                <w:rFonts w:hint="eastAsia" w:ascii="方正小标宋简体" w:hAnsi="仿宋" w:eastAsia="方正小标宋简体" w:cs="宋体"/>
                <w:bCs/>
                <w:color w:val="000000" w:themeColor="text1"/>
                <w:kern w:val="0"/>
                <w:sz w:val="32"/>
                <w:szCs w:val="32"/>
                <w14:textFill>
                  <w14:solidFill>
                    <w14:schemeClr w14:val="tx1"/>
                  </w14:solidFill>
                </w14:textFill>
              </w:rPr>
              <w:t>静态风险因素量化分值表</w:t>
            </w:r>
          </w:p>
        </w:tc>
      </w:tr>
      <w:tr>
        <w:tblPrEx>
          <w:tblCellMar>
            <w:top w:w="57" w:type="dxa"/>
            <w:left w:w="57" w:type="dxa"/>
            <w:bottom w:w="57" w:type="dxa"/>
            <w:right w:w="57" w:type="dxa"/>
          </w:tblCellMar>
        </w:tblPrEx>
        <w:trPr>
          <w:trHeight w:val="552" w:hRule="atLeast"/>
        </w:trPr>
        <w:tc>
          <w:tcPr>
            <w:tcW w:w="303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评分项（共40分）</w:t>
            </w:r>
          </w:p>
        </w:tc>
        <w:tc>
          <w:tcPr>
            <w:tcW w:w="592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参考分值</w:t>
            </w: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得分</w:t>
            </w:r>
          </w:p>
        </w:tc>
      </w:tr>
      <w:tr>
        <w:tblPrEx>
          <w:tblCellMar>
            <w:top w:w="57" w:type="dxa"/>
            <w:left w:w="57" w:type="dxa"/>
            <w:bottom w:w="57" w:type="dxa"/>
            <w:right w:w="57" w:type="dxa"/>
          </w:tblCellMar>
        </w:tblPrEx>
        <w:trPr>
          <w:trHeight w:val="550" w:hRule="atLeast"/>
        </w:trPr>
        <w:tc>
          <w:tcPr>
            <w:tcW w:w="1869" w:type="dxa"/>
            <w:gridSpan w:val="2"/>
            <w:vMerge w:val="restart"/>
            <w:tcBorders>
              <w:top w:val="nil"/>
              <w:left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eastAsia="zh-CN"/>
                <w14:textFill>
                  <w14:solidFill>
                    <w14:schemeClr w14:val="tx1"/>
                  </w14:solidFill>
                </w14:textFill>
              </w:rPr>
              <w:t>食品制售小摊点</w:t>
            </w:r>
            <w:r>
              <w:rPr>
                <w:rFonts w:hint="eastAsia" w:ascii="仿宋" w:hAnsi="仿宋" w:eastAsia="仿宋" w:cs="宋体"/>
                <w:color w:val="000000" w:themeColor="text1"/>
                <w:kern w:val="0"/>
                <w:szCs w:val="21"/>
                <w14:textFill>
                  <w14:solidFill>
                    <w14:schemeClr w14:val="tx1"/>
                  </w14:solidFill>
                </w14:textFill>
              </w:rPr>
              <w:t>(15分)</w:t>
            </w:r>
          </w:p>
        </w:tc>
        <w:tc>
          <w:tcPr>
            <w:tcW w:w="1165"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规模</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客流量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50人及以下</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客流量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51人～300人</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客流量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301人～500人</w:t>
            </w:r>
          </w:p>
        </w:tc>
        <w:tc>
          <w:tcPr>
            <w:tcW w:w="155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客流量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501人及以上</w:t>
            </w:r>
          </w:p>
        </w:tc>
        <w:tc>
          <w:tcPr>
            <w:tcW w:w="735"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57" w:type="dxa"/>
            <w:left w:w="57" w:type="dxa"/>
            <w:bottom w:w="57" w:type="dxa"/>
            <w:right w:w="57" w:type="dxa"/>
          </w:tblCellMar>
        </w:tblPrEx>
        <w:trPr>
          <w:trHeight w:val="435" w:hRule="atLeast"/>
        </w:trPr>
        <w:tc>
          <w:tcPr>
            <w:tcW w:w="1869" w:type="dxa"/>
            <w:gridSpan w:val="2"/>
            <w:vMerge w:val="continue"/>
            <w:tcBorders>
              <w:left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7</w:t>
            </w:r>
          </w:p>
        </w:tc>
        <w:tc>
          <w:tcPr>
            <w:tcW w:w="155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w:t>
            </w:r>
          </w:p>
        </w:tc>
        <w:tc>
          <w:tcPr>
            <w:tcW w:w="73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458" w:hRule="atLeast"/>
        </w:trPr>
        <w:tc>
          <w:tcPr>
            <w:tcW w:w="1869" w:type="dxa"/>
            <w:gridSpan w:val="2"/>
            <w:vMerge w:val="continue"/>
            <w:tcBorders>
              <w:left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经营方式</w:t>
            </w:r>
          </w:p>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（4分）</w:t>
            </w:r>
          </w:p>
        </w:tc>
        <w:tc>
          <w:tcPr>
            <w:tcW w:w="2806"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公司化运营</w:t>
            </w:r>
          </w:p>
        </w:tc>
        <w:tc>
          <w:tcPr>
            <w:tcW w:w="3117"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个体自营</w:t>
            </w:r>
          </w:p>
        </w:tc>
        <w:tc>
          <w:tcPr>
            <w:tcW w:w="735"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285" w:hRule="atLeast"/>
        </w:trPr>
        <w:tc>
          <w:tcPr>
            <w:tcW w:w="1869" w:type="dxa"/>
            <w:gridSpan w:val="2"/>
            <w:vMerge w:val="continue"/>
            <w:tcBorders>
              <w:left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2806"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w:t>
            </w:r>
          </w:p>
        </w:tc>
        <w:tc>
          <w:tcPr>
            <w:tcW w:w="3117"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735"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135" w:hRule="atLeast"/>
        </w:trPr>
        <w:tc>
          <w:tcPr>
            <w:tcW w:w="1869" w:type="dxa"/>
            <w:gridSpan w:val="2"/>
            <w:vMerge w:val="continue"/>
            <w:tcBorders>
              <w:left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特殊项</w:t>
            </w:r>
          </w:p>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5923" w:type="dxa"/>
            <w:gridSpan w:val="4"/>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食品原料采购无固定供应商</w:t>
            </w:r>
          </w:p>
        </w:tc>
        <w:tc>
          <w:tcPr>
            <w:tcW w:w="735"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195" w:hRule="atLeast"/>
        </w:trPr>
        <w:tc>
          <w:tcPr>
            <w:tcW w:w="1869" w:type="dxa"/>
            <w:gridSpan w:val="2"/>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5923" w:type="dxa"/>
            <w:gridSpan w:val="4"/>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p>
        </w:tc>
        <w:tc>
          <w:tcPr>
            <w:tcW w:w="735"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476" w:hRule="atLeast"/>
        </w:trPr>
        <w:tc>
          <w:tcPr>
            <w:tcW w:w="878"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作</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食</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品</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的</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类</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别</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和</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量</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(25分)</w:t>
            </w:r>
          </w:p>
        </w:tc>
        <w:tc>
          <w:tcPr>
            <w:tcW w:w="991"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早餐类</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制售</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（15分）</w:t>
            </w:r>
          </w:p>
        </w:tc>
        <w:tc>
          <w:tcPr>
            <w:tcW w:w="1165"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r>
              <w:rPr>
                <w:rFonts w:hint="eastAsia" w:ascii="仿宋" w:hAnsi="仿宋" w:eastAsia="仿宋" w:cs="宋体"/>
                <w:color w:val="000000" w:themeColor="text1"/>
                <w:kern w:val="0"/>
                <w:szCs w:val="21"/>
                <w14:textFill>
                  <w14:solidFill>
                    <w14:schemeClr w14:val="tx1"/>
                  </w14:solidFill>
                </w14:textFill>
              </w:rPr>
              <w:br w:type="textWrapping"/>
            </w:r>
            <w:r>
              <w:rPr>
                <w:rFonts w:hint="eastAsia" w:ascii="仿宋" w:hAnsi="仿宋" w:eastAsia="仿宋" w:cs="宋体"/>
                <w:color w:val="000000" w:themeColor="text1"/>
                <w:kern w:val="0"/>
                <w:szCs w:val="21"/>
                <w14:textFill>
                  <w14:solidFill>
                    <w14:schemeClr w14:val="tx1"/>
                  </w14:solidFill>
                </w14:textFill>
              </w:rPr>
              <w:t>（5分）</w:t>
            </w: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1～30</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31～100</w:t>
            </w:r>
          </w:p>
        </w:tc>
        <w:tc>
          <w:tcPr>
            <w:tcW w:w="1558"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101及以上</w:t>
            </w:r>
          </w:p>
        </w:tc>
        <w:tc>
          <w:tcPr>
            <w:tcW w:w="735"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57" w:type="dxa"/>
            <w:left w:w="57" w:type="dxa"/>
            <w:bottom w:w="57" w:type="dxa"/>
            <w:right w:w="57" w:type="dxa"/>
          </w:tblCellMar>
        </w:tblPrEx>
        <w:trPr>
          <w:trHeight w:val="470" w:hRule="atLeast"/>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9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3分</w:t>
            </w:r>
          </w:p>
        </w:tc>
        <w:tc>
          <w:tcPr>
            <w:tcW w:w="1558"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5分</w:t>
            </w: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478" w:hRule="atLeast"/>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9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含易腐原料</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1～30</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31～50</w:t>
            </w:r>
          </w:p>
        </w:tc>
        <w:tc>
          <w:tcPr>
            <w:tcW w:w="1558"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51及以上</w:t>
            </w:r>
          </w:p>
        </w:tc>
        <w:tc>
          <w:tcPr>
            <w:tcW w:w="735"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57" w:type="dxa"/>
            <w:left w:w="57" w:type="dxa"/>
            <w:bottom w:w="57" w:type="dxa"/>
            <w:right w:w="57" w:type="dxa"/>
          </w:tblCellMar>
        </w:tblPrEx>
        <w:trPr>
          <w:trHeight w:val="486" w:hRule="atLeast"/>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9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6分</w:t>
            </w:r>
          </w:p>
        </w:tc>
        <w:tc>
          <w:tcPr>
            <w:tcW w:w="1558"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472" w:hRule="atLeast"/>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991"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预包装</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食品销售</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1165"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单品数</w:t>
            </w:r>
          </w:p>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数量</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1～30</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31～50</w:t>
            </w:r>
          </w:p>
        </w:tc>
        <w:tc>
          <w:tcPr>
            <w:tcW w:w="155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51及以上</w:t>
            </w:r>
          </w:p>
        </w:tc>
        <w:tc>
          <w:tcPr>
            <w:tcW w:w="735" w:type="dxa"/>
            <w:vMerge w:val="restart"/>
            <w:tcBorders>
              <w:top w:val="nil"/>
              <w:left w:val="single" w:color="auto" w:sz="4" w:space="0"/>
              <w:bottom w:val="single" w:color="000000" w:sz="4" w:space="0"/>
              <w:right w:val="single" w:color="auto" w:sz="4" w:space="0"/>
            </w:tcBorders>
            <w:noWrap/>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57" w:type="dxa"/>
            <w:left w:w="57" w:type="dxa"/>
            <w:bottom w:w="57" w:type="dxa"/>
            <w:right w:w="57" w:type="dxa"/>
          </w:tblCellMar>
        </w:tblPrEx>
        <w:trPr>
          <w:trHeight w:val="452" w:hRule="atLeast"/>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991"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165"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c>
          <w:tcPr>
            <w:tcW w:w="138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分值</w:t>
            </w:r>
          </w:p>
        </w:tc>
        <w:tc>
          <w:tcPr>
            <w:tcW w:w="1417"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1分</w:t>
            </w:r>
          </w:p>
        </w:tc>
        <w:tc>
          <w:tcPr>
            <w:tcW w:w="1559"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5分</w:t>
            </w:r>
          </w:p>
        </w:tc>
        <w:tc>
          <w:tcPr>
            <w:tcW w:w="155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10分</w:t>
            </w:r>
          </w:p>
        </w:tc>
        <w:tc>
          <w:tcPr>
            <w:tcW w:w="735"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仿宋" w:hAnsi="仿宋" w:eastAsia="仿宋" w:cs="宋体"/>
                <w:color w:val="000000" w:themeColor="text1"/>
                <w:kern w:val="0"/>
                <w:szCs w:val="21"/>
                <w14:textFill>
                  <w14:solidFill>
                    <w14:schemeClr w14:val="tx1"/>
                  </w14:solidFill>
                </w14:textFill>
              </w:rPr>
            </w:pPr>
          </w:p>
        </w:tc>
      </w:tr>
      <w:tr>
        <w:tblPrEx>
          <w:tblCellMar>
            <w:top w:w="57" w:type="dxa"/>
            <w:left w:w="57" w:type="dxa"/>
            <w:bottom w:w="57" w:type="dxa"/>
            <w:right w:w="57" w:type="dxa"/>
          </w:tblCellMar>
        </w:tblPrEx>
        <w:trPr>
          <w:trHeight w:val="394" w:hRule="atLeast"/>
        </w:trPr>
        <w:tc>
          <w:tcPr>
            <w:tcW w:w="303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得分总和</w:t>
            </w:r>
          </w:p>
        </w:tc>
        <w:tc>
          <w:tcPr>
            <w:tcW w:w="6658" w:type="dxa"/>
            <w:gridSpan w:val="5"/>
            <w:tcBorders>
              <w:top w:val="single" w:color="auto" w:sz="4" w:space="0"/>
              <w:left w:val="single" w:color="auto" w:sz="4" w:space="0"/>
              <w:bottom w:val="single" w:color="auto" w:sz="4" w:space="0"/>
              <w:right w:val="single" w:color="000000" w:sz="4" w:space="0"/>
            </w:tcBorders>
            <w:noWrap w:val="0"/>
            <w:vAlign w:val="center"/>
          </w:tcPr>
          <w:p>
            <w:pPr>
              <w:spacing w:line="22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w:t>
            </w:r>
          </w:p>
        </w:tc>
      </w:tr>
      <w:tr>
        <w:tblPrEx>
          <w:tblCellMar>
            <w:top w:w="57" w:type="dxa"/>
            <w:left w:w="57" w:type="dxa"/>
            <w:bottom w:w="57" w:type="dxa"/>
            <w:right w:w="57" w:type="dxa"/>
          </w:tblCellMar>
        </w:tblPrEx>
        <w:trPr>
          <w:trHeight w:val="2528" w:hRule="atLeast"/>
        </w:trPr>
        <w:tc>
          <w:tcPr>
            <w:tcW w:w="878" w:type="dxa"/>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备</w:t>
            </w:r>
          </w:p>
          <w:p>
            <w:pPr>
              <w:widowControl/>
              <w:spacing w:line="20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0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p>
          <w:p>
            <w:pPr>
              <w:widowControl/>
              <w:spacing w:line="200" w:lineRule="exact"/>
              <w:ind w:left="420" w:hanging="420" w:hangingChars="20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注</w:t>
            </w:r>
          </w:p>
          <w:p>
            <w:pPr>
              <w:widowControl/>
              <w:spacing w:line="200" w:lineRule="exact"/>
              <w:ind w:left="420" w:leftChars="200"/>
              <w:jc w:val="left"/>
              <w:rPr>
                <w:rFonts w:ascii="仿宋" w:hAnsi="仿宋" w:eastAsia="仿宋" w:cs="宋体"/>
                <w:color w:val="000000" w:themeColor="text1"/>
                <w:kern w:val="0"/>
                <w:szCs w:val="21"/>
                <w14:textFill>
                  <w14:solidFill>
                    <w14:schemeClr w14:val="tx1"/>
                  </w14:solidFill>
                </w14:textFill>
              </w:rPr>
            </w:pPr>
          </w:p>
        </w:tc>
        <w:tc>
          <w:tcPr>
            <w:tcW w:w="8814"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1.各项评分总和为40分。因实际情况存在缺项情形的，该项评分为“0”。特殊项得分为各特殊项分值累加。</w:t>
            </w:r>
          </w:p>
          <w:p>
            <w:pPr>
              <w:widowControl/>
              <w:spacing w:line="200" w:lineRule="exact"/>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2</w:t>
            </w:r>
            <w:r>
              <w:rPr>
                <w:rFonts w:ascii="仿宋" w:hAnsi="仿宋" w:eastAsia="仿宋" w:cs="宋体"/>
                <w:color w:val="000000" w:themeColor="text1"/>
                <w:kern w:val="0"/>
                <w:szCs w:val="21"/>
                <w14:textFill>
                  <w14:solidFill>
                    <w14:schemeClr w14:val="tx1"/>
                  </w14:solidFill>
                </w14:textFill>
              </w:rPr>
              <w:t>.数量单位为“个”</w:t>
            </w:r>
            <w:r>
              <w:rPr>
                <w:rFonts w:hint="eastAsia" w:ascii="仿宋" w:hAnsi="仿宋" w:eastAsia="仿宋" w:cs="宋体"/>
                <w:color w:val="000000" w:themeColor="text1"/>
                <w:kern w:val="0"/>
                <w:szCs w:val="21"/>
                <w14:textFill>
                  <w14:solidFill>
                    <w14:schemeClr w14:val="tx1"/>
                  </w14:solidFill>
                </w14:textFill>
              </w:rPr>
              <w:t>。</w:t>
            </w:r>
          </w:p>
          <w:p>
            <w:pPr>
              <w:widowControl/>
              <w:spacing w:line="20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3</w:t>
            </w:r>
            <w:r>
              <w:rPr>
                <w:rFonts w:ascii="仿宋" w:hAnsi="仿宋" w:eastAsia="仿宋" w:cs="宋体"/>
                <w:color w:val="000000" w:themeColor="text1"/>
                <w:kern w:val="0"/>
                <w:szCs w:val="21"/>
                <w14:textFill>
                  <w14:solidFill>
                    <w14:schemeClr w14:val="tx1"/>
                  </w14:solidFill>
                </w14:textFill>
              </w:rPr>
              <w:t>.单品数是指最新菜单中所展示的独立销售的食品品种数</w:t>
            </w:r>
            <w:r>
              <w:rPr>
                <w:rFonts w:hint="eastAsia" w:ascii="仿宋" w:hAnsi="仿宋" w:eastAsia="仿宋" w:cs="宋体"/>
                <w:color w:val="000000" w:themeColor="text1"/>
                <w:kern w:val="0"/>
                <w:szCs w:val="21"/>
                <w14:textFill>
                  <w14:solidFill>
                    <w14:schemeClr w14:val="tx1"/>
                  </w14:solidFill>
                </w14:textFill>
              </w:rPr>
              <w:t>，</w:t>
            </w:r>
            <w:r>
              <w:rPr>
                <w:rFonts w:ascii="仿宋" w:hAnsi="仿宋" w:eastAsia="仿宋" w:cs="宋体"/>
                <w:color w:val="000000" w:themeColor="text1"/>
                <w:kern w:val="0"/>
                <w:szCs w:val="21"/>
                <w14:textFill>
                  <w14:solidFill>
                    <w14:schemeClr w14:val="tx1"/>
                  </w14:solidFill>
                </w14:textFill>
              </w:rPr>
              <w:t>不含制作过程中各类食品原料和半成品数量。</w:t>
            </w:r>
          </w:p>
          <w:p>
            <w:pPr>
              <w:widowControl/>
              <w:spacing w:line="20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4</w:t>
            </w:r>
            <w:r>
              <w:rPr>
                <w:rFonts w:ascii="仿宋" w:hAnsi="仿宋" w:eastAsia="仿宋" w:cs="宋体"/>
                <w:color w:val="000000" w:themeColor="text1"/>
                <w:kern w:val="0"/>
                <w:szCs w:val="21"/>
                <w14:textFill>
                  <w14:solidFill>
                    <w14:schemeClr w14:val="tx1"/>
                  </w14:solidFill>
                </w14:textFill>
              </w:rPr>
              <w:t>.具有热食、冷食、生食等多种情形,难以明确归类的食品，可按食品安全风险等级最高的情形进行归类。</w:t>
            </w:r>
          </w:p>
          <w:p>
            <w:pPr>
              <w:widowControl/>
              <w:spacing w:line="200" w:lineRule="exact"/>
              <w:ind w:left="210" w:hanging="210" w:hangingChars="100"/>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lang w:val="en-US" w:eastAsia="zh-CN"/>
                <w14:textFill>
                  <w14:solidFill>
                    <w14:schemeClr w14:val="tx1"/>
                  </w14:solidFill>
                </w14:textFill>
              </w:rPr>
              <w:t>5</w:t>
            </w:r>
            <w:r>
              <w:rPr>
                <w:rFonts w:ascii="仿宋" w:hAnsi="仿宋" w:eastAsia="仿宋" w:cs="宋体"/>
                <w:color w:val="000000" w:themeColor="text1"/>
                <w:kern w:val="0"/>
                <w:szCs w:val="21"/>
                <w14:textFill>
                  <w14:solidFill>
                    <w14:schemeClr w14:val="tx1"/>
                  </w14:solidFill>
                </w14:textFill>
              </w:rPr>
              <w:t>.易腐原料是指蛋白质或碳水化合物含量较高，通常pH大于4.6且水分活度大于0.85，需要控制温度和时间以防止腐败变质和细菌生长、繁殖、产毒的食品。如乳、蛋、禽、畜、水产品等动物源性食品（含）及豆制品等。</w:t>
            </w:r>
          </w:p>
        </w:tc>
      </w:tr>
    </w:tbl>
    <w:p>
      <w:pPr>
        <w:widowControl/>
        <w:shd w:val="clear" w:color="auto" w:fill="FFFFFF"/>
        <w:spacing w:line="400" w:lineRule="exact"/>
        <w:jc w:val="left"/>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pStyle w:val="2"/>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widowControl/>
        <w:shd w:val="clear" w:color="auto" w:fill="FFFFFF"/>
        <w:spacing w:line="400" w:lineRule="exact"/>
        <w:jc w:val="left"/>
        <w:rPr>
          <w:rFonts w:hint="default" w:ascii="方正小标宋简体" w:eastAsia="方正小标宋简体"/>
          <w:color w:val="000000" w:themeColor="text1"/>
          <w:kern w:val="0"/>
          <w:sz w:val="32"/>
          <w:szCs w:val="32"/>
          <w:lang w:val="en-US" w:eastAsia="zh-CN"/>
          <w14:textFill>
            <w14:solidFill>
              <w14:schemeClr w14:val="tx1"/>
            </w14:solidFill>
          </w14:textFill>
        </w:rPr>
      </w:pPr>
      <w:r>
        <w:rPr>
          <w:rFonts w:hint="eastAsia" w:ascii="方正小标宋简体" w:hAnsi="黑体" w:eastAsia="方正小标宋简体"/>
          <w:color w:val="000000" w:themeColor="text1"/>
          <w:kern w:val="0"/>
          <w:sz w:val="32"/>
          <w:szCs w:val="32"/>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11</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w:t>
      </w:r>
      <w:r>
        <w:rPr>
          <w:rFonts w:hint="eastAsia" w:ascii="方正小标宋简体" w:eastAsia="方正小标宋简体"/>
          <w:color w:val="000000" w:themeColor="text1"/>
          <w:kern w:val="0"/>
          <w:sz w:val="32"/>
          <w:szCs w:val="32"/>
          <w:lang w:eastAsia="zh-CN"/>
          <w14:textFill>
            <w14:solidFill>
              <w14:schemeClr w14:val="tx1"/>
            </w14:solidFill>
          </w14:textFill>
        </w:rPr>
        <w:t>销售小摊点</w:t>
      </w:r>
      <w:r>
        <w:rPr>
          <w:rFonts w:hint="eastAsia" w:ascii="方正小标宋简体" w:eastAsia="方正小标宋简体"/>
          <w:color w:val="000000" w:themeColor="text1"/>
          <w:kern w:val="0"/>
          <w:sz w:val="32"/>
          <w:szCs w:val="32"/>
          <w14:textFill>
            <w14:solidFill>
              <w14:schemeClr w14:val="tx1"/>
            </w14:solidFill>
          </w14:textFill>
        </w:rPr>
        <w:t>静态风险因素量化分值表</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p>
    <w:tbl>
      <w:tblPr>
        <w:tblStyle w:val="7"/>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33"/>
        <w:gridCol w:w="1700"/>
        <w:gridCol w:w="976"/>
        <w:gridCol w:w="1069"/>
        <w:gridCol w:w="1368"/>
        <w:gridCol w:w="1507"/>
        <w:gridCol w:w="1172"/>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59" w:type="dxa"/>
            <w:noWrap/>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序号</w:t>
            </w:r>
          </w:p>
        </w:tc>
        <w:tc>
          <w:tcPr>
            <w:tcW w:w="2833" w:type="dxa"/>
            <w:gridSpan w:val="2"/>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评分项（共40分）</w:t>
            </w:r>
          </w:p>
        </w:tc>
        <w:tc>
          <w:tcPr>
            <w:tcW w:w="6092" w:type="dxa"/>
            <w:gridSpan w:val="5"/>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参考分值</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59" w:type="dxa"/>
            <w:vMerge w:val="restart"/>
            <w:noWrap/>
            <w:vAlign w:val="center"/>
          </w:tcPr>
          <w:p>
            <w:pPr>
              <w:widowControl/>
              <w:spacing w:line="280" w:lineRule="exact"/>
              <w:jc w:val="center"/>
              <w:rPr>
                <w:rFonts w:hint="eastAsia" w:ascii="仿宋" w:hAnsi="仿宋" w:eastAsia="仿宋"/>
                <w:color w:val="000000" w:themeColor="text1"/>
                <w:kern w:val="0"/>
                <w:sz w:val="20"/>
                <w:szCs w:val="20"/>
                <w:lang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w:t>
            </w:r>
          </w:p>
        </w:tc>
        <w:tc>
          <w:tcPr>
            <w:tcW w:w="1133"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预包装食品单品数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10</w:t>
            </w:r>
            <w:r>
              <w:rPr>
                <w:rFonts w:ascii="仿宋" w:hAnsi="仿宋" w:eastAsia="仿宋"/>
                <w:color w:val="000000" w:themeColor="text1"/>
                <w:kern w:val="0"/>
                <w:sz w:val="20"/>
                <w:szCs w:val="20"/>
                <w14:textFill>
                  <w14:solidFill>
                    <w14:schemeClr w14:val="tx1"/>
                  </w14:solidFill>
                </w14:textFill>
              </w:rPr>
              <w:t>分）</w:t>
            </w:r>
          </w:p>
        </w:tc>
        <w:tc>
          <w:tcPr>
            <w:tcW w:w="1700"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50以下 </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101</w:t>
            </w: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s="Times New Roman"/>
                <w:color w:val="000000" w:themeColor="text1"/>
                <w:kern w:val="0"/>
                <w:sz w:val="20"/>
                <w:szCs w:val="20"/>
                <w:lang w:val="en-US" w:eastAsia="zh-CN" w:bidi="ar-SA"/>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50以下 </w:t>
            </w:r>
          </w:p>
        </w:tc>
        <w:tc>
          <w:tcPr>
            <w:tcW w:w="1368" w:type="dxa"/>
            <w:noWrap w:val="0"/>
            <w:vAlign w:val="center"/>
          </w:tcPr>
          <w:p>
            <w:pPr>
              <w:widowControl/>
              <w:spacing w:line="280" w:lineRule="exact"/>
              <w:jc w:val="center"/>
              <w:rPr>
                <w:rFonts w:ascii="仿宋" w:hAnsi="仿宋" w:eastAsia="仿宋" w:cs="Times New Roman"/>
                <w:color w:val="000000" w:themeColor="text1"/>
                <w:kern w:val="0"/>
                <w:sz w:val="20"/>
                <w:szCs w:val="20"/>
                <w:lang w:val="en-US" w:eastAsia="zh-CN" w:bidi="ar-SA"/>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00</w:t>
            </w:r>
          </w:p>
        </w:tc>
        <w:tc>
          <w:tcPr>
            <w:tcW w:w="1507" w:type="dxa"/>
            <w:noWrap w:val="0"/>
            <w:vAlign w:val="center"/>
          </w:tcPr>
          <w:p>
            <w:pPr>
              <w:widowControl/>
              <w:spacing w:line="280" w:lineRule="exact"/>
              <w:jc w:val="center"/>
              <w:rPr>
                <w:rFonts w:ascii="仿宋" w:hAnsi="仿宋" w:eastAsia="仿宋" w:cs="Times New Roman"/>
                <w:color w:val="000000" w:themeColor="text1"/>
                <w:kern w:val="0"/>
                <w:sz w:val="20"/>
                <w:szCs w:val="20"/>
                <w:lang w:val="en-US" w:eastAsia="zh-CN" w:bidi="ar-SA"/>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101</w:t>
            </w: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00</w:t>
            </w:r>
          </w:p>
        </w:tc>
        <w:tc>
          <w:tcPr>
            <w:tcW w:w="1172" w:type="dxa"/>
            <w:noWrap w:val="0"/>
            <w:vAlign w:val="center"/>
          </w:tcPr>
          <w:p>
            <w:pPr>
              <w:widowControl/>
              <w:spacing w:line="280" w:lineRule="exact"/>
              <w:jc w:val="center"/>
              <w:rPr>
                <w:rFonts w:ascii="仿宋" w:hAnsi="仿宋" w:eastAsia="仿宋" w:cs="Times New Roman"/>
                <w:color w:val="000000" w:themeColor="text1"/>
                <w:kern w:val="0"/>
                <w:sz w:val="20"/>
                <w:szCs w:val="20"/>
                <w:lang w:val="en-US" w:eastAsia="zh-CN" w:bidi="ar-SA"/>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p>
        </w:tc>
        <w:tc>
          <w:tcPr>
            <w:tcW w:w="1133"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散装食品单品数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5分）</w:t>
            </w:r>
          </w:p>
        </w:tc>
        <w:tc>
          <w:tcPr>
            <w:tcW w:w="1700"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1-100</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101-300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301-1000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9</w:t>
            </w:r>
            <w:r>
              <w:rPr>
                <w:rFonts w:ascii="仿宋" w:hAnsi="仿宋" w:eastAsia="仿宋"/>
                <w:color w:val="000000" w:themeColor="text1"/>
                <w:kern w:val="0"/>
                <w:sz w:val="20"/>
                <w:szCs w:val="20"/>
                <w14:textFill>
                  <w14:solidFill>
                    <w14:schemeClr w14:val="tx1"/>
                  </w14:solidFill>
                </w14:textFill>
              </w:rPr>
              <w:t>分）</w:t>
            </w: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50以下</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51-100</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101-200</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201以上</w:t>
            </w:r>
          </w:p>
        </w:tc>
        <w:tc>
          <w:tcPr>
            <w:tcW w:w="574" w:type="dxa"/>
            <w:vMerge w:val="restart"/>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00" w:type="dxa"/>
            <w:vMerge w:val="continue"/>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76"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69"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1368"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1507"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8</w:t>
            </w:r>
            <w:r>
              <w:rPr>
                <w:rFonts w:ascii="仿宋" w:hAnsi="仿宋" w:eastAsia="仿宋"/>
                <w:color w:val="000000" w:themeColor="text1"/>
                <w:kern w:val="0"/>
                <w:sz w:val="20"/>
                <w:szCs w:val="20"/>
                <w14:textFill>
                  <w14:solidFill>
                    <w14:schemeClr w14:val="tx1"/>
                  </w14:solidFill>
                </w14:textFill>
              </w:rPr>
              <w:t>分</w:t>
            </w:r>
          </w:p>
        </w:tc>
        <w:tc>
          <w:tcPr>
            <w:tcW w:w="1172"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9</w:t>
            </w:r>
            <w:r>
              <w:rPr>
                <w:rFonts w:ascii="仿宋" w:hAnsi="仿宋" w:eastAsia="仿宋"/>
                <w:color w:val="000000" w:themeColor="text1"/>
                <w:kern w:val="0"/>
                <w:sz w:val="20"/>
                <w:szCs w:val="20"/>
                <w14:textFill>
                  <w14:solidFill>
                    <w14:schemeClr w14:val="tx1"/>
                  </w14:solidFill>
                </w14:textFill>
              </w:rPr>
              <w:t>分</w:t>
            </w:r>
          </w:p>
        </w:tc>
        <w:tc>
          <w:tcPr>
            <w:tcW w:w="574"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59" w:type="dxa"/>
            <w:vMerge w:val="restart"/>
            <w:noWrap/>
            <w:vAlign w:val="center"/>
          </w:tcPr>
          <w:p>
            <w:pPr>
              <w:widowControl/>
              <w:spacing w:line="280" w:lineRule="exact"/>
              <w:jc w:val="center"/>
              <w:rPr>
                <w:rFonts w:hint="eastAsia"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3</w:t>
            </w:r>
          </w:p>
        </w:tc>
        <w:tc>
          <w:tcPr>
            <w:tcW w:w="1133" w:type="dxa"/>
            <w:vMerge w:val="restart"/>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15</w:t>
            </w:r>
            <w:r>
              <w:rPr>
                <w:rFonts w:ascii="仿宋" w:hAnsi="仿宋" w:eastAsia="仿宋"/>
                <w:color w:val="000000" w:themeColor="text1"/>
                <w:kern w:val="0"/>
                <w:sz w:val="20"/>
                <w:szCs w:val="20"/>
                <w14:textFill>
                  <w14:solidFill>
                    <w14:schemeClr w14:val="tx1"/>
                  </w14:solidFill>
                </w14:textFill>
              </w:rPr>
              <w:t>分）</w:t>
            </w:r>
          </w:p>
        </w:tc>
        <w:tc>
          <w:tcPr>
            <w:tcW w:w="1700"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畜禽水产品</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lang w:val="en-US" w:eastAsia="zh-CN"/>
                <w14:textFill>
                  <w14:solidFill>
                    <w14:schemeClr w14:val="tx1"/>
                  </w14:solidFill>
                </w14:textFill>
              </w:rPr>
              <w:t>7</w:t>
            </w:r>
            <w:r>
              <w:rPr>
                <w:rFonts w:ascii="仿宋" w:hAnsi="仿宋" w:eastAsia="仿宋"/>
                <w:color w:val="000000" w:themeColor="text1"/>
                <w:kern w:val="0"/>
                <w:sz w:val="20"/>
                <w:szCs w:val="20"/>
                <w14:textFill>
                  <w14:solidFill>
                    <w14:schemeClr w14:val="tx1"/>
                  </w14:solidFill>
                </w14:textFill>
              </w:rPr>
              <w:t>分）</w:t>
            </w:r>
          </w:p>
        </w:tc>
        <w:tc>
          <w:tcPr>
            <w:tcW w:w="6092" w:type="dxa"/>
            <w:gridSpan w:val="5"/>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7</w:t>
            </w:r>
            <w:r>
              <w:rPr>
                <w:rFonts w:hint="eastAsia" w:ascii="仿宋" w:hAnsi="仿宋" w:eastAsia="仿宋"/>
                <w:color w:val="000000" w:themeColor="text1"/>
                <w:kern w:val="0"/>
                <w:sz w:val="20"/>
                <w:szCs w:val="20"/>
                <w14:textFill>
                  <w14:solidFill>
                    <w14:schemeClr w14:val="tx1"/>
                  </w14:solidFill>
                </w14:textFill>
              </w:rPr>
              <w:t>分</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9" w:type="dxa"/>
            <w:vMerge w:val="continue"/>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33" w:type="dxa"/>
            <w:vMerge w:val="continue"/>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1700"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进口食用农产品（</w:t>
            </w:r>
            <w:r>
              <w:rPr>
                <w:rFonts w:hint="eastAsia" w:ascii="仿宋" w:hAnsi="仿宋" w:eastAsia="仿宋"/>
                <w:color w:val="000000" w:themeColor="text1"/>
                <w:kern w:val="0"/>
                <w:sz w:val="20"/>
                <w:szCs w:val="20"/>
                <w:lang w:val="en-US" w:eastAsia="zh-CN"/>
                <w14:textFill>
                  <w14:solidFill>
                    <w14:schemeClr w14:val="tx1"/>
                  </w14:solidFill>
                </w14:textFill>
              </w:rPr>
              <w:t>8</w:t>
            </w:r>
            <w:r>
              <w:rPr>
                <w:rFonts w:ascii="仿宋" w:hAnsi="仿宋" w:eastAsia="仿宋"/>
                <w:color w:val="000000" w:themeColor="text1"/>
                <w:kern w:val="0"/>
                <w:sz w:val="20"/>
                <w:szCs w:val="20"/>
                <w14:textFill>
                  <w14:solidFill>
                    <w14:schemeClr w14:val="tx1"/>
                  </w14:solidFill>
                </w14:textFill>
              </w:rPr>
              <w:t>分）</w:t>
            </w:r>
          </w:p>
        </w:tc>
        <w:tc>
          <w:tcPr>
            <w:tcW w:w="6092" w:type="dxa"/>
            <w:gridSpan w:val="5"/>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8</w:t>
            </w:r>
            <w:r>
              <w:rPr>
                <w:rFonts w:ascii="仿宋" w:hAnsi="仿宋" w:eastAsia="仿宋"/>
                <w:color w:val="000000" w:themeColor="text1"/>
                <w:kern w:val="0"/>
                <w:sz w:val="20"/>
                <w:szCs w:val="20"/>
                <w14:textFill>
                  <w14:solidFill>
                    <w14:schemeClr w14:val="tx1"/>
                  </w14:solidFill>
                </w14:textFill>
              </w:rPr>
              <w:t>分</w:t>
            </w:r>
          </w:p>
        </w:tc>
        <w:tc>
          <w:tcPr>
            <w:tcW w:w="574" w:type="dxa"/>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492" w:type="dxa"/>
            <w:gridSpan w:val="3"/>
            <w:tcBorders>
              <w:bottom w:val="single" w:color="auto" w:sz="4" w:space="0"/>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p>
        </w:tc>
        <w:tc>
          <w:tcPr>
            <w:tcW w:w="6666" w:type="dxa"/>
            <w:gridSpan w:val="6"/>
            <w:tcBorders>
              <w:bottom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659" w:type="dxa"/>
            <w:noWrap w:val="0"/>
            <w:vAlign w:val="center"/>
          </w:tcPr>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备</w:t>
            </w: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注</w:t>
            </w:r>
          </w:p>
          <w:p>
            <w:pPr>
              <w:widowControl/>
              <w:spacing w:line="220" w:lineRule="exact"/>
              <w:ind w:firstLine="360" w:firstLineChars="200"/>
              <w:jc w:val="center"/>
              <w:rPr>
                <w:rFonts w:ascii="仿宋" w:hAnsi="仿宋" w:eastAsia="仿宋"/>
                <w:color w:val="000000" w:themeColor="text1"/>
                <w:kern w:val="0"/>
                <w:sz w:val="18"/>
                <w:szCs w:val="18"/>
                <w14:textFill>
                  <w14:solidFill>
                    <w14:schemeClr w14:val="tx1"/>
                  </w14:solidFill>
                </w14:textFill>
              </w:rPr>
            </w:pPr>
          </w:p>
          <w:p>
            <w:pPr>
              <w:spacing w:line="220" w:lineRule="exact"/>
              <w:jc w:val="center"/>
              <w:rPr>
                <w:rFonts w:ascii="仿宋" w:hAnsi="仿宋" w:eastAsia="仿宋"/>
                <w:color w:val="000000" w:themeColor="text1"/>
                <w:kern w:val="0"/>
                <w:sz w:val="18"/>
                <w:szCs w:val="18"/>
                <w14:textFill>
                  <w14:solidFill>
                    <w14:schemeClr w14:val="tx1"/>
                  </w14:solidFill>
                </w14:textFill>
              </w:rPr>
            </w:pPr>
          </w:p>
        </w:tc>
        <w:tc>
          <w:tcPr>
            <w:tcW w:w="9499" w:type="dxa"/>
            <w:gridSpan w:val="8"/>
            <w:noWrap w:val="0"/>
            <w:vAlign w:val="center"/>
          </w:tcPr>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1</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评分总和为40分，评分项因实际情况缺项的，对应的得分为“0”。</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2</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单品数不含制作过程中各类食品原料和半成品数量，指独立展售食品的品种数。</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3</w:t>
            </w:r>
            <w:r>
              <w:rPr>
                <w:rFonts w:ascii="仿宋" w:hAnsi="仿宋" w:eastAsia="仿宋"/>
                <w:color w:val="000000" w:themeColor="text1"/>
                <w:kern w:val="0"/>
                <w:sz w:val="18"/>
                <w:szCs w:val="18"/>
                <w14:textFill>
                  <w14:solidFill>
                    <w14:schemeClr w14:val="tx1"/>
                  </w14:solidFill>
                </w14:textFill>
              </w:rPr>
              <w:t>.表中畜禽水产品不包括进口食用农产品。</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4</w:t>
            </w:r>
            <w:r>
              <w:rPr>
                <w:rFonts w:hint="eastAsia" w:ascii="仿宋" w:hAnsi="仿宋" w:eastAsia="仿宋"/>
                <w:color w:val="000000" w:themeColor="text1"/>
                <w:kern w:val="0"/>
                <w:sz w:val="18"/>
                <w:szCs w:val="18"/>
                <w14:textFill>
                  <w14:solidFill>
                    <w14:schemeClr w14:val="tx1"/>
                  </w14:solidFill>
                </w14:textFill>
              </w:rPr>
              <w:t>.“以上”、“以下”均包含本数。</w:t>
            </w:r>
          </w:p>
        </w:tc>
      </w:tr>
    </w:tbl>
    <w:p>
      <w:pPr>
        <w:rPr>
          <w:color w:val="000000" w:themeColor="text1"/>
          <w14:textFill>
            <w14:solidFill>
              <w14:schemeClr w14:val="tx1"/>
            </w14:solidFill>
          </w14:textFill>
        </w:rPr>
      </w:pPr>
    </w:p>
    <w:p>
      <w:pPr>
        <w:widowControl/>
        <w:shd w:val="clear" w:color="auto" w:fill="FFFFFF"/>
        <w:spacing w:line="400" w:lineRule="exact"/>
        <w:jc w:val="left"/>
        <w:rPr>
          <w:rFonts w:hint="eastAsia" w:ascii="方正小标宋简体" w:eastAsia="方正小标宋简体"/>
          <w:color w:val="000000" w:themeColor="text1"/>
          <w:kern w:val="0"/>
          <w:sz w:val="32"/>
          <w:szCs w:val="32"/>
          <w:lang w:val="en-US" w:eastAsia="zh-CN"/>
          <w14:textFill>
            <w14:solidFill>
              <w14:schemeClr w14:val="tx1"/>
            </w14:solidFill>
          </w14:textFill>
        </w:rPr>
      </w:pPr>
      <w:r>
        <w:rPr>
          <w:rFonts w:hint="eastAsia" w:ascii="方正小标宋简体" w:hAnsi="黑体" w:eastAsia="方正小标宋简体"/>
          <w:color w:val="000000" w:themeColor="text1"/>
          <w:kern w:val="0"/>
          <w:sz w:val="32"/>
          <w:szCs w:val="32"/>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12</w:t>
      </w:r>
    </w:p>
    <w:p>
      <w:pPr>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食品销售者动态风险因素量化分值表</w:t>
      </w:r>
    </w:p>
    <w:p>
      <w:pPr>
        <w:spacing w:line="400" w:lineRule="exact"/>
        <w:ind w:left="-567" w:leftChars="-270" w:firstLine="566" w:firstLineChars="177"/>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（食品销售者日常监督检查要点表）</w:t>
      </w:r>
    </w:p>
    <w:p>
      <w:pPr>
        <w:spacing w:line="400" w:lineRule="exact"/>
        <w:ind w:left="-567" w:leftChars="-270"/>
        <w:rPr>
          <w:rFonts w:ascii="方正小标宋简体" w:eastAsia="方正小标宋简体"/>
          <w:color w:val="000000" w:themeColor="text1"/>
          <w:kern w:val="0"/>
          <w:sz w:val="32"/>
          <w:szCs w:val="32"/>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被评定人：　　　　　　　　　　　　　　　　　　　　　　　　　　　　</w:t>
      </w:r>
      <w:r>
        <w:rPr>
          <w:rFonts w:hint="eastAsia" w:ascii="仿宋" w:hAnsi="仿宋" w:eastAsia="仿宋"/>
          <w:color w:val="000000" w:themeColor="text1"/>
          <w:sz w:val="20"/>
          <w:szCs w:val="20"/>
          <w14:textFill>
            <w14:solidFill>
              <w14:schemeClr w14:val="tx1"/>
            </w14:solidFill>
          </w14:textFill>
        </w:rPr>
        <w:t xml:space="preserve">    </w:t>
      </w:r>
      <w:r>
        <w:rPr>
          <w:rFonts w:ascii="仿宋" w:hAnsi="仿宋" w:eastAsia="仿宋"/>
          <w:color w:val="000000" w:themeColor="text1"/>
          <w:sz w:val="20"/>
          <w:szCs w:val="20"/>
          <w14:textFill>
            <w14:solidFill>
              <w14:schemeClr w14:val="tx1"/>
            </w14:solidFill>
          </w14:textFill>
        </w:rPr>
        <w:t>评定时间：</w:t>
      </w:r>
    </w:p>
    <w:tbl>
      <w:tblPr>
        <w:tblStyle w:val="7"/>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5"/>
        <w:gridCol w:w="850"/>
        <w:gridCol w:w="6042"/>
        <w:gridCol w:w="1277"/>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951" w:type="dxa"/>
            <w:tcBorders>
              <w:tl2br w:val="nil"/>
              <w:tr2bl w:val="nil"/>
            </w:tcBorders>
            <w:noWrap w:val="0"/>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检查</w:t>
            </w:r>
          </w:p>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项目</w:t>
            </w:r>
          </w:p>
        </w:tc>
        <w:tc>
          <w:tcPr>
            <w:tcW w:w="905" w:type="dxa"/>
            <w:gridSpan w:val="2"/>
            <w:tcBorders>
              <w:tl2br w:val="nil"/>
              <w:tr2bl w:val="nil"/>
            </w:tcBorders>
            <w:noWrap w:val="0"/>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序号</w:t>
            </w:r>
          </w:p>
        </w:tc>
        <w:tc>
          <w:tcPr>
            <w:tcW w:w="6042" w:type="dxa"/>
            <w:tcBorders>
              <w:tl2br w:val="nil"/>
              <w:tr2bl w:val="nil"/>
            </w:tcBorders>
            <w:noWrap w:val="0"/>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检  查  内  容</w:t>
            </w:r>
          </w:p>
        </w:tc>
        <w:tc>
          <w:tcPr>
            <w:tcW w:w="1277" w:type="dxa"/>
            <w:tcBorders>
              <w:tl2br w:val="nil"/>
              <w:tr2bl w:val="nil"/>
            </w:tcBorders>
            <w:noWrap w:val="0"/>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评价</w:t>
            </w:r>
          </w:p>
        </w:tc>
        <w:tc>
          <w:tcPr>
            <w:tcW w:w="829" w:type="dxa"/>
            <w:tcBorders>
              <w:tl2br w:val="nil"/>
              <w:tr2bl w:val="nil"/>
            </w:tcBorders>
            <w:noWrap w:val="0"/>
            <w:vAlign w:val="center"/>
          </w:tcPr>
          <w:p>
            <w:pPr>
              <w:widowControl/>
              <w:spacing w:line="280" w:lineRule="exact"/>
              <w:jc w:val="center"/>
              <w:rPr>
                <w:rFonts w:ascii="仿宋" w:hAnsi="仿宋" w:eastAsia="仿宋"/>
                <w:b/>
                <w:bCs/>
                <w:color w:val="000000" w:themeColor="text1"/>
                <w:kern w:val="0"/>
                <w:sz w:val="20"/>
                <w:szCs w:val="20"/>
                <w14:textFill>
                  <w14:solidFill>
                    <w14:schemeClr w14:val="tx1"/>
                  </w14:solidFill>
                </w14:textFill>
              </w:rPr>
            </w:pPr>
            <w:r>
              <w:rPr>
                <w:rFonts w:hint="eastAsia" w:ascii="仿宋" w:hAnsi="仿宋" w:eastAsia="仿宋"/>
                <w:b/>
                <w:bCs/>
                <w:color w:val="000000" w:themeColor="text1"/>
                <w:kern w:val="0"/>
                <w:sz w:val="20"/>
                <w:szCs w:val="20"/>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1.经营资质</w:t>
            </w:r>
          </w:p>
        </w:tc>
        <w:tc>
          <w:tcPr>
            <w:tcW w:w="905" w:type="dxa"/>
            <w:gridSpan w:val="2"/>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销售者持有的食品经营许可证</w:t>
            </w:r>
            <w:r>
              <w:rPr>
                <w:rFonts w:hint="eastAsia" w:ascii="仿宋" w:hAnsi="仿宋" w:eastAsia="仿宋"/>
                <w:color w:val="000000" w:themeColor="text1"/>
                <w:kern w:val="0"/>
                <w:sz w:val="20"/>
                <w:szCs w:val="20"/>
                <w:lang w:eastAsia="zh-CN"/>
                <w14:textFill>
                  <w14:solidFill>
                    <w14:schemeClr w14:val="tx1"/>
                  </w14:solidFill>
                </w14:textFill>
              </w:rPr>
              <w:t>、备案编号</w:t>
            </w:r>
            <w:r>
              <w:rPr>
                <w:rFonts w:ascii="仿宋" w:hAnsi="仿宋" w:eastAsia="仿宋"/>
                <w:color w:val="000000" w:themeColor="text1"/>
                <w:kern w:val="0"/>
                <w:sz w:val="20"/>
                <w:szCs w:val="20"/>
                <w14:textFill>
                  <w14:solidFill>
                    <w14:schemeClr w14:val="tx1"/>
                  </w14:solidFill>
                </w14:textFill>
              </w:rPr>
              <w:t>合法有效</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食品经营许可证载明的有关内容与实际经营项目相符</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许可证悬挂或摆放在经营场所的醒目位置</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2.经营条件</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具有与销售的食品品种、数量相适应的场所</w:t>
            </w:r>
            <w:r>
              <w:rPr>
                <w:rFonts w:hint="eastAsia" w:ascii="仿宋" w:hAnsi="仿宋" w:eastAsia="仿宋"/>
                <w:color w:val="000000" w:themeColor="text1"/>
                <w:kern w:val="0"/>
                <w:sz w:val="20"/>
                <w:szCs w:val="20"/>
                <w14:textFill>
                  <w14:solidFill>
                    <w14:schemeClr w14:val="tx1"/>
                  </w14:solidFill>
                </w14:textFill>
              </w:rPr>
              <w:t>，销售场所环境干净整洁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经营和贮存场所不得设在易污染区域，距离粪坑、污水池等污染源</w:t>
            </w:r>
            <w:r>
              <w:rPr>
                <w:rFonts w:ascii="仿宋" w:hAnsi="仿宋" w:eastAsia="仿宋" w:cs="仿宋"/>
                <w:color w:val="000000" w:themeColor="text1"/>
                <w:kern w:val="0"/>
                <w:szCs w:val="21"/>
                <w14:textFill>
                  <w14:solidFill>
                    <w14:schemeClr w14:val="tx1"/>
                  </w14:solidFill>
                </w14:textFill>
              </w:rPr>
              <w:t>25</w:t>
            </w:r>
            <w:r>
              <w:rPr>
                <w:rFonts w:hint="eastAsia" w:ascii="仿宋" w:hAnsi="仿宋" w:eastAsia="仿宋" w:cs="仿宋"/>
                <w:color w:val="000000" w:themeColor="text1"/>
                <w:kern w:val="0"/>
                <w:szCs w:val="21"/>
                <w14:textFill>
                  <w14:solidFill>
                    <w14:schemeClr w14:val="tx1"/>
                  </w14:solidFill>
                </w14:textFill>
              </w:rPr>
              <w:t>米以上</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食品销售场所布局合理，食品和非食品、生食和熟食、水产品与其他食品等销售区域分开设置，有固定的存放位置和标识</w:t>
            </w:r>
          </w:p>
        </w:tc>
        <w:tc>
          <w:tcPr>
            <w:tcW w:w="1277" w:type="dxa"/>
            <w:tcBorders>
              <w:tl2br w:val="nil"/>
              <w:tr2bl w:val="nil"/>
            </w:tcBorders>
            <w:noWrap w:val="0"/>
            <w:vAlign w:val="center"/>
          </w:tcPr>
          <w:p>
            <w:pPr>
              <w:widowControl/>
              <w:spacing w:line="280" w:lineRule="exact"/>
              <w:jc w:val="center"/>
              <w:rPr>
                <w:rFonts w:ascii="仿宋" w:hAnsi="仿宋" w:eastAsia="仿宋"/>
                <w:b/>
                <w:color w:val="000000" w:themeColor="text1"/>
                <w:kern w:val="0"/>
                <w:sz w:val="16"/>
                <w:szCs w:val="16"/>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2.4</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具有与销售的食品品种、数量相适应的生产经营设备或者设施</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2.5</w:t>
            </w:r>
          </w:p>
        </w:tc>
        <w:tc>
          <w:tcPr>
            <w:tcW w:w="6042" w:type="dxa"/>
            <w:tcBorders>
              <w:tl2br w:val="nil"/>
              <w:tr2bl w:val="nil"/>
            </w:tcBorders>
            <w:noWrap w:val="0"/>
            <w:vAlign w:val="center"/>
          </w:tcPr>
          <w:p>
            <w:pPr>
              <w:widowControl/>
              <w:spacing w:line="280" w:lineRule="exact"/>
              <w:textAlignment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食品销售场所和贮存场所与生活区分（隔）开</w:t>
            </w:r>
          </w:p>
        </w:tc>
        <w:tc>
          <w:tcPr>
            <w:tcW w:w="1277" w:type="dxa"/>
            <w:tcBorders>
              <w:tl2br w:val="nil"/>
              <w:tr2bl w:val="nil"/>
            </w:tcBorders>
            <w:noWrap w:val="0"/>
            <w:vAlign w:val="center"/>
          </w:tcPr>
          <w:p>
            <w:pPr>
              <w:widowControl/>
              <w:spacing w:line="280" w:lineRule="exact"/>
              <w:jc w:val="center"/>
              <w:rPr>
                <w:rFonts w:ascii="仿宋" w:hAnsi="仿宋" w:eastAsia="仿宋"/>
                <w:b/>
                <w:color w:val="000000" w:themeColor="text1"/>
                <w:kern w:val="0"/>
                <w:sz w:val="16"/>
                <w:szCs w:val="16"/>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3.食品标签等外观质量状况</w:t>
            </w:r>
          </w:p>
        </w:tc>
        <w:tc>
          <w:tcPr>
            <w:tcW w:w="905" w:type="dxa"/>
            <w:gridSpan w:val="2"/>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抽查的食品在保质期内</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抽查的食品感官性状正常</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抽查的预包装食品、食品添加剂的包装上有标签，标签标明的内容符合食品安全法等法律法规的规定</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3.4</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抽查的食品的标签、说明书清楚、明显，生产日期、保质期等事项显著标注，容易辨识，不涉及疾病预防、治疗功能</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3.5</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抽查的散装食品，在散装食品的容器、外包装上标明食品的名称、生产日期或者生产批号、保质期以及生产经营者名称、地址、联系方式等内容</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3.6</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销售场所设置或摆放的食品广告的内容不涉及疾病预防、治疗功能</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3.7</w:t>
            </w:r>
          </w:p>
        </w:tc>
        <w:tc>
          <w:tcPr>
            <w:tcW w:w="6042" w:type="dxa"/>
            <w:tcBorders>
              <w:tl2br w:val="nil"/>
              <w:tr2bl w:val="nil"/>
            </w:tcBorders>
            <w:noWrap/>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抽查的转基因食品按照规定显著标示</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1" w:type="dxa"/>
            <w:vMerge w:val="restart"/>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4.从业人员</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管理</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食品销售者及其法定代表人、直接负责的主管人员和其他直接责任人员不属于法律规定的禁止从业的情形</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建立从业人员健康管理制度</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w:t>
            </w:r>
            <w:r>
              <w:rPr>
                <w:rFonts w:hint="eastAsia" w:ascii="仿宋" w:hAnsi="仿宋" w:eastAsia="仿宋"/>
                <w:color w:val="000000" w:themeColor="text1"/>
                <w:kern w:val="0"/>
                <w:sz w:val="20"/>
                <w:szCs w:val="20"/>
                <w14:textFill>
                  <w14:solidFill>
                    <w14:schemeClr w14:val="tx1"/>
                  </w14:solidFill>
                </w14:textFill>
              </w:rPr>
              <w:t>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在岗从事接触直接入口食品工作的食品经营人员取得健康证明</w:t>
            </w:r>
            <w:r>
              <w:rPr>
                <w:rFonts w:hint="eastAsia" w:ascii="仿宋" w:hAnsi="仿宋" w:eastAsia="仿宋"/>
                <w:color w:val="000000" w:themeColor="text1"/>
                <w:kern w:val="0"/>
                <w:sz w:val="20"/>
                <w:szCs w:val="20"/>
                <w14:textFill>
                  <w14:solidFill>
                    <w14:schemeClr w14:val="tx1"/>
                  </w14:solidFill>
                </w14:textFill>
              </w:rPr>
              <w:t>，无患有国务院卫生行政部门规定的有碍食品安全疾病的情况；</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5.经营过程控制情况</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定期检查库存食品，及时清理变质或者超过保质期的食品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食品贮存隔墙离地距离在10厘米以上</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按照食品标签标示的警示标志、警示说明或者注意事项的要求贮存和销售食品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5.4</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对销售过程有温度、湿度要求的食品，有保证食品安全所需的温度、湿度等特殊要求的设备，并按要求贮存</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5.5</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委托开展贮存业务的，对贮存服务提供者的资质和食品安全保障能力进行审核并留存相关资料；监督贮存服务提供者按照保证食品安全的要求贮存食品并留存检查记录</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5.6</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建立食品安全自查制度，定期对食品安全状况进行检查评价</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5.7</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发生食品安全事故的，建立和保存处置食品安全事故记录，并按规定上报所在地市场监管部门</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5.8</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采购食品，查验供货者的许可证和食品出厂检验合格证或者其他合格证明</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5.9</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采购食品添加剂查验供货者的许可证和产品合格证明，并如实记录所采购食品添加剂的名称、规格、数量、生产日期或者生产批号、保质期、进货日期以及供货者名称、地址、联系方式等内容，并保存相关凭证。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w:t>
            </w:r>
            <w:r>
              <w:rPr>
                <w:rFonts w:hint="eastAsia" w:ascii="仿宋" w:hAnsi="仿宋" w:eastAsia="仿宋"/>
                <w:color w:val="000000" w:themeColor="text1"/>
                <w:kern w:val="0"/>
                <w:sz w:val="20"/>
                <w:szCs w:val="20"/>
                <w14:textFill>
                  <w14:solidFill>
                    <w14:schemeClr w14:val="tx1"/>
                  </w14:solidFill>
                </w14:textFill>
              </w:rPr>
              <w:t>10</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按要求停止销售、召回、报告不符合食品安全标准或者证明可能危害人体健康的食品。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5.11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食品销售者张贴并保持上次监督检查结果记录</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51" w:type="dxa"/>
            <w:vMerge w:val="restart"/>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6.食盐</w:t>
            </w:r>
          </w:p>
          <w:p>
            <w:pPr>
              <w:spacing w:line="280" w:lineRule="exact"/>
              <w:ind w:firstLine="300" w:firstLineChars="15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6.1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从取得食盐</w:t>
            </w:r>
            <w:r>
              <w:rPr>
                <w:rFonts w:hint="eastAsia" w:ascii="仿宋" w:hAnsi="仿宋" w:eastAsia="仿宋"/>
                <w:color w:val="000000" w:themeColor="text1"/>
                <w:kern w:val="0"/>
                <w:sz w:val="20"/>
                <w:szCs w:val="20"/>
                <w14:textFill>
                  <w14:solidFill>
                    <w14:schemeClr w14:val="tx1"/>
                  </w14:solidFill>
                </w14:textFill>
              </w:rPr>
              <w:t>定点</w:t>
            </w:r>
            <w:r>
              <w:rPr>
                <w:rFonts w:ascii="仿宋" w:hAnsi="仿宋" w:eastAsia="仿宋"/>
                <w:color w:val="000000" w:themeColor="text1"/>
                <w:kern w:val="0"/>
                <w:sz w:val="20"/>
                <w:szCs w:val="20"/>
                <w14:textFill>
                  <w14:solidFill>
                    <w14:schemeClr w14:val="tx1"/>
                  </w14:solidFill>
                </w14:textFill>
              </w:rPr>
              <w:t>批发</w:t>
            </w:r>
            <w:r>
              <w:rPr>
                <w:rFonts w:hint="eastAsia" w:ascii="仿宋" w:hAnsi="仿宋" w:eastAsia="仿宋"/>
                <w:color w:val="000000" w:themeColor="text1"/>
                <w:kern w:val="0"/>
                <w:sz w:val="20"/>
                <w:szCs w:val="20"/>
                <w14:textFill>
                  <w14:solidFill>
                    <w14:schemeClr w14:val="tx1"/>
                  </w14:solidFill>
                </w14:textFill>
              </w:rPr>
              <w:t>企业证书</w:t>
            </w:r>
            <w:r>
              <w:rPr>
                <w:rFonts w:ascii="仿宋" w:hAnsi="仿宋" w:eastAsia="仿宋"/>
                <w:color w:val="000000" w:themeColor="text1"/>
                <w:kern w:val="0"/>
                <w:sz w:val="20"/>
                <w:szCs w:val="20"/>
                <w14:textFill>
                  <w14:solidFill>
                    <w14:schemeClr w14:val="tx1"/>
                  </w14:solidFill>
                </w14:textFill>
              </w:rPr>
              <w:t>的单位购进，并保留购货凭证</w:t>
            </w:r>
            <w:r>
              <w:rPr>
                <w:rFonts w:hint="eastAsia" w:ascii="仿宋" w:hAnsi="仿宋" w:eastAsia="仿宋"/>
                <w:color w:val="000000" w:themeColor="text1"/>
                <w:kern w:val="0"/>
                <w:sz w:val="20"/>
                <w:szCs w:val="20"/>
                <w14:textFill>
                  <w14:solidFill>
                    <w14:schemeClr w14:val="tx1"/>
                  </w14:solidFill>
                </w14:textFill>
              </w:rPr>
              <w:t>，有</w:t>
            </w:r>
            <w:r>
              <w:rPr>
                <w:rFonts w:ascii="仿宋" w:hAnsi="仿宋" w:eastAsia="仿宋"/>
                <w:color w:val="000000" w:themeColor="text1"/>
                <w:kern w:val="0"/>
                <w:sz w:val="20"/>
                <w:szCs w:val="20"/>
                <w14:textFill>
                  <w14:solidFill>
                    <w14:schemeClr w14:val="tx1"/>
                  </w14:solidFill>
                </w14:textFill>
              </w:rPr>
              <w:t>合法有效的</w:t>
            </w:r>
            <w:r>
              <w:rPr>
                <w:rFonts w:hint="eastAsia" w:ascii="仿宋" w:hAnsi="仿宋" w:eastAsia="仿宋"/>
                <w:color w:val="000000" w:themeColor="text1"/>
                <w:kern w:val="0"/>
                <w:sz w:val="20"/>
                <w:szCs w:val="20"/>
                <w14:textFill>
                  <w14:solidFill>
                    <w14:schemeClr w14:val="tx1"/>
                  </w14:solidFill>
                </w14:textFill>
              </w:rPr>
              <w:t>从事</w:t>
            </w:r>
            <w:r>
              <w:rPr>
                <w:rFonts w:ascii="仿宋" w:hAnsi="仿宋" w:eastAsia="仿宋"/>
                <w:color w:val="000000" w:themeColor="text1"/>
                <w:kern w:val="0"/>
                <w:sz w:val="20"/>
                <w:szCs w:val="20"/>
                <w14:textFill>
                  <w14:solidFill>
                    <w14:schemeClr w14:val="tx1"/>
                  </w14:solidFill>
                </w14:textFill>
              </w:rPr>
              <w:t>食盐</w:t>
            </w:r>
            <w:r>
              <w:rPr>
                <w:rFonts w:hint="eastAsia" w:ascii="仿宋" w:hAnsi="仿宋" w:eastAsia="仿宋"/>
                <w:color w:val="000000" w:themeColor="text1"/>
                <w:kern w:val="0"/>
                <w:sz w:val="20"/>
                <w:szCs w:val="20"/>
                <w14:textFill>
                  <w14:solidFill>
                    <w14:schemeClr w14:val="tx1"/>
                  </w14:solidFill>
                </w14:textFill>
              </w:rPr>
              <w:t>经营的食品经营</w:t>
            </w:r>
            <w:r>
              <w:rPr>
                <w:rFonts w:ascii="仿宋" w:hAnsi="仿宋" w:eastAsia="仿宋"/>
                <w:color w:val="000000" w:themeColor="text1"/>
                <w:kern w:val="0"/>
                <w:sz w:val="20"/>
                <w:szCs w:val="20"/>
                <w14:textFill>
                  <w14:solidFill>
                    <w14:schemeClr w14:val="tx1"/>
                  </w14:solidFill>
                </w14:textFill>
              </w:rPr>
              <w:t>许可证和相关合格证明文件等</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6.2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不存在销售禁止销售的食盐情形</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51" w:type="dxa"/>
            <w:vMerge w:val="restart"/>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7.食用农产品销售</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7.1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抽查的畜禽产品具有检验检疫合格证明</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51" w:type="dxa"/>
            <w:vMerge w:val="continue"/>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7.2</w:t>
            </w:r>
          </w:p>
        </w:tc>
        <w:tc>
          <w:tcPr>
            <w:tcW w:w="6042" w:type="dxa"/>
            <w:tcBorders>
              <w:tl2br w:val="nil"/>
              <w:tr2bl w:val="nil"/>
            </w:tcBorders>
            <w:noWrap w:val="0"/>
            <w:vAlign w:val="center"/>
          </w:tcPr>
          <w:p>
            <w:pPr>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建立食用农产品进货查验记录制度，如实记录食用农产品的名称、数量、进货日期以及供货者名称、地址、联系方式等内容，并保存相关凭证。记录和凭证保存期限不得少于六个月</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51" w:type="dxa"/>
            <w:vMerge w:val="restart"/>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8.进口食品</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8.1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抽查的进口预包装食品有中文标签,并载明食品的原产地以及境内代理商的名称、地址、联系方式</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8.2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抽查的进口预包装食品（食用农产品）有</w:t>
            </w:r>
            <w:r>
              <w:rPr>
                <w:rFonts w:hint="eastAsia" w:ascii="仿宋" w:hAnsi="仿宋" w:eastAsia="仿宋"/>
                <w:color w:val="000000" w:themeColor="text1"/>
                <w:kern w:val="0"/>
                <w:sz w:val="20"/>
                <w:szCs w:val="20"/>
                <w14:textFill>
                  <w14:solidFill>
                    <w14:schemeClr w14:val="tx1"/>
                  </w14:solidFill>
                </w14:textFill>
              </w:rPr>
              <w:t>海关部门</w:t>
            </w:r>
            <w:r>
              <w:rPr>
                <w:rFonts w:ascii="仿宋" w:hAnsi="仿宋" w:eastAsia="仿宋"/>
                <w:color w:val="000000" w:themeColor="text1"/>
                <w:kern w:val="0"/>
                <w:sz w:val="20"/>
                <w:szCs w:val="20"/>
                <w14:textFill>
                  <w14:solidFill>
                    <w14:schemeClr w14:val="tx1"/>
                  </w14:solidFill>
                </w14:textFill>
              </w:rPr>
              <w:t>出具的入境货物检验检疫证明</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51" w:type="dxa"/>
            <w:vMerge w:val="restart"/>
            <w:tcBorders>
              <w:tl2br w:val="nil"/>
              <w:tr2bl w:val="nil"/>
            </w:tcBorders>
            <w:noWrap w:val="0"/>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9.食品</w:t>
            </w:r>
            <w:r>
              <w:rPr>
                <w:rFonts w:hint="eastAsia" w:ascii="仿宋" w:hAnsi="仿宋" w:eastAsia="仿宋"/>
                <w:color w:val="000000" w:themeColor="text1"/>
                <w:kern w:val="0"/>
                <w:sz w:val="20"/>
                <w:szCs w:val="20"/>
                <w14:textFill>
                  <w14:solidFill>
                    <w14:schemeClr w14:val="tx1"/>
                  </w14:solidFill>
                </w14:textFill>
              </w:rPr>
              <w:t xml:space="preserve"> </w:t>
            </w:r>
            <w:r>
              <w:rPr>
                <w:rFonts w:ascii="仿宋" w:hAnsi="仿宋" w:eastAsia="仿宋"/>
                <w:color w:val="000000" w:themeColor="text1"/>
                <w:kern w:val="0"/>
                <w:sz w:val="20"/>
                <w:szCs w:val="20"/>
                <w14:textFill>
                  <w14:solidFill>
                    <w14:schemeClr w14:val="tx1"/>
                  </w14:solidFill>
                </w14:textFill>
              </w:rPr>
              <w:t>销售</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（批发）企业</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9.1</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有食品安全管理人员</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9.2</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不存在经市场监管部门抽查考核不合格的食品安全管理人员在岗从事食品安全管理工作的情况</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9.3</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w:t>
            </w:r>
            <w:r>
              <w:rPr>
                <w:rFonts w:hint="eastAsia" w:ascii="仿宋" w:hAnsi="仿宋" w:eastAsia="仿宋"/>
                <w:color w:val="000000" w:themeColor="text1"/>
                <w:kern w:val="0"/>
                <w:sz w:val="20"/>
                <w:szCs w:val="20"/>
                <w14:textFill>
                  <w14:solidFill>
                    <w14:schemeClr w14:val="tx1"/>
                  </w14:solidFill>
                </w14:textFill>
              </w:rPr>
              <w:t>从业人员</w:t>
            </w:r>
            <w:r>
              <w:rPr>
                <w:rFonts w:ascii="仿宋" w:hAnsi="仿宋" w:eastAsia="仿宋"/>
                <w:color w:val="000000" w:themeColor="text1"/>
                <w:kern w:val="0"/>
                <w:sz w:val="20"/>
                <w:szCs w:val="20"/>
                <w14:textFill>
                  <w14:solidFill>
                    <w14:schemeClr w14:val="tx1"/>
                  </w14:solidFill>
                </w14:textFill>
              </w:rPr>
              <w:t>进行食品安全知识培训</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9.4</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建立并严格执行食品进货查验记录制度，</w:t>
            </w:r>
            <w:r>
              <w:rPr>
                <w:rFonts w:hint="eastAsia" w:ascii="仿宋" w:hAnsi="仿宋" w:eastAsia="仿宋"/>
                <w:color w:val="000000" w:themeColor="text1"/>
                <w:kern w:val="0"/>
                <w:sz w:val="20"/>
                <w:szCs w:val="20"/>
                <w14:textFill>
                  <w14:solidFill>
                    <w14:schemeClr w14:val="tx1"/>
                  </w14:solidFill>
                </w14:textFill>
              </w:rPr>
              <w:t>如实记录所采购食品的名称、规格、数量、生产日期或者生产批号、保质期、进货日期以及供货者名称、地址、联系方式等内容，并保存相关凭证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9.5</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从事食品批发业务的销售企业建立并严格执行食品销售记录制度，</w:t>
            </w:r>
            <w:r>
              <w:rPr>
                <w:rFonts w:hint="eastAsia" w:ascii="仿宋" w:hAnsi="仿宋" w:eastAsia="仿宋"/>
                <w:color w:val="000000" w:themeColor="text1"/>
                <w:kern w:val="0"/>
                <w:sz w:val="20"/>
                <w:szCs w:val="20"/>
                <w14:textFill>
                  <w14:solidFill>
                    <w14:schemeClr w14:val="tx1"/>
                  </w14:solidFill>
                </w14:textFill>
              </w:rPr>
              <w:t>如实记录批发食品的名称、规格、数量、生产日期或者生产批号、保质期、销售日期、以及购货者名称、地址、联系方式等内容，并保存相关凭证</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9.6</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实行统一配送经营方式的食品经营企业，企业总部统一查验供货者的许可证和食品合格证明文件，进行食品进货查验记录</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10.现场</w:t>
            </w:r>
          </w:p>
          <w:p>
            <w:pPr>
              <w:widowControl/>
              <w:spacing w:line="280" w:lineRule="exact"/>
              <w:ind w:firstLine="300" w:firstLineChars="15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制售</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10.1</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从业人员穿戴清洁的工作衣帽，双手清洁，保持个人卫生。取得健康证明。</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10.2</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食品操作区域保持清洁、卫生、加工制作用水符合国家规定的标准。</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10.3</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食品原料、半成品和成品盛放、贮存相互分开。</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10.4</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食品添加剂由专人负责保管、领用、登记，并有相关记录。</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10.5</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操作专间、专用操作场所符合相关要求。</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10.</w:t>
            </w:r>
            <w:r>
              <w:rPr>
                <w:rFonts w:hint="eastAsia" w:ascii="仿宋" w:hAnsi="仿宋" w:eastAsia="仿宋"/>
                <w:color w:val="000000" w:themeColor="text1"/>
                <w:kern w:val="0"/>
                <w:sz w:val="20"/>
                <w:szCs w:val="20"/>
                <w14:textFill>
                  <w14:solidFill>
                    <w14:schemeClr w14:val="tx1"/>
                  </w14:solidFill>
                </w14:textFill>
              </w:rPr>
              <w:t>6</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餐厨用具按照规范进行清洗消毒。</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10.</w:t>
            </w:r>
            <w:r>
              <w:rPr>
                <w:rFonts w:hint="eastAsia" w:ascii="仿宋" w:hAnsi="仿宋" w:eastAsia="仿宋"/>
                <w:color w:val="000000" w:themeColor="text1"/>
                <w:kern w:val="0"/>
                <w:sz w:val="20"/>
                <w:szCs w:val="20"/>
                <w14:textFill>
                  <w14:solidFill>
                    <w14:schemeClr w14:val="tx1"/>
                  </w14:solidFill>
                </w14:textFill>
              </w:rPr>
              <w:t>7</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现场制售食品在容器、外包装上标明食品的名称、制作日期、保质期以及销售者名称、地址、联系方式等内容。有温度要求的保质期应当以小时计。</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51" w:type="dxa"/>
            <w:vMerge w:val="restart"/>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11.特殊食品</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w:t>
            </w: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11.1</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抽查的保健食品、特殊医学用途配方食品、婴幼儿配方乳粉按规定注册或备案。</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11.2</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抽查的保健食品的标签、说明书符合规定。</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11.3</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经营特殊食品设专柜或专区销售，并在专柜或专区显著位置标明“***销售专区（或专柜）”字样，提示牌为绿底白字，字体为黑体。</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11.4</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抽查的保健食品索取并留存批准证明文件以及企业产品质量标准。</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11.5</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抽查的保健食品广告内容声明“本品不能代替药物”。</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11.6</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抽查的保健食品广告内容经生产企业所在地省（区、市）食品监管部门审查批准，取得保健食品广告批准文件</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11.7</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抽查的进口保健食品按规定注册或备案。</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11.8</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抽查的特殊医学用途配方食品经国家市场监督管理总局注册。</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11.9</w:t>
            </w:r>
          </w:p>
        </w:tc>
        <w:tc>
          <w:tcPr>
            <w:tcW w:w="6042" w:type="dxa"/>
            <w:tcBorders>
              <w:tl2br w:val="nil"/>
              <w:tr2bl w:val="nil"/>
            </w:tcBorders>
            <w:noWrap w:val="0"/>
            <w:vAlign w:val="center"/>
          </w:tcPr>
          <w:p>
            <w:pPr>
              <w:widowControl/>
              <w:spacing w:line="280" w:lineRule="exac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抽查的特殊医学用途配方食品广告符合《广告法》和其他法律法规关于药品广告管理的规定。</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1" w:type="dxa"/>
            <w:vMerge w:val="continue"/>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05"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★11.10</w:t>
            </w:r>
          </w:p>
        </w:tc>
        <w:tc>
          <w:tcPr>
            <w:tcW w:w="6042" w:type="dxa"/>
            <w:tcBorders>
              <w:tl2br w:val="nil"/>
              <w:tr2bl w:val="nil"/>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抽查的专供婴幼儿和其他特定人群的主辅食品，其标签标明主要营养成分及其含量。</w:t>
            </w:r>
          </w:p>
        </w:tc>
        <w:tc>
          <w:tcPr>
            <w:tcW w:w="1277"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29"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1" w:type="dxa"/>
            <w:tcBorders>
              <w:tl2br w:val="nil"/>
              <w:tr2bl w:val="nil"/>
            </w:tcBorders>
            <w:noWrap w:val="0"/>
            <w:vAlign w:val="center"/>
          </w:tcPr>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得分总和（</w:t>
            </w:r>
            <w:r>
              <w:rPr>
                <w:rFonts w:ascii="仿宋" w:hAnsi="仿宋" w:eastAsia="仿宋"/>
                <w:color w:val="000000" w:themeColor="text1"/>
                <w:kern w:val="0"/>
                <w:sz w:val="18"/>
                <w:szCs w:val="18"/>
                <w14:textFill>
                  <w14:solidFill>
                    <w14:schemeClr w14:val="tx1"/>
                  </w14:solidFill>
                </w14:textFill>
              </w:rPr>
              <w:t>60分）</w:t>
            </w:r>
          </w:p>
        </w:tc>
        <w:tc>
          <w:tcPr>
            <w:tcW w:w="9053" w:type="dxa"/>
            <w:gridSpan w:val="5"/>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04" w:type="dxa"/>
            <w:gridSpan w:val="6"/>
            <w:tcBorders>
              <w:tl2br w:val="nil"/>
              <w:tr2bl w:val="nil"/>
            </w:tcBorders>
            <w:noWrap w:val="0"/>
            <w:vAlign w:val="top"/>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其他需要记录的问题：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6" w:type="dxa"/>
            <w:gridSpan w:val="2"/>
            <w:tcBorders>
              <w:tl2br w:val="nil"/>
              <w:tr2bl w:val="nil"/>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备</w:t>
            </w:r>
          </w:p>
          <w:p>
            <w:pPr>
              <w:widowControl/>
              <w:spacing w:line="28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注</w:t>
            </w:r>
          </w:p>
        </w:tc>
        <w:tc>
          <w:tcPr>
            <w:tcW w:w="8998" w:type="dxa"/>
            <w:gridSpan w:val="4"/>
            <w:tcBorders>
              <w:tl2br w:val="nil"/>
              <w:tr2bl w:val="nil"/>
            </w:tcBorders>
            <w:noWrap w:val="0"/>
            <w:vAlign w:val="top"/>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1.食品销售者同时经营食用农产品的按照食品销售者实施风险分级管理。</w:t>
            </w:r>
          </w:p>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2.各评分总和为60分，选择“否”，得分；选择“是”或者“合理缺项”，不得分。</w:t>
            </w:r>
          </w:p>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日常监督检查共</w:t>
            </w:r>
            <w:r>
              <w:rPr>
                <w:rFonts w:hint="eastAsia" w:ascii="仿宋" w:hAnsi="仿宋" w:eastAsia="仿宋"/>
                <w:color w:val="000000" w:themeColor="text1"/>
                <w:kern w:val="0"/>
                <w:sz w:val="20"/>
                <w:szCs w:val="20"/>
                <w14:textFill>
                  <w14:solidFill>
                    <w14:schemeClr w14:val="tx1"/>
                  </w14:solidFill>
                </w14:textFill>
              </w:rPr>
              <w:t>58</w:t>
            </w:r>
            <w:r>
              <w:rPr>
                <w:rFonts w:ascii="仿宋" w:hAnsi="仿宋" w:eastAsia="仿宋"/>
                <w:color w:val="000000" w:themeColor="text1"/>
                <w:kern w:val="0"/>
                <w:sz w:val="20"/>
                <w:szCs w:val="20"/>
                <w14:textFill>
                  <w14:solidFill>
                    <w14:schemeClr w14:val="tx1"/>
                  </w14:solidFill>
                </w14:textFill>
              </w:rPr>
              <w:t>项检查内容，重点项（检查序号中打★号项）</w:t>
            </w:r>
            <w:r>
              <w:rPr>
                <w:rFonts w:hint="eastAsia" w:ascii="仿宋" w:hAnsi="仿宋" w:eastAsia="仿宋"/>
                <w:color w:val="000000" w:themeColor="text1"/>
                <w:kern w:val="0"/>
                <w:sz w:val="20"/>
                <w:szCs w:val="20"/>
                <w14:textFill>
                  <w14:solidFill>
                    <w14:schemeClr w14:val="tx1"/>
                  </w14:solidFill>
                </w14:textFill>
              </w:rPr>
              <w:t>55</w:t>
            </w:r>
            <w:r>
              <w:rPr>
                <w:rFonts w:ascii="仿宋" w:hAnsi="仿宋" w:eastAsia="仿宋"/>
                <w:color w:val="000000" w:themeColor="text1"/>
                <w:kern w:val="0"/>
                <w:sz w:val="20"/>
                <w:szCs w:val="20"/>
                <w14:textFill>
                  <w14:solidFill>
                    <w14:schemeClr w14:val="tx1"/>
                  </w14:solidFill>
                </w14:textFill>
              </w:rPr>
              <w:t>项，一般项</w:t>
            </w: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项。</w:t>
            </w:r>
          </w:p>
          <w:p>
            <w:pPr>
              <w:widowControl/>
              <w:spacing w:line="280" w:lineRule="exact"/>
              <w:ind w:left="200" w:hanging="200" w:hangingChars="100"/>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4.检查结果判定方法：①符合，检查中未发现问题；②基本符合，一般项1项不合格；③不符合，重点项1项（含）以上不合格,或一般项2项以上不合格。</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p>
      <w:pPr>
        <w:spacing w:line="240" w:lineRule="exact"/>
        <w:jc w:val="center"/>
        <w:rPr>
          <w:rFonts w:hint="eastAsia" w:ascii="仿宋" w:hAnsi="仿宋" w:eastAsia="仿宋"/>
          <w:b/>
          <w:bCs/>
          <w:color w:val="000000"/>
          <w:szCs w:val="21"/>
        </w:rPr>
      </w:pPr>
    </w:p>
    <w:p>
      <w:pPr>
        <w:widowControl/>
        <w:shd w:val="clear" w:color="auto" w:fill="FFFFFF"/>
        <w:spacing w:line="400" w:lineRule="exact"/>
        <w:jc w:val="left"/>
        <w:rPr>
          <w:rFonts w:hint="default" w:ascii="黑体" w:hAnsi="黑体" w:eastAsia="黑体" w:cs="黑体"/>
          <w:color w:val="000000"/>
          <w:kern w:val="0"/>
          <w:sz w:val="32"/>
          <w:szCs w:val="32"/>
          <w:lang w:val="en"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r>
        <w:rPr>
          <w:rFonts w:hint="default" w:ascii="黑体" w:hAnsi="黑体" w:eastAsia="黑体" w:cs="黑体"/>
          <w:color w:val="000000"/>
          <w:kern w:val="0"/>
          <w:sz w:val="32"/>
          <w:szCs w:val="32"/>
          <w:lang w:val="en"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方正小标宋简体" w:hAnsi="仿宋" w:eastAsia="方正小标宋简体"/>
          <w:color w:val="000000"/>
          <w:kern w:val="0"/>
          <w:sz w:val="32"/>
          <w:szCs w:val="32"/>
        </w:rPr>
      </w:pPr>
      <w:r>
        <w:rPr>
          <w:rFonts w:hint="eastAsia" w:ascii="方正小标宋简体" w:hAnsi="仿宋" w:eastAsia="方正小标宋简体"/>
          <w:color w:val="000000"/>
          <w:kern w:val="0"/>
          <w:sz w:val="32"/>
          <w:szCs w:val="32"/>
        </w:rPr>
        <w:t>社会餐饮服务经营者动态风险因素量化分值表</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ascii="方正小标宋简体" w:hAnsi="仿宋" w:eastAsia="方正小标宋简体"/>
          <w:color w:val="000000"/>
          <w:kern w:val="0"/>
          <w:sz w:val="32"/>
          <w:szCs w:val="32"/>
        </w:rPr>
      </w:pPr>
      <w:r>
        <w:rPr>
          <w:rFonts w:hint="eastAsia" w:ascii="方正小标宋简体" w:hAnsi="仿宋" w:eastAsia="方正小标宋简体"/>
          <w:color w:val="000000"/>
          <w:kern w:val="0"/>
          <w:sz w:val="32"/>
          <w:szCs w:val="32"/>
        </w:rPr>
        <w:t>（社会餐饮服务经营者日常监督检查要点表）</w:t>
      </w:r>
    </w:p>
    <w:p>
      <w:pPr>
        <w:rPr>
          <w:rFonts w:ascii="仿宋" w:hAnsi="仿宋" w:eastAsia="仿宋"/>
          <w:bCs/>
          <w:color w:val="000000"/>
          <w:szCs w:val="21"/>
        </w:rPr>
      </w:pPr>
    </w:p>
    <w:p>
      <w:pPr>
        <w:pStyle w:val="2"/>
        <w:rPr>
          <w:rFonts w:hint="eastAsia" w:ascii="仿宋" w:hAnsi="仿宋" w:eastAsia="仿宋"/>
          <w:b/>
          <w:bCs/>
          <w:color w:val="000000"/>
          <w:szCs w:val="21"/>
        </w:rPr>
      </w:pPr>
      <w:r>
        <w:rPr>
          <w:rFonts w:hint="eastAsia" w:ascii="仿宋" w:hAnsi="仿宋" w:eastAsia="仿宋"/>
          <w:bCs/>
          <w:color w:val="000000"/>
          <w:szCs w:val="21"/>
        </w:rPr>
        <w:t>被评定人：　　　　　　　　　　　　　　　　　　　　　　　　　　　　评定时间：</w:t>
      </w:r>
    </w:p>
    <w:tbl>
      <w:tblPr>
        <w:tblStyle w:val="7"/>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101"/>
        <w:gridCol w:w="708"/>
        <w:gridCol w:w="1134"/>
        <w:gridCol w:w="851"/>
        <w:gridCol w:w="4961"/>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blHeader/>
          <w:jc w:val="center"/>
        </w:trPr>
        <w:tc>
          <w:tcPr>
            <w:tcW w:w="1101"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重点检查</w:t>
            </w:r>
          </w:p>
          <w:p>
            <w:pPr>
              <w:spacing w:line="240" w:lineRule="exact"/>
              <w:jc w:val="center"/>
              <w:rPr>
                <w:rFonts w:ascii="仿宋" w:hAnsi="仿宋" w:eastAsia="仿宋"/>
                <w:b/>
                <w:bCs/>
                <w:color w:val="auto"/>
                <w:szCs w:val="21"/>
              </w:rPr>
            </w:pPr>
            <w:r>
              <w:rPr>
                <w:rFonts w:hint="eastAsia" w:ascii="仿宋" w:hAnsi="仿宋" w:eastAsia="仿宋"/>
                <w:b/>
                <w:bCs/>
                <w:color w:val="auto"/>
                <w:szCs w:val="21"/>
              </w:rPr>
              <w:t>点位</w:t>
            </w:r>
          </w:p>
        </w:tc>
        <w:tc>
          <w:tcPr>
            <w:tcW w:w="708"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项目</w:t>
            </w:r>
          </w:p>
          <w:p>
            <w:pPr>
              <w:spacing w:line="240" w:lineRule="exact"/>
              <w:jc w:val="center"/>
              <w:rPr>
                <w:rFonts w:ascii="仿宋" w:hAnsi="仿宋" w:eastAsia="仿宋"/>
                <w:b/>
                <w:bCs/>
                <w:color w:val="auto"/>
                <w:szCs w:val="21"/>
              </w:rPr>
            </w:pPr>
            <w:r>
              <w:rPr>
                <w:rFonts w:hint="eastAsia" w:ascii="仿宋" w:hAnsi="仿宋" w:eastAsia="仿宋"/>
                <w:b/>
                <w:bCs/>
                <w:color w:val="auto"/>
                <w:szCs w:val="21"/>
              </w:rPr>
              <w:t>序号</w:t>
            </w:r>
          </w:p>
        </w:tc>
        <w:tc>
          <w:tcPr>
            <w:tcW w:w="1134"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检查</w:t>
            </w:r>
          </w:p>
          <w:p>
            <w:pPr>
              <w:spacing w:line="240" w:lineRule="exact"/>
              <w:jc w:val="center"/>
              <w:rPr>
                <w:rFonts w:ascii="仿宋" w:hAnsi="仿宋" w:eastAsia="仿宋"/>
                <w:b/>
                <w:bCs/>
                <w:color w:val="auto"/>
                <w:szCs w:val="21"/>
              </w:rPr>
            </w:pPr>
            <w:r>
              <w:rPr>
                <w:rFonts w:hint="eastAsia" w:ascii="仿宋" w:hAnsi="仿宋" w:eastAsia="仿宋"/>
                <w:b/>
                <w:bCs/>
                <w:color w:val="auto"/>
                <w:szCs w:val="21"/>
              </w:rPr>
              <w:t>项目</w:t>
            </w:r>
          </w:p>
        </w:tc>
        <w:tc>
          <w:tcPr>
            <w:tcW w:w="851"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检查</w:t>
            </w:r>
          </w:p>
          <w:p>
            <w:pPr>
              <w:spacing w:line="240" w:lineRule="exact"/>
              <w:jc w:val="center"/>
              <w:rPr>
                <w:rFonts w:ascii="仿宋" w:hAnsi="仿宋" w:eastAsia="仿宋"/>
                <w:b/>
                <w:bCs/>
                <w:color w:val="auto"/>
                <w:szCs w:val="21"/>
              </w:rPr>
            </w:pPr>
            <w:r>
              <w:rPr>
                <w:rFonts w:hint="eastAsia" w:ascii="仿宋" w:hAnsi="仿宋" w:eastAsia="仿宋"/>
                <w:b/>
                <w:bCs/>
                <w:color w:val="auto"/>
                <w:szCs w:val="21"/>
              </w:rPr>
              <w:t>序号</w:t>
            </w:r>
          </w:p>
        </w:tc>
        <w:tc>
          <w:tcPr>
            <w:tcW w:w="4961"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检查内容</w:t>
            </w:r>
          </w:p>
        </w:tc>
        <w:tc>
          <w:tcPr>
            <w:tcW w:w="1276"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检查结果</w:t>
            </w:r>
          </w:p>
        </w:tc>
        <w:tc>
          <w:tcPr>
            <w:tcW w:w="709" w:type="dxa"/>
            <w:noWrap w:val="0"/>
            <w:vAlign w:val="center"/>
          </w:tcPr>
          <w:p>
            <w:pPr>
              <w:spacing w:line="240" w:lineRule="exact"/>
              <w:jc w:val="center"/>
              <w:rPr>
                <w:rFonts w:ascii="仿宋" w:hAnsi="仿宋" w:eastAsia="仿宋"/>
                <w:b/>
                <w:bCs/>
                <w:color w:val="auto"/>
                <w:szCs w:val="21"/>
              </w:rPr>
            </w:pPr>
            <w:r>
              <w:rPr>
                <w:rFonts w:hint="eastAsia" w:ascii="仿宋" w:hAnsi="仿宋" w:eastAsia="仿宋"/>
                <w:b/>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信息</w:t>
            </w:r>
          </w:p>
          <w:p>
            <w:pPr>
              <w:spacing w:line="240" w:lineRule="exact"/>
              <w:jc w:val="center"/>
              <w:rPr>
                <w:rFonts w:ascii="仿宋" w:hAnsi="仿宋" w:eastAsia="仿宋"/>
                <w:color w:val="auto"/>
                <w:szCs w:val="21"/>
              </w:rPr>
            </w:pPr>
            <w:r>
              <w:rPr>
                <w:rFonts w:hint="eastAsia" w:ascii="仿宋" w:hAnsi="仿宋" w:eastAsia="仿宋"/>
                <w:color w:val="auto"/>
                <w:szCs w:val="21"/>
              </w:rPr>
              <w:t>公示区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信息公示</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在</w:t>
            </w:r>
            <w:r>
              <w:rPr>
                <w:rFonts w:hint="eastAsia" w:ascii="仿宋" w:hAnsi="仿宋" w:eastAsia="仿宋"/>
                <w:color w:val="auto"/>
                <w:szCs w:val="21"/>
                <w:lang w:eastAsia="zh-CN"/>
              </w:rPr>
              <w:t>就餐区</w:t>
            </w:r>
            <w:r>
              <w:rPr>
                <w:rFonts w:hint="eastAsia" w:ascii="仿宋" w:hAnsi="仿宋" w:eastAsia="仿宋"/>
                <w:color w:val="auto"/>
                <w:szCs w:val="21"/>
              </w:rPr>
              <w:t>醒目位置公示食品经营许可证、上一次日常监督检查结果记录表。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1.2</w:t>
            </w:r>
          </w:p>
        </w:tc>
        <w:tc>
          <w:tcPr>
            <w:tcW w:w="4961" w:type="dxa"/>
            <w:noWrap w:val="0"/>
            <w:vAlign w:val="center"/>
          </w:tcPr>
          <w:p>
            <w:pPr>
              <w:spacing w:line="240" w:lineRule="exact"/>
              <w:rPr>
                <w:rFonts w:ascii="仿宋" w:hAnsi="仿宋" w:eastAsia="仿宋" w:cs="宋体"/>
                <w:color w:val="auto"/>
                <w:szCs w:val="21"/>
              </w:rPr>
            </w:pPr>
            <w:r>
              <w:rPr>
                <w:rFonts w:hint="eastAsia" w:ascii="仿宋" w:hAnsi="仿宋" w:eastAsia="仿宋" w:cs="宋体"/>
                <w:color w:val="auto"/>
                <w:kern w:val="0"/>
                <w:szCs w:val="21"/>
              </w:rPr>
              <w:t>公示食品添加剂使用情况。</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食品经营</w:t>
            </w:r>
          </w:p>
          <w:p>
            <w:pPr>
              <w:spacing w:line="240" w:lineRule="exact"/>
              <w:jc w:val="center"/>
              <w:rPr>
                <w:rFonts w:ascii="仿宋" w:hAnsi="仿宋" w:eastAsia="仿宋"/>
                <w:color w:val="auto"/>
                <w:szCs w:val="21"/>
              </w:rPr>
            </w:pPr>
            <w:r>
              <w:rPr>
                <w:rFonts w:hint="eastAsia" w:ascii="仿宋" w:hAnsi="仿宋" w:eastAsia="仿宋"/>
                <w:color w:val="auto"/>
                <w:szCs w:val="21"/>
              </w:rPr>
              <w:t>许可</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食品经营许可证合法有效，经营地址、经营项目与食品经营许可证一致。</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原料</w:t>
            </w:r>
          </w:p>
          <w:p>
            <w:pPr>
              <w:spacing w:line="240" w:lineRule="exact"/>
              <w:jc w:val="center"/>
              <w:rPr>
                <w:rFonts w:ascii="仿宋" w:hAnsi="仿宋" w:eastAsia="仿宋"/>
                <w:color w:val="auto"/>
                <w:szCs w:val="21"/>
              </w:rPr>
            </w:pPr>
            <w:r>
              <w:rPr>
                <w:rFonts w:hint="eastAsia" w:ascii="仿宋" w:hAnsi="仿宋" w:eastAsia="仿宋"/>
                <w:color w:val="auto"/>
                <w:szCs w:val="21"/>
              </w:rPr>
              <w:t>贮存区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原料贮存</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食品库房和非食品（不会导致食品污染的食品容器、包装材料、工具等物品除外）库房分开设置。</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bCs/>
                <w:color w:val="auto"/>
                <w:szCs w:val="21"/>
              </w:rPr>
              <w:t>同一库房内贮存不同类别的食品和非食品（如食品包装材料等），分设存放区域，不同区域有明显的区分标识，贮存的食品和物品离墙离地。散装食品（食用农产品除外）</w:t>
            </w:r>
            <w:r>
              <w:rPr>
                <w:rFonts w:hint="eastAsia" w:ascii="仿宋" w:hAnsi="仿宋" w:eastAsia="仿宋"/>
                <w:bCs/>
                <w:color w:val="auto"/>
                <w:szCs w:val="21"/>
                <w:lang w:eastAsia="zh-CN"/>
              </w:rPr>
              <w:t>应</w:t>
            </w:r>
            <w:r>
              <w:rPr>
                <w:rFonts w:hint="eastAsia" w:ascii="仿宋" w:hAnsi="仿宋" w:eastAsia="仿宋"/>
                <w:bCs/>
                <w:color w:val="auto"/>
                <w:szCs w:val="21"/>
              </w:rPr>
              <w:t>使用密闭容器贮存，并标明名称、使用期限等内容。</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冷冻（藏）设施正常运转，有正确显示设施内部温度的温度计或温度显示装置，设施内部温度符合规定。冷冻（藏）库使用防爆灯。</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3.4</w:t>
            </w:r>
          </w:p>
        </w:tc>
        <w:tc>
          <w:tcPr>
            <w:tcW w:w="4961" w:type="dxa"/>
            <w:noWrap w:val="0"/>
            <w:vAlign w:val="center"/>
          </w:tcPr>
          <w:p>
            <w:pPr>
              <w:spacing w:line="240" w:lineRule="exact"/>
              <w:jc w:val="left"/>
              <w:rPr>
                <w:rFonts w:ascii="仿宋" w:hAnsi="仿宋" w:eastAsia="仿宋"/>
                <w:bCs/>
                <w:color w:val="auto"/>
                <w:szCs w:val="21"/>
              </w:rPr>
            </w:pPr>
            <w:r>
              <w:rPr>
                <w:rFonts w:hint="eastAsia" w:ascii="仿宋" w:hAnsi="仿宋" w:eastAsia="仿宋"/>
                <w:color w:val="auto"/>
                <w:szCs w:val="21"/>
              </w:rPr>
              <w:t>冷冻（藏）设施中的原料、半成品、成品分开存放，并有明显区分标识。</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★3.5</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设有存放食品添加剂的专柜（位），并标注“食品添加剂”字样。食品添加剂的标签上标注有使用范围、用量、使用方法等内容。</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★3.6</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lang w:eastAsia="zh-CN"/>
              </w:rPr>
              <w:t>未贮存</w:t>
            </w:r>
            <w:r>
              <w:rPr>
                <w:rFonts w:hint="eastAsia" w:ascii="仿宋" w:hAnsi="仿宋" w:eastAsia="仿宋"/>
                <w:color w:val="auto"/>
                <w:szCs w:val="21"/>
              </w:rPr>
              <w:t>禁用物质、无明确标识和无法说明来源的物质。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s="宋体"/>
                <w:color w:val="auto"/>
                <w:kern w:val="0"/>
                <w:szCs w:val="21"/>
              </w:rPr>
            </w:pPr>
            <w:r>
              <w:rPr>
                <w:rFonts w:hint="eastAsia" w:ascii="仿宋" w:hAnsi="仿宋" w:eastAsia="仿宋" w:cs="宋体"/>
                <w:color w:val="auto"/>
                <w:kern w:val="0"/>
                <w:szCs w:val="21"/>
              </w:rPr>
              <w:t>3.7</w:t>
            </w:r>
          </w:p>
        </w:tc>
        <w:tc>
          <w:tcPr>
            <w:tcW w:w="4961" w:type="dxa"/>
            <w:noWrap w:val="0"/>
            <w:vAlign w:val="center"/>
          </w:tcPr>
          <w:p>
            <w:pPr>
              <w:spacing w:line="240" w:lineRule="exact"/>
              <w:jc w:val="left"/>
              <w:rPr>
                <w:rFonts w:ascii="仿宋" w:hAnsi="仿宋" w:eastAsia="仿宋"/>
                <w:color w:val="auto"/>
                <w:szCs w:val="21"/>
              </w:rPr>
            </w:pPr>
            <w:r>
              <w:rPr>
                <w:rFonts w:hint="eastAsia" w:ascii="仿宋" w:hAnsi="仿宋" w:eastAsia="仿宋"/>
                <w:color w:val="auto"/>
                <w:szCs w:val="21"/>
              </w:rPr>
              <w:t>食品库房设有通风、防潮及防止有害生物侵入的装置。</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4</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原料质量</w:t>
            </w:r>
          </w:p>
          <w:p>
            <w:pPr>
              <w:spacing w:line="240" w:lineRule="exact"/>
              <w:jc w:val="center"/>
              <w:rPr>
                <w:rFonts w:ascii="仿宋" w:hAnsi="仿宋" w:eastAsia="仿宋"/>
                <w:color w:val="auto"/>
                <w:szCs w:val="21"/>
              </w:rPr>
            </w:pPr>
            <w:r>
              <w:rPr>
                <w:rFonts w:hint="eastAsia" w:ascii="仿宋" w:hAnsi="仿宋" w:eastAsia="仿宋"/>
                <w:color w:val="auto"/>
                <w:szCs w:val="21"/>
              </w:rPr>
              <w:t>检查</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★4.1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食品具有正常的感官性状，无超过保质期、腐败变质等异常情形。</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4.2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对变质、超过保质期或者回收的食品进行显著标示或者单独存放在有明确标志的场所，及时采取无害化处理、销毁等措施并如实记录。</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4.3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食品的包装和标签标识符合要求，并按照要求的条件和规范贮存。</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★4.4</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食品加工用水符合生活饮用水卫生标准。加工制作现榨果蔬汁、食用冰等的用水，应为预包装饮用水、使用符合相关规定的水净化设备或设施处理后的直饮水、煮沸冷却后的生活饮用水。</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粗加工区</w:t>
            </w: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5</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场所卫生</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5.1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场所内保持清洁卫生，环境整洁、无异味，无苍蝇、老鼠、蟑螂，无污染源和活禽，地面、墙壁、门窗、天花板等无霉斑、污垢、积油、积水等情形。</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6</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粗加工</w:t>
            </w:r>
          </w:p>
          <w:p>
            <w:pPr>
              <w:spacing w:line="240" w:lineRule="exact"/>
              <w:jc w:val="center"/>
              <w:rPr>
                <w:rFonts w:ascii="仿宋" w:hAnsi="仿宋" w:eastAsia="仿宋"/>
                <w:color w:val="auto"/>
                <w:szCs w:val="21"/>
              </w:rPr>
            </w:pPr>
            <w:r>
              <w:rPr>
                <w:rFonts w:hint="eastAsia" w:ascii="仿宋" w:hAnsi="仿宋" w:eastAsia="仿宋"/>
                <w:color w:val="auto"/>
                <w:szCs w:val="21"/>
              </w:rPr>
              <w:t>与切配</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6.1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食品原料洗净后使用。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6.2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盛放或加工制作动物性、植物性、水产品等食品原料的工用具和容器分开使用，并有明显区分标识。</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专间</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7</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场所布局</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7.1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各专间有明显的标识标明用途。</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7.2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专间的门能自动闭合，窗户为封闭式（用于传递食品的除外），专间的门和食品传递窗口及时关闭。</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7.3</w:t>
            </w:r>
          </w:p>
        </w:tc>
        <w:tc>
          <w:tcPr>
            <w:tcW w:w="4961" w:type="dxa"/>
            <w:noWrap w:val="0"/>
            <w:vAlign w:val="center"/>
          </w:tcPr>
          <w:p>
            <w:pPr>
              <w:spacing w:line="240" w:lineRule="exact"/>
              <w:jc w:val="left"/>
              <w:rPr>
                <w:rFonts w:ascii="仿宋" w:hAnsi="仿宋" w:eastAsia="仿宋"/>
                <w:color w:val="auto"/>
                <w:szCs w:val="21"/>
              </w:rPr>
            </w:pPr>
            <w:r>
              <w:rPr>
                <w:rFonts w:hint="eastAsia" w:ascii="仿宋" w:hAnsi="仿宋" w:eastAsia="仿宋"/>
                <w:color w:val="auto"/>
                <w:szCs w:val="21"/>
              </w:rPr>
              <w:t>专间内无明沟，地漏带水封。</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8</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设施设备</w:t>
            </w:r>
          </w:p>
        </w:tc>
        <w:tc>
          <w:tcPr>
            <w:tcW w:w="851" w:type="dxa"/>
            <w:noWrap w:val="0"/>
            <w:vAlign w:val="center"/>
          </w:tcPr>
          <w:p>
            <w:pPr>
              <w:tabs>
                <w:tab w:val="center" w:pos="246"/>
              </w:tabs>
              <w:spacing w:line="240" w:lineRule="exact"/>
              <w:rPr>
                <w:rFonts w:ascii="仿宋" w:hAnsi="仿宋" w:eastAsia="仿宋"/>
                <w:color w:val="auto"/>
                <w:szCs w:val="21"/>
              </w:rPr>
            </w:pPr>
            <w:r>
              <w:rPr>
                <w:rFonts w:hint="eastAsia" w:ascii="仿宋" w:hAnsi="仿宋" w:eastAsia="仿宋"/>
                <w:color w:val="auto"/>
                <w:szCs w:val="21"/>
              </w:rPr>
              <w:tab/>
            </w:r>
            <w:r>
              <w:rPr>
                <w:rFonts w:hint="eastAsia" w:ascii="仿宋" w:hAnsi="仿宋" w:eastAsia="仿宋"/>
                <w:color w:val="auto"/>
                <w:szCs w:val="21"/>
              </w:rPr>
              <w:t>★8.1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专间内设有空气消毒、冷冻（藏）、独立的空调等设施，专间内温度不高于25℃。</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8.2</w:t>
            </w:r>
          </w:p>
        </w:tc>
        <w:tc>
          <w:tcPr>
            <w:tcW w:w="4961" w:type="dxa"/>
            <w:noWrap w:val="0"/>
            <w:vAlign w:val="center"/>
          </w:tcPr>
          <w:p>
            <w:pPr>
              <w:tabs>
                <w:tab w:val="left" w:pos="960"/>
              </w:tabs>
              <w:spacing w:line="240" w:lineRule="exact"/>
              <w:rPr>
                <w:rFonts w:ascii="仿宋" w:hAnsi="仿宋" w:eastAsia="仿宋"/>
                <w:color w:val="auto"/>
                <w:szCs w:val="21"/>
              </w:rPr>
            </w:pPr>
            <w:r>
              <w:rPr>
                <w:rFonts w:hint="eastAsia" w:ascii="仿宋" w:hAnsi="仿宋" w:eastAsia="仿宋"/>
                <w:color w:val="auto"/>
                <w:szCs w:val="21"/>
              </w:rPr>
              <w:t>专间内工具专用并独立存放。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8.3</w:t>
            </w:r>
          </w:p>
        </w:tc>
        <w:tc>
          <w:tcPr>
            <w:tcW w:w="4961" w:type="dxa"/>
            <w:noWrap w:val="0"/>
            <w:vAlign w:val="center"/>
          </w:tcPr>
          <w:p>
            <w:pPr>
              <w:tabs>
                <w:tab w:val="left" w:pos="960"/>
              </w:tabs>
              <w:spacing w:line="240" w:lineRule="exact"/>
              <w:rPr>
                <w:rFonts w:ascii="仿宋" w:hAnsi="仿宋" w:eastAsia="仿宋"/>
                <w:color w:val="auto"/>
                <w:szCs w:val="21"/>
              </w:rPr>
            </w:pPr>
            <w:r>
              <w:rPr>
                <w:rFonts w:hint="eastAsia" w:ascii="仿宋" w:hAnsi="仿宋" w:eastAsia="仿宋"/>
                <w:color w:val="auto"/>
                <w:szCs w:val="21"/>
              </w:rPr>
              <w:t>专间入口处设有二次更衣设施，以及独立的非接触洗手、消毒、干手设施。</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9</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人员</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9.1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专间内由专人加工制作。加工制作人员穿戴专用的工作衣帽、佩戴口罩并严格清洗消毒手部后进入专间。</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10</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加工制作</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★10.1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生食类食品、裱花蛋糕、冷食类食品等的加工在专间内进行（可不在专间加工的情形除外）。</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10.2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蔬菜、水果、生食的海产品等食品原料清洗处理干净后，传递进专间。</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10.3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预包装食品和一次性餐饮具去除外层包装并保持最小包装清洁后，传递进专间。</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11</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废弃物</w:t>
            </w:r>
          </w:p>
          <w:p>
            <w:pPr>
              <w:spacing w:line="240" w:lineRule="exact"/>
              <w:jc w:val="center"/>
              <w:rPr>
                <w:rFonts w:ascii="仿宋" w:hAnsi="仿宋" w:eastAsia="仿宋"/>
                <w:color w:val="auto"/>
                <w:szCs w:val="21"/>
              </w:rPr>
            </w:pPr>
            <w:r>
              <w:rPr>
                <w:rFonts w:hint="eastAsia" w:ascii="仿宋" w:hAnsi="仿宋" w:eastAsia="仿宋"/>
                <w:color w:val="auto"/>
                <w:szCs w:val="21"/>
              </w:rPr>
              <w:t>要求</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11.1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专间内的废弃物容器的盖子为非手动开启式。</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专用</w:t>
            </w:r>
          </w:p>
          <w:p>
            <w:pPr>
              <w:spacing w:line="240" w:lineRule="exact"/>
              <w:jc w:val="center"/>
              <w:rPr>
                <w:rFonts w:ascii="仿宋" w:hAnsi="仿宋" w:eastAsia="仿宋"/>
                <w:color w:val="auto"/>
                <w:szCs w:val="21"/>
              </w:rPr>
            </w:pPr>
            <w:r>
              <w:rPr>
                <w:rFonts w:hint="eastAsia" w:ascii="仿宋" w:hAnsi="仿宋" w:eastAsia="仿宋"/>
                <w:color w:val="auto"/>
                <w:szCs w:val="21"/>
              </w:rPr>
              <w:t>操作区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12</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加工制作</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★12.1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在专用操作区内从事备餐、制作现榨果蔬汁或果蔬拼盘、制作植物性冷食类食品（不含非发酵豆制品）及预包装食品的拆封、装盘、调味等加工制作。</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12.2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专用操作区内工具专用并独立存放。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12.3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各专区有明显的标识标明用途。</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13</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场所布局与设施设备</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13.1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场所内无明沟，地漏带水封；设有工具清洗消毒设施和专用冷冻（藏）设施；入口处设置洗手、消毒设施。</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14</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人员</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14.2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加工制作人员穿戴专用的工作衣帽并按规定佩戴口罩，加工制作前严格清洗消毒手部。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烹饪区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15</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工具容器</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15.1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盛放调味料的容器表面清洁，加盖存放。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15.2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用于加工动物性、植物性、水产品等食品原料的容器、工用具分开使用，并有明显区分标识。</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16</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防尘、防有害生物设施</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16.1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配备防尘、防蝇、防鼠、防虫等设施设备。</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17</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设施设备</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17.1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配备通风、排烟、充足的自然光或人工照明设施，定期清洁，光源不改变食品的感官颜色。</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17.2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燃料管理符合要求。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18</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加工制作</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★18.1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未在餐饮加工场所贮存和添加由国务院食品安全监督管理部门会同国务院卫生行政等部门发布的非食品用化学物质和其他可能危害人体健康的物质。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★18.2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油炸类食品、烧烤类食品、火锅类食品、糕点类食品、自制饮品等加工过程符合要求。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★18.3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未超范围、超限量使用食品添加剂，准确称量和记录有“最大使用量”规定的食品添加剂。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★18.4</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未采购、贮存、使用亚硝酸盐（包括亚硝酸钠、亚硝酸钾）。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19</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食品留样</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19.1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集体聚餐人数超过100人或为重大活动供餐，每餐次食品成品留样,每个品种留样量不少于125克，并有留样记录。</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20</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废弃物</w:t>
            </w:r>
          </w:p>
          <w:p>
            <w:pPr>
              <w:spacing w:line="240" w:lineRule="exact"/>
              <w:jc w:val="center"/>
              <w:rPr>
                <w:rFonts w:ascii="仿宋" w:hAnsi="仿宋" w:eastAsia="仿宋"/>
                <w:color w:val="auto"/>
                <w:szCs w:val="21"/>
              </w:rPr>
            </w:pPr>
            <w:r>
              <w:rPr>
                <w:rFonts w:hint="eastAsia" w:ascii="仿宋" w:hAnsi="仿宋" w:eastAsia="仿宋"/>
                <w:color w:val="auto"/>
                <w:szCs w:val="21"/>
              </w:rPr>
              <w:t>要求</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20.1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餐厨废弃物存放容器配有盖子，与食品加工制作容器有明显的区分标识，并及时清理，餐厨废弃物未溢出存放容器。</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21</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人员卫生</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21.1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从事接触直接入口食品工作的从业人员，加工制作食品前对手部进行清洗消毒。</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就餐区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22</w:t>
            </w:r>
          </w:p>
        </w:tc>
        <w:tc>
          <w:tcPr>
            <w:tcW w:w="1134" w:type="dxa"/>
            <w:vMerge w:val="restart"/>
            <w:noWrap w:val="0"/>
            <w:vAlign w:val="center"/>
          </w:tcPr>
          <w:p>
            <w:pPr>
              <w:spacing w:line="240" w:lineRule="exact"/>
              <w:jc w:val="center"/>
              <w:rPr>
                <w:rFonts w:hint="eastAsia" w:ascii="仿宋" w:hAnsi="仿宋" w:eastAsia="仿宋"/>
                <w:color w:val="auto"/>
                <w:szCs w:val="21"/>
                <w:lang w:eastAsia="zh-CN"/>
              </w:rPr>
            </w:pPr>
            <w:r>
              <w:rPr>
                <w:rFonts w:hint="eastAsia" w:ascii="仿宋" w:hAnsi="仿宋" w:eastAsia="仿宋"/>
                <w:color w:val="auto"/>
                <w:szCs w:val="21"/>
                <w:lang w:eastAsia="zh-CN"/>
              </w:rPr>
              <w:t>供餐服务</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22.1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就餐场所卫生清洁。</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22.2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烹饪完毕至食用超过2小时的高危易腐食品，在高于60℃或低于8℃的条件下存放。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22.3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预包装食品供应温度不超过标签标注温度上限的3℃。</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★22.4</w:t>
            </w:r>
          </w:p>
        </w:tc>
        <w:tc>
          <w:tcPr>
            <w:tcW w:w="4961" w:type="dxa"/>
            <w:noWrap w:val="0"/>
            <w:vAlign w:val="center"/>
          </w:tcPr>
          <w:p>
            <w:pPr>
              <w:spacing w:line="240" w:lineRule="exact"/>
              <w:jc w:val="left"/>
              <w:rPr>
                <w:rFonts w:ascii="仿宋" w:hAnsi="仿宋" w:eastAsia="仿宋"/>
                <w:color w:val="auto"/>
                <w:szCs w:val="21"/>
              </w:rPr>
            </w:pPr>
            <w:r>
              <w:rPr>
                <w:rFonts w:hint="eastAsia" w:ascii="仿宋" w:hAnsi="仿宋" w:eastAsia="仿宋"/>
                <w:color w:val="auto"/>
                <w:szCs w:val="21"/>
              </w:rPr>
              <w:t>开展使用公勺公筷宣传，提供公勺公筷服务，规范开展分餐制服务。开展厉行节约、反对浪费宣传，引导节约消费、健康消费，提供用餐剩余食品打包服务。</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hint="eastAsia" w:ascii="仿宋" w:hAnsi="仿宋" w:eastAsia="仿宋"/>
                <w:color w:val="auto"/>
                <w:szCs w:val="21"/>
                <w:lang w:eastAsia="zh-CN"/>
              </w:rPr>
            </w:pPr>
            <w:r>
              <w:rPr>
                <w:rFonts w:hint="eastAsia" w:ascii="仿宋" w:hAnsi="仿宋" w:eastAsia="仿宋"/>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23</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设施</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23.1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根据就餐区布局、面积合理使用防虫、防鼠等设施，场所无苍蝇、老鼠、蟑螂等。</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餐用具清洗消毒区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24</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清洗</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24.1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具有专用的餐用具清洗消毒水池，与食品原料、清洁用具及接触非直接入口食品的工具、容器清洗水池分开。</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24.2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洗涤剂、消毒剂的包装上标识有产品名称、生产厂名和厂址等内容。</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25</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消毒</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★25.1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采用物理消毒的，消毒设备能正常运转，消毒温度和时间符合相关要求。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★25.2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采用化学消毒的，配有含氯等消毒剂和水池等消毒设施设备，消毒液配制行为和消毒液浓度符合相关要求。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餐用具</w:t>
            </w:r>
          </w:p>
          <w:p>
            <w:pPr>
              <w:spacing w:line="240" w:lineRule="exact"/>
              <w:jc w:val="center"/>
              <w:rPr>
                <w:rFonts w:ascii="仿宋" w:hAnsi="仿宋" w:eastAsia="仿宋"/>
                <w:color w:val="auto"/>
                <w:szCs w:val="21"/>
              </w:rPr>
            </w:pPr>
            <w:r>
              <w:rPr>
                <w:rFonts w:hint="eastAsia" w:ascii="仿宋" w:hAnsi="仿宋" w:eastAsia="仿宋"/>
                <w:color w:val="auto"/>
                <w:szCs w:val="21"/>
              </w:rPr>
              <w:t>保洁区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26</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保洁设施</w:t>
            </w:r>
          </w:p>
        </w:tc>
        <w:tc>
          <w:tcPr>
            <w:tcW w:w="851" w:type="dxa"/>
            <w:noWrap w:val="0"/>
            <w:vAlign w:val="center"/>
          </w:tcPr>
          <w:p>
            <w:pPr>
              <w:tabs>
                <w:tab w:val="center" w:pos="317"/>
              </w:tabs>
              <w:spacing w:line="240" w:lineRule="exact"/>
              <w:rPr>
                <w:rFonts w:ascii="仿宋" w:hAnsi="仿宋" w:eastAsia="仿宋"/>
                <w:color w:val="auto"/>
                <w:szCs w:val="21"/>
              </w:rPr>
            </w:pPr>
            <w:r>
              <w:rPr>
                <w:rFonts w:hint="eastAsia" w:ascii="仿宋" w:hAnsi="仿宋" w:eastAsia="仿宋"/>
                <w:color w:val="auto"/>
                <w:szCs w:val="21"/>
              </w:rPr>
              <w:tab/>
            </w:r>
            <w:r>
              <w:rPr>
                <w:rFonts w:hint="eastAsia" w:ascii="仿宋" w:hAnsi="仿宋" w:eastAsia="仿宋"/>
                <w:color w:val="auto"/>
                <w:szCs w:val="21"/>
              </w:rPr>
              <w:t>★26.1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餐饮具表面光洁，无附着食物残渣等异物，无油渍、泡沫、异味。</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★26.2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消毒后的餐饮具存放在清洁、专用、密闭的保洁设施中，并有明显区分标识。</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★26.3</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使用敞开式的货架存放餐饮具，采取防护措施。</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26.4</w:t>
            </w:r>
          </w:p>
        </w:tc>
        <w:tc>
          <w:tcPr>
            <w:tcW w:w="4961" w:type="dxa"/>
            <w:noWrap w:val="0"/>
            <w:vAlign w:val="center"/>
          </w:tcPr>
          <w:p>
            <w:pPr>
              <w:spacing w:line="240" w:lineRule="exact"/>
              <w:rPr>
                <w:rFonts w:ascii="仿宋" w:hAnsi="仿宋" w:eastAsia="仿宋"/>
                <w:i/>
                <w:color w:val="auto"/>
                <w:szCs w:val="21"/>
              </w:rPr>
            </w:pPr>
            <w:r>
              <w:rPr>
                <w:rFonts w:hint="eastAsia" w:ascii="仿宋" w:hAnsi="仿宋" w:eastAsia="仿宋"/>
                <w:color w:val="auto"/>
                <w:szCs w:val="21"/>
              </w:rPr>
              <w:t>一次性餐饮具符合食品安全要求。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26.5</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盛放食品及原料的容器和加工制作工具根据不同用途进行分类管理，定位存放，并具有明显标识或区分。</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卫生间</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27</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场所布局</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27.1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食品处理区内未设置卫生间。卫生间出入口未直对食品处理区，卫生间与外界直接相通的门能自动关闭。</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设施</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27.2</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卫生间出口附近设有洗手、干手设施。</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经营场所</w:t>
            </w: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28</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布局、卫生和设施</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28.1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食品处理区布局合理。加工经营场所整洁，墙壁、天花板、门窗、地面、排水沟、操作台、食品加工用具等无破损、霉斑、积油、积水、污垢等可能影响食品安全的情形。防尘、防蝇、防鼠、防虫设施符合要求，无有害生物活动迹象。</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29</w:t>
            </w:r>
          </w:p>
        </w:tc>
        <w:tc>
          <w:tcPr>
            <w:tcW w:w="1134"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野生动物</w:t>
            </w:r>
          </w:p>
          <w:p>
            <w:pPr>
              <w:spacing w:line="240" w:lineRule="exact"/>
              <w:jc w:val="center"/>
              <w:rPr>
                <w:rFonts w:ascii="仿宋" w:hAnsi="仿宋" w:eastAsia="仿宋"/>
                <w:color w:val="auto"/>
                <w:szCs w:val="21"/>
              </w:rPr>
            </w:pPr>
            <w:r>
              <w:rPr>
                <w:rFonts w:hint="eastAsia" w:ascii="仿宋" w:hAnsi="仿宋" w:eastAsia="仿宋"/>
                <w:color w:val="auto"/>
                <w:szCs w:val="21"/>
              </w:rPr>
              <w:t>保护</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29.1</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招牌、菜谱中不含禁止食用的野生动物</w:t>
            </w:r>
            <w:r>
              <w:rPr>
                <w:rFonts w:hint="eastAsia" w:ascii="仿宋" w:hAnsi="仿宋" w:eastAsia="仿宋"/>
                <w:color w:val="auto"/>
                <w:szCs w:val="21"/>
                <w:lang w:eastAsia="zh-CN"/>
              </w:rPr>
              <w:t>（含长江流域非法捕捞渔获物）</w:t>
            </w:r>
            <w:r>
              <w:rPr>
                <w:rFonts w:hint="eastAsia" w:ascii="仿宋" w:hAnsi="仿宋" w:eastAsia="仿宋"/>
                <w:color w:val="auto"/>
                <w:szCs w:val="21"/>
              </w:rPr>
              <w:t>及其制品的名称、别称、图案，不经营利用禁止食用的野生动物</w:t>
            </w:r>
            <w:r>
              <w:rPr>
                <w:rFonts w:hint="eastAsia" w:ascii="仿宋" w:hAnsi="仿宋" w:eastAsia="仿宋"/>
                <w:color w:val="auto"/>
                <w:szCs w:val="21"/>
                <w:lang w:eastAsia="zh-CN"/>
              </w:rPr>
              <w:t>（含长江流域非法捕捞渔获物）</w:t>
            </w:r>
            <w:r>
              <w:rPr>
                <w:rFonts w:hint="eastAsia" w:ascii="仿宋" w:hAnsi="仿宋" w:eastAsia="仿宋"/>
                <w:color w:val="auto"/>
                <w:szCs w:val="21"/>
              </w:rPr>
              <w:t>及其制品制作的食品。</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入网餐饮</w:t>
            </w:r>
          </w:p>
          <w:p>
            <w:pPr>
              <w:spacing w:line="240" w:lineRule="exact"/>
              <w:jc w:val="center"/>
              <w:rPr>
                <w:rFonts w:ascii="仿宋" w:hAnsi="仿宋" w:eastAsia="仿宋"/>
                <w:color w:val="auto"/>
                <w:szCs w:val="21"/>
              </w:rPr>
            </w:pPr>
            <w:r>
              <w:rPr>
                <w:rFonts w:hint="eastAsia" w:ascii="仿宋" w:hAnsi="仿宋" w:eastAsia="仿宋"/>
                <w:color w:val="auto"/>
                <w:szCs w:val="21"/>
              </w:rPr>
              <w:t>服务经营</w:t>
            </w:r>
          </w:p>
          <w:p>
            <w:pPr>
              <w:spacing w:line="240" w:lineRule="exact"/>
              <w:jc w:val="center"/>
              <w:rPr>
                <w:rFonts w:ascii="仿宋" w:hAnsi="仿宋" w:eastAsia="仿宋"/>
                <w:color w:val="auto"/>
                <w:szCs w:val="21"/>
              </w:rPr>
            </w:pPr>
            <w:r>
              <w:rPr>
                <w:rFonts w:hint="eastAsia" w:ascii="仿宋" w:hAnsi="仿宋" w:eastAsia="仿宋"/>
                <w:color w:val="auto"/>
                <w:szCs w:val="21"/>
              </w:rPr>
              <w:t>者</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w:t>
            </w:r>
          </w:p>
        </w:tc>
        <w:tc>
          <w:tcPr>
            <w:tcW w:w="1134"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网络餐饮服务要求</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30.1</w:t>
            </w:r>
          </w:p>
        </w:tc>
        <w:tc>
          <w:tcPr>
            <w:tcW w:w="4961" w:type="dxa"/>
            <w:noWrap w:val="0"/>
            <w:vAlign w:val="center"/>
          </w:tcPr>
          <w:p>
            <w:pPr>
              <w:widowControl/>
              <w:spacing w:line="240" w:lineRule="exact"/>
              <w:jc w:val="left"/>
              <w:rPr>
                <w:rFonts w:ascii="仿宋" w:hAnsi="仿宋" w:eastAsia="仿宋"/>
                <w:color w:val="auto"/>
                <w:szCs w:val="21"/>
              </w:rPr>
            </w:pPr>
            <w:r>
              <w:rPr>
                <w:rFonts w:hint="eastAsia" w:ascii="仿宋" w:hAnsi="仿宋" w:eastAsia="仿宋" w:cs="宋体"/>
                <w:color w:val="auto"/>
                <w:kern w:val="0"/>
                <w:szCs w:val="21"/>
              </w:rPr>
              <w:t>入网餐饮服务经营者食品经营许可证标注网络经营。</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widowControl/>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s="宋体"/>
                <w:color w:val="auto"/>
                <w:kern w:val="0"/>
                <w:szCs w:val="21"/>
              </w:rPr>
              <w:t>★</w:t>
            </w:r>
            <w:r>
              <w:rPr>
                <w:rFonts w:hint="eastAsia" w:ascii="仿宋" w:hAnsi="仿宋" w:eastAsia="仿宋"/>
                <w:color w:val="auto"/>
                <w:szCs w:val="21"/>
              </w:rPr>
              <w:t>30.2</w:t>
            </w:r>
          </w:p>
        </w:tc>
        <w:tc>
          <w:tcPr>
            <w:tcW w:w="4961" w:type="dxa"/>
            <w:noWrap w:val="0"/>
            <w:vAlign w:val="center"/>
          </w:tcPr>
          <w:p>
            <w:pPr>
              <w:widowControl/>
              <w:spacing w:line="240" w:lineRule="exact"/>
              <w:rPr>
                <w:rFonts w:ascii="仿宋" w:hAnsi="仿宋" w:eastAsia="仿宋"/>
                <w:color w:val="auto"/>
                <w:szCs w:val="21"/>
              </w:rPr>
            </w:pPr>
            <w:r>
              <w:rPr>
                <w:rFonts w:hint="eastAsia" w:ascii="仿宋" w:hAnsi="仿宋" w:eastAsia="仿宋" w:cs="宋体"/>
                <w:color w:val="auto"/>
                <w:kern w:val="0"/>
                <w:szCs w:val="21"/>
              </w:rPr>
              <w:t>入网餐饮服务经营者在经营活动主页面如实公示名称、地址、食品经营许可证等信息。</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widowControl/>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30.3</w:t>
            </w:r>
          </w:p>
        </w:tc>
        <w:tc>
          <w:tcPr>
            <w:tcW w:w="4961" w:type="dxa"/>
            <w:noWrap w:val="0"/>
            <w:vAlign w:val="center"/>
          </w:tcPr>
          <w:p>
            <w:pPr>
              <w:widowControl/>
              <w:spacing w:line="240" w:lineRule="exact"/>
              <w:jc w:val="left"/>
              <w:rPr>
                <w:rFonts w:ascii="仿宋" w:hAnsi="仿宋" w:eastAsia="仿宋"/>
                <w:color w:val="auto"/>
                <w:szCs w:val="21"/>
              </w:rPr>
            </w:pPr>
            <w:r>
              <w:rPr>
                <w:rFonts w:hint="eastAsia" w:ascii="仿宋" w:hAnsi="仿宋" w:eastAsia="仿宋" w:cs="宋体"/>
                <w:color w:val="auto"/>
                <w:kern w:val="0"/>
                <w:szCs w:val="21"/>
              </w:rPr>
              <w:t>入网餐饮服务经营者在网上如实公示菜品名称和主要原料名称。</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widowControl/>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s="宋体"/>
                <w:color w:val="auto"/>
                <w:kern w:val="0"/>
                <w:szCs w:val="21"/>
              </w:rPr>
              <w:t>★</w:t>
            </w:r>
            <w:r>
              <w:rPr>
                <w:rFonts w:hint="eastAsia" w:ascii="仿宋" w:hAnsi="仿宋" w:eastAsia="仿宋"/>
                <w:color w:val="auto"/>
                <w:szCs w:val="21"/>
              </w:rPr>
              <w:t>30.4</w:t>
            </w:r>
          </w:p>
        </w:tc>
        <w:tc>
          <w:tcPr>
            <w:tcW w:w="4961" w:type="dxa"/>
            <w:noWrap w:val="0"/>
            <w:vAlign w:val="center"/>
          </w:tcPr>
          <w:p>
            <w:pPr>
              <w:widowControl/>
              <w:spacing w:line="240" w:lineRule="exact"/>
              <w:jc w:val="left"/>
              <w:rPr>
                <w:rFonts w:ascii="仿宋" w:hAnsi="仿宋" w:eastAsia="仿宋"/>
                <w:color w:val="auto"/>
                <w:szCs w:val="21"/>
              </w:rPr>
            </w:pPr>
            <w:r>
              <w:rPr>
                <w:rFonts w:hint="eastAsia" w:ascii="仿宋" w:hAnsi="仿宋" w:eastAsia="仿宋" w:cs="宋体"/>
                <w:color w:val="auto"/>
                <w:kern w:val="0"/>
                <w:szCs w:val="21"/>
              </w:rPr>
              <w:t>入网餐饮服务经营者在自己的加工操作区内加工食品，不得将订单委托其他食品经营者加工制作</w:t>
            </w:r>
            <w:r>
              <w:rPr>
                <w:rFonts w:hint="eastAsia" w:ascii="仿宋" w:hAnsi="仿宋" w:eastAsia="仿宋" w:cs="宋体"/>
                <w:color w:val="auto"/>
                <w:kern w:val="0"/>
                <w:szCs w:val="21"/>
                <w:lang w:eastAsia="zh-CN"/>
              </w:rPr>
              <w:t>。</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widowControl/>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30.5</w:t>
            </w:r>
          </w:p>
        </w:tc>
        <w:tc>
          <w:tcPr>
            <w:tcW w:w="4961" w:type="dxa"/>
            <w:noWrap w:val="0"/>
            <w:vAlign w:val="center"/>
          </w:tcPr>
          <w:p>
            <w:pPr>
              <w:spacing w:line="240" w:lineRule="exact"/>
              <w:jc w:val="left"/>
              <w:rPr>
                <w:rFonts w:ascii="仿宋" w:hAnsi="仿宋" w:eastAsia="仿宋" w:cs="宋体"/>
                <w:color w:val="auto"/>
                <w:kern w:val="0"/>
                <w:szCs w:val="21"/>
              </w:rPr>
            </w:pPr>
            <w:r>
              <w:rPr>
                <w:rFonts w:hint="eastAsia" w:ascii="仿宋" w:hAnsi="仿宋" w:eastAsia="仿宋"/>
                <w:color w:val="auto"/>
                <w:szCs w:val="21"/>
              </w:rPr>
              <w:t>入网餐饮服务经营者对</w:t>
            </w:r>
            <w:r>
              <w:rPr>
                <w:rFonts w:hint="eastAsia" w:ascii="仿宋" w:hAnsi="仿宋" w:eastAsia="仿宋" w:cs="宋体"/>
                <w:color w:val="auto"/>
                <w:kern w:val="0"/>
                <w:szCs w:val="21"/>
              </w:rPr>
              <w:t>送餐人员培训管理符合要求。</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30.6</w:t>
            </w:r>
          </w:p>
        </w:tc>
        <w:tc>
          <w:tcPr>
            <w:tcW w:w="4961" w:type="dxa"/>
            <w:noWrap w:val="0"/>
            <w:vAlign w:val="center"/>
          </w:tcPr>
          <w:p>
            <w:pPr>
              <w:spacing w:line="240" w:lineRule="exact"/>
              <w:jc w:val="left"/>
              <w:rPr>
                <w:rFonts w:ascii="仿宋" w:hAnsi="仿宋" w:eastAsia="仿宋" w:cs="宋体"/>
                <w:color w:val="auto"/>
                <w:kern w:val="0"/>
                <w:szCs w:val="21"/>
              </w:rPr>
            </w:pPr>
            <w:r>
              <w:rPr>
                <w:rFonts w:hint="eastAsia" w:ascii="仿宋" w:hAnsi="仿宋" w:eastAsia="仿宋"/>
                <w:color w:val="auto"/>
                <w:szCs w:val="21"/>
                <w:lang w:eastAsia="zh-CN"/>
              </w:rPr>
              <w:t>入网餐饮服务经营者应保证</w:t>
            </w:r>
            <w:r>
              <w:rPr>
                <w:rFonts w:hint="eastAsia" w:ascii="仿宋" w:hAnsi="仿宋" w:eastAsia="仿宋"/>
                <w:color w:val="auto"/>
                <w:szCs w:val="21"/>
              </w:rPr>
              <w:t>送餐人员个人卫生</w:t>
            </w:r>
            <w:r>
              <w:rPr>
                <w:rFonts w:hint="eastAsia" w:ascii="仿宋" w:hAnsi="仿宋" w:eastAsia="仿宋"/>
                <w:color w:val="auto"/>
                <w:szCs w:val="21"/>
                <w:lang w:eastAsia="zh-CN"/>
              </w:rPr>
              <w:t>良好，</w:t>
            </w:r>
            <w:r>
              <w:rPr>
                <w:rFonts w:hint="eastAsia" w:ascii="仿宋" w:hAnsi="仿宋" w:eastAsia="仿宋"/>
                <w:color w:val="auto"/>
                <w:szCs w:val="21"/>
              </w:rPr>
              <w:t>外卖箱（包）保持清洁，并定期消毒。</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☆30.7</w:t>
            </w:r>
          </w:p>
        </w:tc>
        <w:tc>
          <w:tcPr>
            <w:tcW w:w="4961" w:type="dxa"/>
            <w:noWrap w:val="0"/>
            <w:vAlign w:val="center"/>
          </w:tcPr>
          <w:p>
            <w:pPr>
              <w:spacing w:line="240" w:lineRule="exact"/>
              <w:jc w:val="left"/>
              <w:rPr>
                <w:rFonts w:ascii="仿宋" w:hAnsi="仿宋" w:eastAsia="仿宋" w:cs="宋体"/>
                <w:color w:val="auto"/>
                <w:kern w:val="0"/>
                <w:szCs w:val="21"/>
              </w:rPr>
            </w:pPr>
            <w:r>
              <w:rPr>
                <w:rFonts w:hint="eastAsia" w:ascii="仿宋" w:hAnsi="仿宋" w:eastAsia="仿宋" w:cs="宋体"/>
                <w:color w:val="auto"/>
                <w:kern w:val="0"/>
                <w:szCs w:val="21"/>
              </w:rPr>
              <w:t>入网餐饮服务经营者对外卖食品盛放容器或者包装进行封签。</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jc w:val="center"/>
              <w:rPr>
                <w:rFonts w:ascii="仿宋" w:hAnsi="仿宋" w:eastAsia="仿宋"/>
                <w:color w:val="auto"/>
                <w:szCs w:val="21"/>
              </w:rPr>
            </w:pPr>
          </w:p>
        </w:tc>
        <w:tc>
          <w:tcPr>
            <w:tcW w:w="708" w:type="dxa"/>
            <w:vMerge w:val="continue"/>
            <w:noWrap w:val="0"/>
            <w:vAlign w:val="center"/>
          </w:tcPr>
          <w:p>
            <w:pPr>
              <w:spacing w:line="240" w:lineRule="exact"/>
              <w:jc w:val="center"/>
              <w:rPr>
                <w:rFonts w:ascii="仿宋" w:hAnsi="仿宋" w:eastAsia="仿宋"/>
                <w:color w:val="auto"/>
                <w:szCs w:val="21"/>
              </w:rPr>
            </w:pPr>
          </w:p>
        </w:tc>
        <w:tc>
          <w:tcPr>
            <w:tcW w:w="1134" w:type="dxa"/>
            <w:vMerge w:val="continue"/>
            <w:noWrap w:val="0"/>
            <w:vAlign w:val="center"/>
          </w:tcPr>
          <w:p>
            <w:pPr>
              <w:spacing w:line="240" w:lineRule="exact"/>
              <w:jc w:val="center"/>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s="宋体"/>
                <w:color w:val="auto"/>
                <w:kern w:val="0"/>
                <w:szCs w:val="21"/>
              </w:rPr>
              <w:t>★</w:t>
            </w:r>
            <w:r>
              <w:rPr>
                <w:rFonts w:hint="eastAsia" w:ascii="仿宋" w:hAnsi="仿宋" w:eastAsia="仿宋"/>
                <w:color w:val="auto"/>
                <w:szCs w:val="21"/>
              </w:rPr>
              <w:t>30.8</w:t>
            </w:r>
          </w:p>
        </w:tc>
        <w:tc>
          <w:tcPr>
            <w:tcW w:w="4961" w:type="dxa"/>
            <w:noWrap w:val="0"/>
            <w:vAlign w:val="center"/>
          </w:tcPr>
          <w:p>
            <w:pPr>
              <w:spacing w:line="240" w:lineRule="exact"/>
              <w:jc w:val="left"/>
              <w:rPr>
                <w:rFonts w:ascii="仿宋" w:hAnsi="仿宋" w:eastAsia="仿宋" w:cs="宋体"/>
                <w:color w:val="auto"/>
                <w:kern w:val="0"/>
                <w:szCs w:val="21"/>
              </w:rPr>
            </w:pPr>
            <w:r>
              <w:rPr>
                <w:rFonts w:hint="eastAsia" w:ascii="仿宋" w:hAnsi="仿宋" w:eastAsia="仿宋" w:cs="宋体"/>
                <w:color w:val="auto"/>
                <w:kern w:val="0"/>
                <w:szCs w:val="21"/>
              </w:rPr>
              <w:t>自建网站餐饮服务经营者按要求备案，并保存数据和交易信息不少于6个月。</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文件</w:t>
            </w:r>
          </w:p>
          <w:p>
            <w:pPr>
              <w:spacing w:line="240" w:lineRule="exact"/>
              <w:jc w:val="center"/>
              <w:rPr>
                <w:rFonts w:ascii="仿宋" w:hAnsi="仿宋" w:eastAsia="仿宋"/>
                <w:color w:val="auto"/>
                <w:szCs w:val="21"/>
              </w:rPr>
            </w:pPr>
            <w:r>
              <w:rPr>
                <w:rFonts w:hint="eastAsia" w:ascii="仿宋" w:hAnsi="仿宋" w:eastAsia="仿宋"/>
                <w:color w:val="auto"/>
                <w:szCs w:val="21"/>
              </w:rPr>
              <w:t>保存区</w:t>
            </w:r>
          </w:p>
        </w:tc>
        <w:tc>
          <w:tcPr>
            <w:tcW w:w="708" w:type="dxa"/>
            <w:vMerge w:val="restart"/>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w:t>
            </w:r>
          </w:p>
        </w:tc>
        <w:tc>
          <w:tcPr>
            <w:tcW w:w="1134" w:type="dxa"/>
            <w:vMerge w:val="restart"/>
            <w:noWrap w:val="0"/>
            <w:vAlign w:val="center"/>
          </w:tcPr>
          <w:p>
            <w:pPr>
              <w:spacing w:line="200" w:lineRule="exact"/>
              <w:jc w:val="center"/>
              <w:rPr>
                <w:rFonts w:ascii="仿宋" w:hAnsi="仿宋" w:eastAsia="仿宋" w:cs="仿宋"/>
                <w:color w:val="auto"/>
                <w:szCs w:val="21"/>
              </w:rPr>
            </w:pPr>
            <w:r>
              <w:rPr>
                <w:rFonts w:hint="eastAsia" w:ascii="仿宋" w:hAnsi="仿宋" w:eastAsia="仿宋" w:cs="仿宋"/>
                <w:color w:val="auto"/>
                <w:szCs w:val="21"/>
              </w:rPr>
              <w:t>文件</w:t>
            </w:r>
          </w:p>
          <w:p>
            <w:pPr>
              <w:spacing w:line="240" w:lineRule="exact"/>
              <w:jc w:val="center"/>
              <w:rPr>
                <w:rFonts w:ascii="仿宋" w:hAnsi="仿宋" w:eastAsia="仿宋"/>
                <w:color w:val="auto"/>
                <w:szCs w:val="21"/>
              </w:rPr>
            </w:pPr>
            <w:r>
              <w:rPr>
                <w:rFonts w:hint="eastAsia" w:ascii="仿宋" w:hAnsi="仿宋" w:eastAsia="仿宋" w:cs="仿宋"/>
                <w:color w:val="auto"/>
                <w:szCs w:val="21"/>
              </w:rPr>
              <w:t>与记录</w:t>
            </w: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★31.1</w:t>
            </w:r>
          </w:p>
        </w:tc>
        <w:tc>
          <w:tcPr>
            <w:tcW w:w="4961" w:type="dxa"/>
            <w:noWrap w:val="0"/>
            <w:vAlign w:val="center"/>
          </w:tcPr>
          <w:p>
            <w:pPr>
              <w:spacing w:line="240" w:lineRule="exact"/>
              <w:rPr>
                <w:rFonts w:ascii="仿宋" w:hAnsi="仿宋" w:eastAsia="仿宋" w:cs="宋体"/>
                <w:color w:val="auto"/>
                <w:kern w:val="0"/>
                <w:szCs w:val="21"/>
              </w:rPr>
            </w:pPr>
            <w:r>
              <w:rPr>
                <w:rFonts w:hint="eastAsia" w:ascii="仿宋" w:hAnsi="仿宋" w:eastAsia="仿宋"/>
                <w:color w:val="auto"/>
                <w:szCs w:val="21"/>
              </w:rPr>
              <w:t>具有食品、食品添加剂、食品相关产品的随货证明文件、每笔购物或销售凭证。具有完整的进货查验记录。</w:t>
            </w:r>
          </w:p>
        </w:tc>
        <w:tc>
          <w:tcPr>
            <w:tcW w:w="1276" w:type="dxa"/>
            <w:noWrap w:val="0"/>
            <w:vAlign w:val="center"/>
          </w:tcPr>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31.2</w:t>
            </w:r>
          </w:p>
        </w:tc>
        <w:tc>
          <w:tcPr>
            <w:tcW w:w="4961" w:type="dxa"/>
            <w:noWrap w:val="0"/>
            <w:vAlign w:val="center"/>
          </w:tcPr>
          <w:p>
            <w:pPr>
              <w:spacing w:line="240" w:lineRule="exact"/>
              <w:rPr>
                <w:rFonts w:ascii="仿宋" w:hAnsi="仿宋" w:eastAsia="仿宋" w:cs="宋体"/>
                <w:color w:val="auto"/>
                <w:kern w:val="0"/>
                <w:szCs w:val="21"/>
              </w:rPr>
            </w:pPr>
            <w:r>
              <w:rPr>
                <w:rFonts w:hint="eastAsia" w:ascii="仿宋" w:hAnsi="仿宋" w:eastAsia="仿宋" w:cs="宋体"/>
                <w:color w:val="auto"/>
                <w:kern w:val="0"/>
                <w:szCs w:val="21"/>
              </w:rPr>
              <w:t>采购畜禽肉类的，应查验动物产品检疫合格证明；采购猪肉的，还应查验肉品品质检验合格证明。</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31.3</w:t>
            </w:r>
          </w:p>
        </w:tc>
        <w:tc>
          <w:tcPr>
            <w:tcW w:w="4961" w:type="dxa"/>
            <w:noWrap w:val="0"/>
            <w:vAlign w:val="center"/>
          </w:tcPr>
          <w:p>
            <w:pPr>
              <w:spacing w:line="240" w:lineRule="exact"/>
              <w:rPr>
                <w:rFonts w:ascii="仿宋" w:hAnsi="仿宋" w:eastAsia="仿宋" w:cs="宋体"/>
                <w:color w:val="auto"/>
                <w:kern w:val="0"/>
                <w:szCs w:val="21"/>
              </w:rPr>
            </w:pPr>
            <w:r>
              <w:rPr>
                <w:rFonts w:hint="eastAsia" w:ascii="仿宋" w:hAnsi="仿宋" w:eastAsia="仿宋"/>
                <w:color w:val="auto"/>
                <w:szCs w:val="21"/>
              </w:rPr>
              <w:t>使用集中消毒餐饮具的，具有集中消毒餐饮具企业的营业执照和</w:t>
            </w:r>
            <w:r>
              <w:rPr>
                <w:rFonts w:hint="eastAsia" w:ascii="仿宋" w:hAnsi="仿宋" w:eastAsia="仿宋"/>
                <w:color w:val="auto"/>
                <w:szCs w:val="21"/>
                <w:lang w:eastAsia="zh-CN"/>
              </w:rPr>
              <w:t>每批次</w:t>
            </w:r>
            <w:r>
              <w:rPr>
                <w:rFonts w:hint="eastAsia" w:ascii="仿宋" w:hAnsi="仿宋" w:eastAsia="仿宋"/>
                <w:color w:val="auto"/>
                <w:szCs w:val="21"/>
              </w:rPr>
              <w:t>产品的消毒合格证明。</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p>
            <w:pPr>
              <w:spacing w:line="240" w:lineRule="exact"/>
              <w:jc w:val="center"/>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cs="宋体"/>
                <w:color w:val="auto"/>
                <w:kern w:val="0"/>
                <w:szCs w:val="21"/>
              </w:rPr>
              <w:t>合理缺项</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31.4</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建立健全食品安全管理制度</w:t>
            </w:r>
            <w:r>
              <w:rPr>
                <w:rFonts w:hint="eastAsia" w:ascii="仿宋" w:hAnsi="仿宋" w:eastAsia="仿宋"/>
                <w:color w:val="auto"/>
                <w:szCs w:val="21"/>
                <w:lang w:eastAsia="zh-CN"/>
              </w:rPr>
              <w:t>（包含人员健康管理、食品安全自查、进货查验、食品召回等内容），</w:t>
            </w:r>
            <w:r>
              <w:rPr>
                <w:rFonts w:hint="eastAsia" w:ascii="仿宋" w:hAnsi="仿宋" w:eastAsia="仿宋"/>
                <w:color w:val="auto"/>
                <w:szCs w:val="21"/>
              </w:rPr>
              <w:t>有食品安全追溯体系、设施设备清洗维护校验记录、从业人员健康检查（每日晨检）记录、食品安全自查记录（每月一次）、从业人员食品安全培训考核记录（每年一次）、食品安全事故处置预案等。</w:t>
            </w:r>
          </w:p>
        </w:tc>
        <w:tc>
          <w:tcPr>
            <w:tcW w:w="1276" w:type="dxa"/>
            <w:noWrap w:val="0"/>
            <w:vAlign w:val="center"/>
          </w:tcPr>
          <w:p>
            <w:pPr>
              <w:spacing w:line="240" w:lineRule="exact"/>
              <w:jc w:val="center"/>
              <w:rPr>
                <w:rFonts w:ascii="仿宋" w:hAnsi="仿宋" w:eastAsia="仿宋" w:cs="宋体"/>
                <w:color w:val="auto"/>
                <w:kern w:val="0"/>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vMerge w:val="continue"/>
            <w:noWrap w:val="0"/>
            <w:vAlign w:val="center"/>
          </w:tcPr>
          <w:p>
            <w:pPr>
              <w:spacing w:line="240" w:lineRule="exact"/>
              <w:rPr>
                <w:rFonts w:ascii="仿宋" w:hAnsi="仿宋" w:eastAsia="仿宋"/>
                <w:color w:val="auto"/>
                <w:szCs w:val="21"/>
              </w:rPr>
            </w:pPr>
          </w:p>
        </w:tc>
        <w:tc>
          <w:tcPr>
            <w:tcW w:w="708" w:type="dxa"/>
            <w:vMerge w:val="continue"/>
            <w:noWrap w:val="0"/>
            <w:vAlign w:val="center"/>
          </w:tcPr>
          <w:p>
            <w:pPr>
              <w:spacing w:line="240" w:lineRule="exact"/>
              <w:rPr>
                <w:rFonts w:ascii="仿宋" w:hAnsi="仿宋" w:eastAsia="仿宋"/>
                <w:color w:val="auto"/>
                <w:szCs w:val="21"/>
              </w:rPr>
            </w:pPr>
          </w:p>
        </w:tc>
        <w:tc>
          <w:tcPr>
            <w:tcW w:w="1134" w:type="dxa"/>
            <w:vMerge w:val="continue"/>
            <w:noWrap w:val="0"/>
            <w:vAlign w:val="center"/>
          </w:tcPr>
          <w:p>
            <w:pPr>
              <w:spacing w:line="240" w:lineRule="exact"/>
              <w:rPr>
                <w:rFonts w:ascii="仿宋" w:hAnsi="仿宋" w:eastAsia="仿宋"/>
                <w:color w:val="auto"/>
                <w:szCs w:val="21"/>
              </w:rPr>
            </w:pPr>
          </w:p>
        </w:tc>
        <w:tc>
          <w:tcPr>
            <w:tcW w:w="851"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★31.5</w:t>
            </w:r>
          </w:p>
        </w:tc>
        <w:tc>
          <w:tcPr>
            <w:tcW w:w="4961" w:type="dxa"/>
            <w:noWrap w:val="0"/>
            <w:vAlign w:val="center"/>
          </w:tcPr>
          <w:p>
            <w:pPr>
              <w:spacing w:line="240" w:lineRule="exact"/>
              <w:rPr>
                <w:rFonts w:ascii="仿宋" w:hAnsi="仿宋" w:eastAsia="仿宋"/>
                <w:color w:val="auto"/>
                <w:szCs w:val="21"/>
              </w:rPr>
            </w:pPr>
            <w:r>
              <w:rPr>
                <w:rFonts w:hint="eastAsia" w:ascii="仿宋" w:hAnsi="仿宋" w:eastAsia="仿宋"/>
                <w:color w:val="auto"/>
                <w:szCs w:val="21"/>
              </w:rPr>
              <w:t>从事接触直接入口食品工作的从业人员取得有效健康证明。</w:t>
            </w:r>
          </w:p>
        </w:tc>
        <w:tc>
          <w:tcPr>
            <w:tcW w:w="1276"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□是□否</w:t>
            </w:r>
          </w:p>
        </w:tc>
        <w:tc>
          <w:tcPr>
            <w:tcW w:w="709" w:type="dxa"/>
            <w:noWrap w:val="0"/>
            <w:vAlign w:val="center"/>
          </w:tcPr>
          <w:p>
            <w:pPr>
              <w:spacing w:line="240" w:lineRule="exact"/>
              <w:jc w:val="center"/>
              <w:rPr>
                <w:rFonts w:ascii="仿宋" w:hAnsi="仿宋" w:eastAsia="仿宋"/>
                <w:color w:val="auto"/>
                <w:szCs w:val="21"/>
              </w:rPr>
            </w:pPr>
            <w:r>
              <w:rPr>
                <w:rFonts w:hint="eastAsia" w:ascii="仿宋" w:hAnsi="仿宋" w:eastAsia="仿宋"/>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3794" w:type="dxa"/>
            <w:gridSpan w:val="4"/>
            <w:noWrap w:val="0"/>
            <w:vAlign w:val="center"/>
          </w:tcPr>
          <w:p>
            <w:pPr>
              <w:spacing w:line="240" w:lineRule="exact"/>
              <w:jc w:val="center"/>
              <w:rPr>
                <w:rFonts w:ascii="仿宋" w:hAnsi="仿宋" w:eastAsia="仿宋"/>
                <w:color w:val="auto"/>
                <w:szCs w:val="21"/>
              </w:rPr>
            </w:pPr>
            <w:r>
              <w:rPr>
                <w:rFonts w:hint="eastAsia" w:ascii="仿宋" w:hAnsi="仿宋" w:eastAsia="仿宋" w:cs="宋体"/>
                <w:color w:val="auto"/>
                <w:kern w:val="0"/>
                <w:szCs w:val="21"/>
              </w:rPr>
              <w:t>得分总和（60分）</w:t>
            </w:r>
          </w:p>
        </w:tc>
        <w:tc>
          <w:tcPr>
            <w:tcW w:w="6946" w:type="dxa"/>
            <w:gridSpan w:val="3"/>
            <w:noWrap w:val="0"/>
            <w:vAlign w:val="center"/>
          </w:tcPr>
          <w:p>
            <w:pPr>
              <w:spacing w:line="240" w:lineRule="exac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jc w:val="center"/>
        </w:trPr>
        <w:tc>
          <w:tcPr>
            <w:tcW w:w="1101" w:type="dxa"/>
            <w:noWrap w:val="0"/>
            <w:vAlign w:val="center"/>
          </w:tcPr>
          <w:p>
            <w:pPr>
              <w:spacing w:line="240" w:lineRule="exact"/>
              <w:jc w:val="center"/>
              <w:rPr>
                <w:rFonts w:ascii="仿宋" w:hAnsi="仿宋" w:eastAsia="仿宋"/>
                <w:color w:val="auto"/>
                <w:szCs w:val="21"/>
              </w:rPr>
            </w:pPr>
          </w:p>
          <w:p>
            <w:pPr>
              <w:spacing w:line="240" w:lineRule="exact"/>
              <w:jc w:val="center"/>
              <w:rPr>
                <w:rFonts w:ascii="仿宋" w:hAnsi="仿宋" w:eastAsia="仿宋"/>
                <w:color w:val="auto"/>
                <w:szCs w:val="21"/>
              </w:rPr>
            </w:pPr>
            <w:r>
              <w:rPr>
                <w:rFonts w:hint="eastAsia" w:ascii="仿宋" w:hAnsi="仿宋" w:eastAsia="仿宋"/>
                <w:color w:val="auto"/>
                <w:szCs w:val="21"/>
              </w:rPr>
              <w:t>备</w:t>
            </w:r>
          </w:p>
          <w:p>
            <w:pPr>
              <w:spacing w:line="240" w:lineRule="exact"/>
              <w:jc w:val="center"/>
              <w:rPr>
                <w:rFonts w:ascii="仿宋" w:hAnsi="仿宋" w:eastAsia="仿宋"/>
                <w:color w:val="auto"/>
                <w:szCs w:val="21"/>
              </w:rPr>
            </w:pPr>
          </w:p>
          <w:p>
            <w:pPr>
              <w:spacing w:line="240" w:lineRule="exact"/>
              <w:jc w:val="center"/>
              <w:rPr>
                <w:rFonts w:ascii="仿宋" w:hAnsi="仿宋" w:eastAsia="仿宋"/>
                <w:color w:val="auto"/>
                <w:szCs w:val="21"/>
              </w:rPr>
            </w:pPr>
          </w:p>
          <w:p>
            <w:pPr>
              <w:spacing w:line="240" w:lineRule="exact"/>
              <w:jc w:val="center"/>
              <w:rPr>
                <w:rFonts w:ascii="仿宋" w:hAnsi="仿宋" w:eastAsia="仿宋"/>
                <w:color w:val="auto"/>
                <w:szCs w:val="21"/>
              </w:rPr>
            </w:pPr>
            <w:r>
              <w:rPr>
                <w:rFonts w:hint="eastAsia" w:ascii="仿宋" w:hAnsi="仿宋" w:eastAsia="仿宋"/>
                <w:color w:val="auto"/>
                <w:szCs w:val="21"/>
              </w:rPr>
              <w:t>注</w:t>
            </w:r>
          </w:p>
        </w:tc>
        <w:tc>
          <w:tcPr>
            <w:tcW w:w="9639" w:type="dxa"/>
            <w:gridSpan w:val="6"/>
            <w:noWrap w:val="0"/>
            <w:vAlign w:val="center"/>
          </w:tcPr>
          <w:p>
            <w:pPr>
              <w:widowControl/>
              <w:spacing w:line="240" w:lineRule="exact"/>
              <w:jc w:val="left"/>
              <w:rPr>
                <w:rFonts w:ascii="仿宋" w:hAnsi="仿宋" w:eastAsia="仿宋"/>
                <w:color w:val="auto"/>
                <w:szCs w:val="21"/>
              </w:rPr>
            </w:pPr>
            <w:r>
              <w:rPr>
                <w:rFonts w:hint="eastAsia" w:ascii="仿宋" w:hAnsi="仿宋" w:eastAsia="仿宋"/>
                <w:color w:val="auto"/>
                <w:szCs w:val="21"/>
              </w:rPr>
              <w:t>1.社会餐饮服务经营者是指除中央厨房、集体用餐配送单位以外的餐饮服务经营者。</w:t>
            </w:r>
          </w:p>
          <w:p>
            <w:pPr>
              <w:spacing w:line="240" w:lineRule="exact"/>
              <w:ind w:left="210" w:hanging="210" w:hangingChars="100"/>
              <w:rPr>
                <w:rFonts w:ascii="仿宋" w:hAnsi="仿宋" w:eastAsia="仿宋"/>
                <w:color w:val="auto"/>
                <w:szCs w:val="21"/>
              </w:rPr>
            </w:pPr>
            <w:r>
              <w:rPr>
                <w:rFonts w:hint="eastAsia" w:ascii="仿宋" w:hAnsi="仿宋" w:eastAsia="仿宋"/>
                <w:color w:val="auto"/>
                <w:szCs w:val="21"/>
              </w:rPr>
              <w:t>2.社会餐饮服务经营者动态风险因素采取风险加分方式进行打分，检查结果为“否”的进行风险分数累加，检查结果</w:t>
            </w:r>
            <w:r>
              <w:rPr>
                <w:rFonts w:hint="eastAsia" w:ascii="仿宋" w:hAnsi="仿宋" w:eastAsia="仿宋"/>
                <w:color w:val="auto"/>
                <w:szCs w:val="21"/>
                <w:lang w:eastAsia="zh-CN"/>
              </w:rPr>
              <w:t>为</w:t>
            </w:r>
            <w:r>
              <w:rPr>
                <w:rFonts w:hint="eastAsia" w:ascii="仿宋" w:hAnsi="仿宋" w:eastAsia="仿宋"/>
                <w:color w:val="auto"/>
                <w:szCs w:val="21"/>
              </w:rPr>
              <w:t>“是”或者“合理缺项”的不加分，总分为60分。</w:t>
            </w:r>
          </w:p>
          <w:p>
            <w:pPr>
              <w:spacing w:line="240" w:lineRule="exact"/>
              <w:ind w:left="210" w:hanging="210" w:hangingChars="100"/>
              <w:rPr>
                <w:rFonts w:ascii="仿宋" w:hAnsi="仿宋" w:eastAsia="仿宋"/>
                <w:color w:val="auto"/>
                <w:szCs w:val="21"/>
              </w:rPr>
            </w:pPr>
            <w:r>
              <w:rPr>
                <w:rFonts w:hint="eastAsia" w:ascii="仿宋" w:hAnsi="仿宋" w:eastAsia="仿宋"/>
                <w:color w:val="auto"/>
                <w:szCs w:val="21"/>
              </w:rPr>
              <w:t>3.日常监督检查共76项检查内容，其中重点项（检查序号中打★号项）2</w:t>
            </w:r>
            <w:r>
              <w:rPr>
                <w:rFonts w:hint="eastAsia" w:ascii="仿宋" w:hAnsi="仿宋" w:eastAsia="仿宋"/>
                <w:color w:val="auto"/>
                <w:szCs w:val="21"/>
                <w:lang w:val="en-US" w:eastAsia="zh-CN"/>
              </w:rPr>
              <w:t>4</w:t>
            </w:r>
            <w:r>
              <w:rPr>
                <w:rFonts w:hint="eastAsia" w:ascii="仿宋" w:hAnsi="仿宋" w:eastAsia="仿宋"/>
                <w:color w:val="auto"/>
                <w:szCs w:val="21"/>
              </w:rPr>
              <w:t>项，鼓励项（检查序号中打☆号项）1项，一般项5</w:t>
            </w:r>
            <w:r>
              <w:rPr>
                <w:rFonts w:hint="eastAsia" w:ascii="仿宋" w:hAnsi="仿宋" w:eastAsia="仿宋"/>
                <w:color w:val="auto"/>
                <w:szCs w:val="21"/>
                <w:lang w:val="en-US" w:eastAsia="zh-CN"/>
              </w:rPr>
              <w:t>1</w:t>
            </w:r>
            <w:r>
              <w:rPr>
                <w:rFonts w:hint="eastAsia" w:ascii="仿宋" w:hAnsi="仿宋" w:eastAsia="仿宋"/>
                <w:color w:val="auto"/>
                <w:szCs w:val="21"/>
              </w:rPr>
              <w:t>项。</w:t>
            </w:r>
          </w:p>
          <w:p>
            <w:pPr>
              <w:widowControl/>
              <w:spacing w:line="240" w:lineRule="exact"/>
              <w:ind w:left="210" w:hanging="210" w:hangingChars="100"/>
              <w:jc w:val="left"/>
              <w:rPr>
                <w:rFonts w:ascii="仿宋" w:hAnsi="仿宋" w:eastAsia="仿宋"/>
                <w:color w:val="auto"/>
                <w:szCs w:val="21"/>
              </w:rPr>
            </w:pPr>
            <w:r>
              <w:rPr>
                <w:rFonts w:hint="eastAsia" w:ascii="仿宋" w:hAnsi="仿宋" w:eastAsia="仿宋"/>
                <w:color w:val="auto"/>
                <w:szCs w:val="21"/>
              </w:rPr>
              <w:t>4.检查结果判定方法：①符合，检查中未发现问题；②基本符合，未发现检查的重点项不合格，且70%≤一般项合格率＜100%；③不符合，重点项存在1项及以上不合格，或一般项合格率＜70%。</w:t>
            </w:r>
          </w:p>
          <w:p>
            <w:pPr>
              <w:widowControl/>
              <w:spacing w:line="240" w:lineRule="exact"/>
              <w:jc w:val="left"/>
              <w:rPr>
                <w:rFonts w:ascii="仿宋" w:hAnsi="仿宋" w:eastAsia="仿宋"/>
                <w:color w:val="auto"/>
                <w:szCs w:val="21"/>
              </w:rPr>
            </w:pPr>
            <w:r>
              <w:rPr>
                <w:rFonts w:hint="eastAsia" w:ascii="仿宋" w:hAnsi="仿宋" w:eastAsia="仿宋"/>
                <w:color w:val="auto"/>
                <w:szCs w:val="21"/>
              </w:rPr>
              <w:t>5.存在合理缺项时，一般项合格率的计算方法为：合格项目数/（检查项目数－合理缺项数）×100%。</w:t>
            </w:r>
          </w:p>
        </w:tc>
      </w:tr>
    </w:tbl>
    <w:p/>
    <w:p>
      <w:pPr>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bCs/>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tbl>
      <w:tblPr>
        <w:tblStyle w:val="7"/>
        <w:tblW w:w="10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242"/>
        <w:gridCol w:w="772"/>
        <w:gridCol w:w="1071"/>
        <w:gridCol w:w="851"/>
        <w:gridCol w:w="5022"/>
        <w:gridCol w:w="1365"/>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8" w:hRule="atLeast"/>
          <w:jc w:val="center"/>
        </w:trPr>
        <w:tc>
          <w:tcPr>
            <w:tcW w:w="10995" w:type="dxa"/>
            <w:gridSpan w:val="7"/>
            <w:tcBorders>
              <w:top w:val="nil"/>
              <w:left w:val="nil"/>
              <w:bottom w:val="single" w:color="auto" w:sz="4" w:space="0"/>
              <w:right w:val="nil"/>
            </w:tcBorders>
            <w:noWrap w:val="0"/>
            <w:vAlign w:val="center"/>
          </w:tcPr>
          <w:p>
            <w:pPr>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p>
          <w:p>
            <w:pPr>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p>
          <w:p>
            <w:pPr>
              <w:widowControl/>
              <w:shd w:val="clear" w:color="auto" w:fill="FFFFFF"/>
              <w:spacing w:line="400" w:lineRule="exact"/>
              <w:jc w:val="left"/>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4</w:t>
            </w:r>
          </w:p>
          <w:p>
            <w:pPr>
              <w:widowControl/>
              <w:shd w:val="clear" w:color="auto" w:fill="FFFFFF"/>
              <w:spacing w:line="400" w:lineRule="exact"/>
              <w:jc w:val="center"/>
              <w:rPr>
                <w:rFonts w:hint="eastAsia"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中央厨房和集体用餐配送单位动态风险因素量化分值表</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（中央厨房和集体用餐配送单位日常监督检查表）</w:t>
            </w:r>
          </w:p>
          <w:p>
            <w:pPr>
              <w:spacing w:line="220" w:lineRule="exact"/>
              <w:rPr>
                <w:rFonts w:ascii="仿宋" w:hAnsi="仿宋" w:eastAsia="仿宋"/>
                <w:bCs/>
                <w:color w:val="000000" w:themeColor="text1"/>
                <w:szCs w:val="21"/>
                <w14:textFill>
                  <w14:solidFill>
                    <w14:schemeClr w14:val="tx1"/>
                  </w14:solidFill>
                </w14:textFill>
              </w:rPr>
            </w:pPr>
          </w:p>
          <w:p>
            <w:pPr>
              <w:spacing w:line="220" w:lineRule="exact"/>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3"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重点检查</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点位</w:t>
            </w: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项目序号</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检查项目</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序号</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检查内容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检查结果</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75"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公示区</w:t>
            </w: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信息公示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在经营场所醒目位置公示食品经营许可证、上一次日常监督检查结果记录表。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公示食品添加剂使用情况。</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食品经营</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许可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0"/>
                <w:szCs w:val="20"/>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2.1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食品经营许可证合法有效，经营地址、经营项目与食品经营许可证一致。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76" w:hRule="atLeast"/>
          <w:jc w:val="center"/>
        </w:trPr>
        <w:tc>
          <w:tcPr>
            <w:tcW w:w="124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贮存区</w:t>
            </w: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原料贮存</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食品库房和非食品</w:t>
            </w:r>
            <w:r>
              <w:rPr>
                <w:rFonts w:hint="eastAsia" w:ascii="仿宋" w:hAnsi="仿宋" w:eastAsia="仿宋"/>
                <w:color w:val="000000" w:themeColor="text1"/>
                <w:szCs w:val="21"/>
                <w14:textFill>
                  <w14:solidFill>
                    <w14:schemeClr w14:val="tx1"/>
                  </w14:solidFill>
                </w14:textFill>
              </w:rPr>
              <w:t>（不会导致食品污染的食品容器、包装材料、工具等物品除外）</w:t>
            </w:r>
            <w:r>
              <w:rPr>
                <w:rFonts w:hint="eastAsia" w:ascii="仿宋" w:hAnsi="仿宋" w:eastAsia="仿宋" w:cs="仿宋"/>
                <w:color w:val="000000" w:themeColor="text1"/>
                <w:szCs w:val="21"/>
                <w14:textFill>
                  <w14:solidFill>
                    <w14:schemeClr w14:val="tx1"/>
                  </w14:solidFill>
                </w14:textFill>
              </w:rPr>
              <w:t>库房分开设置。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20" w:hRule="atLeast"/>
          <w:jc w:val="center"/>
        </w:trPr>
        <w:tc>
          <w:tcPr>
            <w:tcW w:w="1242"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同一库房内贮存不同类别的食品和非食品（如食品包装材料等），分设存放区域，不同区域有明显的区分标识,贮存的食品和物品离墙离地。散装食品（食用农产品除外）应使用密闭容器贮存，并标明名称、使用期限等内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02"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冷冻（藏）设施正常运转，有正确显示设施内部温度的温度计或温度显示装置，设施内部温度符合规定。冷冻（藏）库使用防爆灯。</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50"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冷冻（藏）设施中贮存的原料、半成品、成品分开存放，并有明显区分标识。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97"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0"/>
                <w:szCs w:val="20"/>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3.5</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设有存放食品添加剂的专柜（位），并标注“食品添加剂”字样。食品添加剂的标签上标注有使用范围、用量、使用方法等内容。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15"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★3.6</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未贮存</w:t>
            </w:r>
            <w:r>
              <w:rPr>
                <w:rFonts w:hint="eastAsia" w:ascii="仿宋" w:hAnsi="仿宋" w:eastAsia="仿宋" w:cs="仿宋"/>
                <w:color w:val="000000" w:themeColor="text1"/>
                <w:szCs w:val="24"/>
                <w14:textFill>
                  <w14:solidFill>
                    <w14:schemeClr w14:val="tx1"/>
                  </w14:solidFill>
                </w14:textFill>
              </w:rPr>
              <w:t>禁用物质、无明确标识和无法说明来源的物质。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95"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kern w:val="0"/>
                <w:sz w:val="20"/>
                <w:szCs w:val="20"/>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食品库房设有通风、防潮及防止有害生物侵入的装置。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8"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质量</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检查</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 w:val="20"/>
                <w:szCs w:val="20"/>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4.1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食品具有正常的感官性状，无超过保质期、腐败变质等异常情形。</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87"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对变质、超过保质期或者回收的食品进行显著标示或者单独存放在有明确标志的场所，及时采取无害化处理、销毁等措施并如实记录。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27"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食品的包装和标签符合要求，并按照要求的条件和规范贮存。</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□是□否</w:t>
            </w:r>
          </w:p>
        </w:tc>
        <w:tc>
          <w:tcPr>
            <w:tcW w:w="672" w:type="dxa"/>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47"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4"/>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食品加工用水符合生活饮用水卫生标准。加工制作现榨果蔬汁、食用冰等的用水，应为预包装饮用水、使用符合相关规定的水净化设备或设施处理后的直饮水、煮沸冷却后的生活饮用水。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□是□否</w:t>
            </w:r>
          </w:p>
        </w:tc>
        <w:tc>
          <w:tcPr>
            <w:tcW w:w="672" w:type="dxa"/>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15" w:hRule="atLeast"/>
          <w:jc w:val="center"/>
        </w:trPr>
        <w:tc>
          <w:tcPr>
            <w:tcW w:w="124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粗加工区</w:t>
            </w: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场所卫生</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场所内保持清洁卫生，环境整洁、无异味，无苍蝇、老鼠、蟑螂，无污染源和活禽，地面、墙壁、门窗、天花板等无霉斑、污垢、积油、积水等情形。</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1"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粗加工</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与切配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设有粗加工和切配区域。</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0" w:hRule="atLeast"/>
          <w:jc w:val="center"/>
        </w:trPr>
        <w:tc>
          <w:tcPr>
            <w:tcW w:w="12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盛放或加工制作动物性、植物性、水产品等食品原料的工用具和容器分开使用，并有明显区分标识。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39"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w:t>
            </w: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场所布局</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各专间有明显的标识，并标明用途。</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专间的门自动闭合，窗户为封闭式（用于传递食品的除外），专间的门和食品传递窗口及时关闭。</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9"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设施设备</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8.1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专间内设有空气消毒、冷冻（藏）、独立的空调等设施，专间内温度不高于25℃。</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tabs>
                <w:tab w:val="left" w:pos="960"/>
              </w:tabs>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专间内工用具专用并独立存放。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tabs>
                <w:tab w:val="left" w:pos="960"/>
              </w:tabs>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专间入口处设有二次更衣设施，以及独立的非接触洗手、消毒、干手设施。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专间内由专人加工制作。加工制作人员穿戴专用的工作衣帽、佩戴口罩并严格清洗消毒手部后进入专间。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6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10.1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生食类食品、裱花蛋糕、冷食类食品等的加工在专间内进行（可不在专间加工的情形除外）。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7"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10.2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食品的冷却、分装等在专间内进行。</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废弃物</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要求</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专间内的废弃物容器的盖子为非手动开启式。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4"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烹饪区</w:t>
            </w: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工具容器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盛放调味料的容器表面清洁，加盖存放。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用于加工动物性、植物性、水产品等食品原料的容器、工用具分开使用，并有明显区分标识。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防尘、防有害生物设施</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配备防尘、防蝇、防鼠、防虫等设施设备，能够出具有害生物消杀记录。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w:t>
            </w:r>
          </w:p>
        </w:tc>
        <w:tc>
          <w:tcPr>
            <w:tcW w:w="1071" w:type="dxa"/>
            <w:vMerge w:val="restart"/>
            <w:tcBorders>
              <w:top w:val="single" w:color="auto" w:sz="4" w:space="0"/>
              <w:left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照明、通风排烟</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配备通风、排烟、充足的自然光或人工照明设施，定期清洁，光源不改变食品的感官颜色。</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2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餐厨废弃物存放容器配有盖子，与食品加工制作容器有明显的区分标识，并及时清理，餐厨废弃物未溢出存放容器。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2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15.1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未在餐饮加工场所贮存和添加由国务院食品安全监督管理部门会同国务院卫生行政等部门发布的非食品用化学物质和其他可能危害人体健康的物质。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9"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油炸类食品、烧烤类食品、糕点类食品、自制饮品等加工过程符合要求。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8"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15.3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未超范围、超限量使用食品添加剂，准确称量和记录有“最大使用量”规定的食品添加剂。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6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15.4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未采购、贮存、使用亚硝酸盐（包括亚硝酸钠、亚硝酸钾）。</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6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szCs w:val="24"/>
                <w:lang w:val="en-US" w:eastAsia="zh-CN"/>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15.</w:t>
            </w:r>
            <w:r>
              <w:rPr>
                <w:rFonts w:hint="eastAsia" w:ascii="仿宋" w:hAnsi="仿宋" w:eastAsia="仿宋" w:cs="仿宋"/>
                <w:color w:val="000000" w:themeColor="text1"/>
                <w:szCs w:val="21"/>
                <w:lang w:val="en-US" w:eastAsia="zh-CN"/>
                <w14:textFill>
                  <w14:solidFill>
                    <w14:schemeClr w14:val="tx1"/>
                  </w14:solidFill>
                </w14:textFill>
              </w:rPr>
              <w:t>5</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不经营利用禁止食用的野生动物</w:t>
            </w:r>
            <w:r>
              <w:rPr>
                <w:rFonts w:hint="eastAsia" w:ascii="仿宋" w:hAnsi="仿宋" w:eastAsia="仿宋"/>
                <w:color w:val="000000" w:themeColor="text1"/>
                <w:szCs w:val="21"/>
                <w:lang w:eastAsia="zh-CN"/>
                <w14:textFill>
                  <w14:solidFill>
                    <w14:schemeClr w14:val="tx1"/>
                  </w14:solidFill>
                </w14:textFill>
              </w:rPr>
              <w:t>（含长江流域非法捕捞渔获物）</w:t>
            </w:r>
            <w:r>
              <w:rPr>
                <w:rFonts w:hint="eastAsia" w:ascii="仿宋" w:hAnsi="仿宋" w:eastAsia="仿宋"/>
                <w:color w:val="000000" w:themeColor="text1"/>
                <w:szCs w:val="21"/>
                <w14:textFill>
                  <w14:solidFill>
                    <w14:schemeClr w14:val="tx1"/>
                  </w14:solidFill>
                </w14:textFill>
              </w:rPr>
              <w:t>及其制品制作的食品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4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食品留样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对加工制作的每餐次食品成品进行留样，每个品种留样量不少于125克，并有留样记录。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63"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人员卫生</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从事接触直接入口食品工作的从业人员，加工制作食品前对手部进行清洗消毒。</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92"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餐用具清洗消毒区</w:t>
            </w: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清洗</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具有专用的餐用具清洗消毒水池，与食品原料、清洁用具及接触非直接入口食品的工具、容器清洗水池分开。</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8"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洗涤剂、消毒剂的包装上标识有产品名称、生产厂名和厂址等内容。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8"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19</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消毒</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19.1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采用物理消毒的，消毒设备正常运转，消毒温度和时间符合相关要求。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78"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19.2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采用化学消毒的，配有含氯等消毒剂和水池等消毒设施设备，消毒液配制行为和消毒液浓度符合相关要求。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8" w:hRule="atLeast"/>
          <w:jc w:val="center"/>
        </w:trPr>
        <w:tc>
          <w:tcPr>
            <w:tcW w:w="124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餐用具</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保洁区</w:t>
            </w:r>
          </w:p>
        </w:tc>
        <w:tc>
          <w:tcPr>
            <w:tcW w:w="77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107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保洁设施</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餐饮具表面光洁，无附着食物残渣等异物、无油渍、泡沫、异味。</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0" w:hRule="atLeast"/>
          <w:jc w:val="center"/>
        </w:trPr>
        <w:tc>
          <w:tcPr>
            <w:tcW w:w="1242" w:type="dxa"/>
            <w:vMerge w:val="continue"/>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消毒后的餐饮具存放在清洁、专用、密闭的保洁设施中，并有明显区分标识。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使用敞开式的货架存放餐饮具，采取防护措施。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30" w:hRule="atLeast"/>
          <w:jc w:val="center"/>
        </w:trPr>
        <w:tc>
          <w:tcPr>
            <w:tcW w:w="124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一次性餐饮具符合食品安全要求。</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72"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0" w:hRule="atLeast"/>
          <w:jc w:val="center"/>
        </w:trPr>
        <w:tc>
          <w:tcPr>
            <w:tcW w:w="124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20.5</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盛放食品及原料的容器和加工制作工具根据不同用途进行分类管理、定位存放，并具有明显标识或区分。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74"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配送</w:t>
            </w: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设施设备</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贮存、运输对温度、湿度等有特殊要求的食品，具备保温、冷藏或者冷冻等设备设施，并保持有效运行。</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使用专用的密闭容器和车辆配送食品。配送食品的车辆未与运输杀虫剂、杀鼠剂等有毒有害物品的车辆混用。</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配送前，清洗消毒盛放食品成品的容器（一次性容器除外）。</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8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配送前，对运输车辆和配送容器进行清洁。</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78"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21.5</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中央厨房配送的食品应有包装（如密封塑袋包装）或使用密闭容器（如加盖周转箱）盛放。容器材料符合食品安全国家标准或有关规定。</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1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★21.6</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中央厨房配送食品的包装或容器上标注有中央厨房的名称、地址、许可证号、联系方式、以及食品名称、加工制作时间、保存条件、保存期限、加工制作要求等。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2"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★21.7</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集体用餐配送单位配送的食品有包装或使用密闭容器盛放，容器上标注食用时限和食用方法。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□合理缺项</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0"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配送条件</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要求</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食品的配送温度和湿度符合食品安全要求。高危易腐食品采取低温保存措施。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6"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s="仿宋"/>
                <w:color w:val="000000" w:themeColor="text1"/>
                <w:szCs w:val="21"/>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人员卫生</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配送人员个人卫生良好。</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5"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文件</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保存区</w:t>
            </w:r>
          </w:p>
        </w:tc>
        <w:tc>
          <w:tcPr>
            <w:tcW w:w="7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文件</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与记录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★24.1</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具有食品、食品添加剂、食品相关产品的随货证明文件、每笔购物或销售凭证。具有完整的进货查验记录。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24.2</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采购畜禽肉类的，应查验动物产品检疫合格证明；采购猪肉的，还应查验肉品品质检验合格证明。</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★24.3</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食品安全管理制度、食品安全追溯体系、供货者评价和退出制度、加工操作规程、设施设备清洗维护校验记录、餐饮具消毒保洁记录、废弃物处置制度、从业人员健康检查（健康证明文件、每日晨检）记录、食品安全自查记录（每周一次）、从业人员食品安全培训考核记录（每半年一次）、食品安全突发事件应急处置方案等。</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★24.4</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设立食品安全管理机构，配备专职食品安全管理人员。</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42" w:hRule="atLeast"/>
          <w:jc w:val="center"/>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24.5</w:t>
            </w:r>
          </w:p>
        </w:tc>
        <w:tc>
          <w:tcPr>
            <w:tcW w:w="50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具有检验检测计划，定期对大宗食品原料、加工制作环境等自行或委托具有资质的第三方机构进行检验检测。能够出具检验检测报告或记录。</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42" w:hRule="atLeast"/>
          <w:jc w:val="center"/>
        </w:trPr>
        <w:tc>
          <w:tcPr>
            <w:tcW w:w="3936" w:type="dxa"/>
            <w:gridSpan w:val="4"/>
            <w:tcBorders>
              <w:top w:val="single" w:color="auto" w:sz="4" w:space="0"/>
              <w:left w:val="single" w:color="auto" w:sz="4" w:space="0"/>
              <w:bottom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得分总和（60分）</w:t>
            </w:r>
          </w:p>
        </w:tc>
        <w:tc>
          <w:tcPr>
            <w:tcW w:w="7059" w:type="dxa"/>
            <w:gridSpan w:val="3"/>
            <w:tcBorders>
              <w:top w:val="single" w:color="auto" w:sz="4" w:space="0"/>
              <w:left w:val="single" w:color="auto" w:sz="4" w:space="0"/>
              <w:bottom w:val="single" w:color="auto" w:sz="4" w:space="0"/>
            </w:tcBorders>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25" w:hRule="atLeast"/>
          <w:jc w:val="center"/>
        </w:trPr>
        <w:tc>
          <w:tcPr>
            <w:tcW w:w="1242" w:type="dxa"/>
            <w:tcBorders>
              <w:top w:val="single" w:color="auto" w:sz="4" w:space="0"/>
              <w:left w:val="single" w:color="auto" w:sz="4" w:space="0"/>
              <w:bottom w:val="single" w:color="auto" w:sz="4" w:space="0"/>
            </w:tcBorders>
            <w:noWrap w:val="0"/>
            <w:vAlign w:val="center"/>
          </w:tcPr>
          <w:p>
            <w:pPr>
              <w:spacing w:line="180" w:lineRule="exact"/>
              <w:jc w:val="center"/>
              <w:rPr>
                <w:rFonts w:ascii="仿宋" w:hAnsi="仿宋" w:eastAsia="仿宋" w:cs="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 w:val="20"/>
                <w:szCs w:val="20"/>
                <w14:textFill>
                  <w14:solidFill>
                    <w14:schemeClr w14:val="tx1"/>
                  </w14:solidFill>
                </w14:textFill>
              </w:rPr>
              <w:t>备</w:t>
            </w:r>
          </w:p>
          <w:p>
            <w:pPr>
              <w:spacing w:line="180" w:lineRule="exact"/>
              <w:jc w:val="center"/>
              <w:rPr>
                <w:rFonts w:ascii="仿宋" w:hAnsi="仿宋" w:eastAsia="仿宋" w:cs="仿宋"/>
                <w:color w:val="000000" w:themeColor="text1"/>
                <w:kern w:val="0"/>
                <w:sz w:val="20"/>
                <w:szCs w:val="20"/>
                <w14:textFill>
                  <w14:solidFill>
                    <w14:schemeClr w14:val="tx1"/>
                  </w14:solidFill>
                </w14:textFill>
              </w:rPr>
            </w:pPr>
          </w:p>
          <w:p>
            <w:pPr>
              <w:spacing w:line="180" w:lineRule="exact"/>
              <w:jc w:val="center"/>
              <w:rPr>
                <w:rFonts w:ascii="仿宋" w:hAnsi="仿宋" w:eastAsia="仿宋" w:cs="仿宋"/>
                <w:color w:val="000000" w:themeColor="text1"/>
                <w:kern w:val="0"/>
                <w:sz w:val="20"/>
                <w:szCs w:val="20"/>
                <w14:textFill>
                  <w14:solidFill>
                    <w14:schemeClr w14:val="tx1"/>
                  </w14:solidFill>
                </w14:textFill>
              </w:rPr>
            </w:pPr>
          </w:p>
          <w:p>
            <w:pPr>
              <w:spacing w:line="180" w:lineRule="exact"/>
              <w:jc w:val="center"/>
              <w:rPr>
                <w:rFonts w:ascii="仿宋" w:hAnsi="仿宋" w:eastAsia="仿宋" w:cs="仿宋"/>
                <w:color w:val="000000" w:themeColor="text1"/>
                <w:kern w:val="0"/>
                <w:sz w:val="20"/>
                <w:szCs w:val="20"/>
                <w14:textFill>
                  <w14:solidFill>
                    <w14:schemeClr w14:val="tx1"/>
                  </w14:solidFill>
                </w14:textFill>
              </w:rPr>
            </w:pPr>
            <w:r>
              <w:rPr>
                <w:rFonts w:hint="eastAsia" w:ascii="仿宋" w:hAnsi="仿宋" w:eastAsia="仿宋" w:cs="仿宋"/>
                <w:color w:val="000000" w:themeColor="text1"/>
                <w:kern w:val="0"/>
                <w:sz w:val="20"/>
                <w:szCs w:val="20"/>
                <w14:textFill>
                  <w14:solidFill>
                    <w14:schemeClr w14:val="tx1"/>
                  </w14:solidFill>
                </w14:textFill>
              </w:rPr>
              <w:t>注</w:t>
            </w:r>
          </w:p>
          <w:p>
            <w:pPr>
              <w:spacing w:line="220" w:lineRule="exact"/>
              <w:ind w:left="601" w:leftChars="191" w:hanging="200" w:hangingChars="100"/>
              <w:rPr>
                <w:rFonts w:ascii="仿宋" w:hAnsi="仿宋" w:eastAsia="仿宋" w:cs="仿宋"/>
                <w:color w:val="000000" w:themeColor="text1"/>
                <w:kern w:val="0"/>
                <w:sz w:val="20"/>
                <w:szCs w:val="20"/>
                <w14:textFill>
                  <w14:solidFill>
                    <w14:schemeClr w14:val="tx1"/>
                  </w14:solidFill>
                </w14:textFill>
              </w:rPr>
            </w:pPr>
          </w:p>
        </w:tc>
        <w:tc>
          <w:tcPr>
            <w:tcW w:w="9753" w:type="dxa"/>
            <w:gridSpan w:val="6"/>
            <w:tcBorders>
              <w:top w:val="single" w:color="auto" w:sz="4" w:space="0"/>
              <w:left w:val="single" w:color="auto" w:sz="4" w:space="0"/>
              <w:bottom w:val="single" w:color="auto" w:sz="4" w:space="0"/>
            </w:tcBorders>
            <w:noWrap w:val="0"/>
            <w:vAlign w:val="center"/>
          </w:tcPr>
          <w:p>
            <w:pPr>
              <w:spacing w:line="240" w:lineRule="exact"/>
              <w:ind w:left="210" w:hanging="210" w:hangingChars="100"/>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themeColor="text1"/>
                <w:kern w:val="0"/>
                <w:szCs w:val="21"/>
                <w14:textFill>
                  <w14:solidFill>
                    <w14:schemeClr w14:val="tx1"/>
                  </w14:solidFill>
                </w14:textFill>
              </w:rPr>
              <w:t>1.中央厨房，指由餐饮单位建立的，具有独立场所及设施设备，集中完成食品成品或者半成品加工制作并配送的食品经营者。</w:t>
            </w:r>
          </w:p>
          <w:p>
            <w:pPr>
              <w:spacing w:line="240" w:lineRule="exact"/>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themeColor="text1"/>
                <w:kern w:val="0"/>
                <w:szCs w:val="21"/>
                <w14:textFill>
                  <w14:solidFill>
                    <w14:schemeClr w14:val="tx1"/>
                  </w14:solidFill>
                </w14:textFill>
              </w:rPr>
              <w:t>2.集中用餐配送单位，指根据服务对象订购要求，集中加工、分送食品但不提供就餐场所的食品经营者。</w:t>
            </w:r>
          </w:p>
          <w:p>
            <w:pPr>
              <w:spacing w:line="240" w:lineRule="exact"/>
              <w:ind w:left="210" w:hanging="210" w:hangingChars="10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w:t>
            </w:r>
            <w:r>
              <w:rPr>
                <w:rFonts w:ascii="仿宋" w:hAnsi="仿宋" w:eastAsia="仿宋" w:cs="仿宋"/>
                <w:color w:val="000000" w:themeColor="text1"/>
                <w:kern w:val="0"/>
                <w:szCs w:val="21"/>
                <w14:textFill>
                  <w14:solidFill>
                    <w14:schemeClr w14:val="tx1"/>
                  </w14:solidFill>
                </w14:textFill>
              </w:rPr>
              <w:t>中央厨房和集体用餐配送单位动态风险因素采取风险加分方式进行打分，评价结果为“否”的进行风险分数累加；评价结果</w:t>
            </w:r>
            <w:r>
              <w:rPr>
                <w:rFonts w:hint="eastAsia" w:ascii="仿宋" w:hAnsi="仿宋" w:eastAsia="仿宋" w:cs="仿宋"/>
                <w:color w:val="000000" w:themeColor="text1"/>
                <w:kern w:val="0"/>
                <w:szCs w:val="21"/>
                <w:lang w:eastAsia="zh-CN"/>
                <w14:textFill>
                  <w14:solidFill>
                    <w14:schemeClr w14:val="tx1"/>
                  </w14:solidFill>
                </w14:textFill>
              </w:rPr>
              <w:t>为</w:t>
            </w:r>
            <w:r>
              <w:rPr>
                <w:rFonts w:ascii="仿宋" w:hAnsi="仿宋" w:eastAsia="仿宋" w:cs="仿宋"/>
                <w:color w:val="000000" w:themeColor="text1"/>
                <w:kern w:val="0"/>
                <w:szCs w:val="21"/>
                <w14:textFill>
                  <w14:solidFill>
                    <w14:schemeClr w14:val="tx1"/>
                  </w14:solidFill>
                </w14:textFill>
              </w:rPr>
              <w:t>“是”或者“合理缺项”的不加分，总分为60分。</w:t>
            </w:r>
          </w:p>
          <w:p>
            <w:pPr>
              <w:spacing w:line="240" w:lineRule="exact"/>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themeColor="text1"/>
                <w:kern w:val="0"/>
                <w:szCs w:val="21"/>
                <w14:textFill>
                  <w14:solidFill>
                    <w14:schemeClr w14:val="tx1"/>
                  </w14:solidFill>
                </w14:textFill>
              </w:rPr>
              <w:t>4.日常监督检查共6</w:t>
            </w:r>
            <w:r>
              <w:rPr>
                <w:rFonts w:hint="eastAsia" w:ascii="仿宋" w:hAnsi="仿宋" w:eastAsia="仿宋" w:cs="仿宋"/>
                <w:color w:val="000000" w:themeColor="text1"/>
                <w:kern w:val="0"/>
                <w:szCs w:val="21"/>
                <w:lang w:val="en-US" w:eastAsia="zh-CN"/>
                <w14:textFill>
                  <w14:solidFill>
                    <w14:schemeClr w14:val="tx1"/>
                  </w14:solidFill>
                </w14:textFill>
              </w:rPr>
              <w:t>1</w:t>
            </w:r>
            <w:r>
              <w:rPr>
                <w:rFonts w:ascii="仿宋" w:hAnsi="仿宋" w:eastAsia="仿宋" w:cs="仿宋"/>
                <w:color w:val="000000" w:themeColor="text1"/>
                <w:kern w:val="0"/>
                <w:szCs w:val="21"/>
                <w14:textFill>
                  <w14:solidFill>
                    <w14:schemeClr w14:val="tx1"/>
                  </w14:solidFill>
                </w14:textFill>
              </w:rPr>
              <w:t>项检查内容，重点项（检查序号中打★号项）2</w:t>
            </w:r>
            <w:r>
              <w:rPr>
                <w:rFonts w:hint="eastAsia" w:ascii="仿宋" w:hAnsi="仿宋" w:eastAsia="仿宋" w:cs="仿宋"/>
                <w:color w:val="000000" w:themeColor="text1"/>
                <w:kern w:val="0"/>
                <w:szCs w:val="21"/>
                <w:lang w:val="en-US" w:eastAsia="zh-CN"/>
                <w14:textFill>
                  <w14:solidFill>
                    <w14:schemeClr w14:val="tx1"/>
                  </w14:solidFill>
                </w14:textFill>
              </w:rPr>
              <w:t>5</w:t>
            </w:r>
            <w:r>
              <w:rPr>
                <w:rFonts w:ascii="仿宋" w:hAnsi="仿宋" w:eastAsia="仿宋" w:cs="仿宋"/>
                <w:color w:val="000000" w:themeColor="text1"/>
                <w:kern w:val="0"/>
                <w:szCs w:val="21"/>
                <w14:textFill>
                  <w14:solidFill>
                    <w14:schemeClr w14:val="tx1"/>
                  </w14:solidFill>
                </w14:textFill>
              </w:rPr>
              <w:t>项，一般项36项。</w:t>
            </w:r>
          </w:p>
          <w:p>
            <w:pPr>
              <w:spacing w:line="240" w:lineRule="exact"/>
              <w:ind w:left="210" w:hanging="210" w:hangingChars="100"/>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themeColor="text1"/>
                <w:kern w:val="0"/>
                <w:szCs w:val="21"/>
                <w14:textFill>
                  <w14:solidFill>
                    <w14:schemeClr w14:val="tx1"/>
                  </w14:solidFill>
                </w14:textFill>
              </w:rPr>
              <w:t>5.检查结果判定方法：</w:t>
            </w:r>
            <w:r>
              <w:rPr>
                <w:rFonts w:hint="eastAsia" w:ascii="仿宋" w:hAnsi="仿宋" w:eastAsia="仿宋" w:cs="仿宋"/>
                <w:color w:val="000000" w:themeColor="text1"/>
                <w:kern w:val="0"/>
                <w:szCs w:val="21"/>
                <w14:textFill>
                  <w14:solidFill>
                    <w14:schemeClr w14:val="tx1"/>
                  </w14:solidFill>
                </w14:textFill>
              </w:rPr>
              <w:t>①符</w:t>
            </w:r>
            <w:r>
              <w:rPr>
                <w:rFonts w:ascii="仿宋" w:hAnsi="仿宋" w:eastAsia="仿宋" w:cs="仿宋"/>
                <w:color w:val="000000" w:themeColor="text1"/>
                <w:kern w:val="0"/>
                <w:szCs w:val="21"/>
                <w14:textFill>
                  <w14:solidFill>
                    <w14:schemeClr w14:val="tx1"/>
                  </w14:solidFill>
                </w14:textFill>
              </w:rPr>
              <w:t>合：检查中未发现问题；</w:t>
            </w:r>
            <w:r>
              <w:rPr>
                <w:rFonts w:hint="eastAsia" w:ascii="仿宋" w:hAnsi="仿宋" w:eastAsia="仿宋" w:cs="仿宋"/>
                <w:color w:val="000000" w:themeColor="text1"/>
                <w:kern w:val="0"/>
                <w:szCs w:val="21"/>
                <w14:textFill>
                  <w14:solidFill>
                    <w14:schemeClr w14:val="tx1"/>
                  </w14:solidFill>
                </w14:textFill>
              </w:rPr>
              <w:t>②基本符合：未发现检查的重点项不合格，且</w:t>
            </w:r>
            <w:r>
              <w:rPr>
                <w:rFonts w:ascii="仿宋" w:hAnsi="仿宋" w:eastAsia="仿宋" w:cs="仿宋"/>
                <w:color w:val="000000" w:themeColor="text1"/>
                <w:kern w:val="0"/>
                <w:szCs w:val="21"/>
                <w14:textFill>
                  <w14:solidFill>
                    <w14:schemeClr w14:val="tx1"/>
                  </w14:solidFill>
                </w14:textFill>
              </w:rPr>
              <w:t>70%≤一般项合格率＜100%；</w:t>
            </w:r>
            <w:r>
              <w:rPr>
                <w:rFonts w:hint="eastAsia" w:ascii="仿宋" w:hAnsi="仿宋" w:eastAsia="仿宋" w:cs="仿宋"/>
                <w:color w:val="000000" w:themeColor="text1"/>
                <w:kern w:val="0"/>
                <w:szCs w:val="21"/>
                <w14:textFill>
                  <w14:solidFill>
                    <w14:schemeClr w14:val="tx1"/>
                  </w14:solidFill>
                </w14:textFill>
              </w:rPr>
              <w:t>③不</w:t>
            </w:r>
            <w:r>
              <w:rPr>
                <w:rFonts w:ascii="仿宋" w:hAnsi="仿宋" w:eastAsia="仿宋" w:cs="仿宋"/>
                <w:color w:val="000000" w:themeColor="text1"/>
                <w:kern w:val="0"/>
                <w:szCs w:val="21"/>
                <w14:textFill>
                  <w14:solidFill>
                    <w14:schemeClr w14:val="tx1"/>
                  </w14:solidFill>
                </w14:textFill>
              </w:rPr>
              <w:t>符合：重点项存在1项及以上不合格，或一般项合格率＜70%。</w:t>
            </w:r>
          </w:p>
          <w:p>
            <w:pPr>
              <w:widowControl/>
              <w:spacing w:line="240" w:lineRule="exact"/>
              <w:rPr>
                <w:rFonts w:ascii="仿宋" w:hAnsi="仿宋" w:eastAsia="仿宋" w:cs="仿宋"/>
                <w:color w:val="000000" w:themeColor="text1"/>
                <w:kern w:val="0"/>
                <w:sz w:val="20"/>
                <w:szCs w:val="20"/>
                <w14:textFill>
                  <w14:solidFill>
                    <w14:schemeClr w14:val="tx1"/>
                  </w14:solidFill>
                </w14:textFill>
              </w:rPr>
            </w:pPr>
            <w:r>
              <w:rPr>
                <w:rFonts w:ascii="仿宋" w:hAnsi="仿宋" w:eastAsia="仿宋" w:cs="仿宋"/>
                <w:color w:val="000000" w:themeColor="text1"/>
                <w:kern w:val="0"/>
                <w:szCs w:val="21"/>
                <w14:textFill>
                  <w14:solidFill>
                    <w14:schemeClr w14:val="tx1"/>
                  </w14:solidFill>
                </w14:textFill>
              </w:rPr>
              <w:t>6.存在合理缺项时，一般项合格率的计算方法为：合格项目数/（检查项目数－合理缺项数）×100%。</w:t>
            </w:r>
          </w:p>
        </w:tc>
      </w:tr>
    </w:tbl>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tbl>
      <w:tblPr>
        <w:tblStyle w:val="7"/>
        <w:tblpPr w:leftFromText="180" w:rightFromText="180" w:horzAnchor="margin" w:tblpXSpec="center" w:tblpY="-1440"/>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101"/>
        <w:gridCol w:w="650"/>
        <w:gridCol w:w="1192"/>
        <w:gridCol w:w="851"/>
        <w:gridCol w:w="5062"/>
        <w:gridCol w:w="133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7" w:hRule="atLeast"/>
        </w:trPr>
        <w:tc>
          <w:tcPr>
            <w:tcW w:w="10881" w:type="dxa"/>
            <w:gridSpan w:val="7"/>
            <w:tcBorders>
              <w:top w:val="nil"/>
              <w:left w:val="nil"/>
              <w:right w:val="nil"/>
            </w:tcBorders>
            <w:noWrap w:val="0"/>
            <w:vAlign w:val="center"/>
          </w:tcPr>
          <w:p>
            <w:pPr>
              <w:tabs>
                <w:tab w:val="left" w:pos="420"/>
              </w:tabs>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p>
          <w:p>
            <w:pPr>
              <w:tabs>
                <w:tab w:val="left" w:pos="420"/>
              </w:tabs>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p>
          <w:p>
            <w:pPr>
              <w:tabs>
                <w:tab w:val="left" w:pos="420"/>
              </w:tabs>
              <w:spacing w:line="400" w:lineRule="exact"/>
              <w:ind w:firstLine="960" w:firstLineChars="300"/>
              <w:jc w:val="left"/>
              <w:rPr>
                <w:rFonts w:ascii="方正小标宋简体" w:hAnsi="仿宋" w:eastAsia="方正小标宋简体"/>
                <w:bCs/>
                <w:color w:val="000000" w:themeColor="text1"/>
                <w:sz w:val="32"/>
                <w:szCs w:val="32"/>
                <w14:textFill>
                  <w14:solidFill>
                    <w14:schemeClr w14:val="tx1"/>
                  </w14:solidFill>
                </w14:textFill>
              </w:rPr>
            </w:pPr>
          </w:p>
          <w:p>
            <w:pPr>
              <w:widowControl/>
              <w:shd w:val="clear" w:color="auto" w:fill="FFFFFF"/>
              <w:spacing w:line="400" w:lineRule="exact"/>
              <w:jc w:val="left"/>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5</w:t>
            </w:r>
          </w:p>
          <w:p>
            <w:pPr>
              <w:spacing w:line="400" w:lineRule="exact"/>
              <w:jc w:val="center"/>
              <w:rPr>
                <w:rFonts w:ascii="方正小标宋简体" w:hAnsi="仿宋" w:eastAsia="方正小标宋简体" w:cs="宋体"/>
                <w:color w:val="000000" w:themeColor="text1"/>
                <w:kern w:val="0"/>
                <w:sz w:val="32"/>
                <w:szCs w:val="32"/>
                <w14:textFill>
                  <w14:solidFill>
                    <w14:schemeClr w14:val="tx1"/>
                  </w14:solidFill>
                </w14:textFill>
              </w:rPr>
            </w:pPr>
            <w:r>
              <w:rPr>
                <w:rFonts w:hint="eastAsia" w:ascii="方正小标宋简体" w:hAnsi="仿宋" w:eastAsia="方正小标宋简体" w:cs="宋体"/>
                <w:color w:val="000000" w:themeColor="text1"/>
                <w:kern w:val="0"/>
                <w:sz w:val="32"/>
                <w:szCs w:val="32"/>
                <w14:textFill>
                  <w14:solidFill>
                    <w14:schemeClr w14:val="tx1"/>
                  </w14:solidFill>
                </w14:textFill>
              </w:rPr>
              <w:t>单位食堂动态风险因素量化分值表</w:t>
            </w:r>
          </w:p>
          <w:p>
            <w:pPr>
              <w:spacing w:line="400" w:lineRule="exact"/>
              <w:jc w:val="center"/>
              <w:rPr>
                <w:rFonts w:ascii="方正小标宋简体" w:hAnsi="仿宋" w:eastAsia="方正小标宋简体" w:cs="宋体"/>
                <w:color w:val="000000" w:themeColor="text1"/>
                <w:kern w:val="0"/>
                <w:sz w:val="32"/>
                <w:szCs w:val="32"/>
                <w14:textFill>
                  <w14:solidFill>
                    <w14:schemeClr w14:val="tx1"/>
                  </w14:solidFill>
                </w14:textFill>
              </w:rPr>
            </w:pPr>
            <w:r>
              <w:rPr>
                <w:rFonts w:hint="eastAsia" w:ascii="方正小标宋简体" w:hAnsi="仿宋" w:eastAsia="方正小标宋简体" w:cs="宋体"/>
                <w:color w:val="000000" w:themeColor="text1"/>
                <w:kern w:val="0"/>
                <w:sz w:val="32"/>
                <w:szCs w:val="32"/>
                <w14:textFill>
                  <w14:solidFill>
                    <w14:schemeClr w14:val="tx1"/>
                  </w14:solidFill>
                </w14:textFill>
              </w:rPr>
              <w:t>（单位食堂日常监督检查表）</w:t>
            </w:r>
          </w:p>
          <w:p>
            <w:pPr>
              <w:spacing w:line="400" w:lineRule="exact"/>
              <w:rPr>
                <w:rFonts w:ascii="仿宋" w:hAnsi="仿宋" w:eastAsia="仿宋" w:cs="宋体"/>
                <w:b/>
                <w:color w:val="000000" w:themeColor="text1"/>
                <w:kern w:val="0"/>
                <w:sz w:val="32"/>
                <w:szCs w:val="32"/>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15" w:hRule="atLeast"/>
        </w:trPr>
        <w:tc>
          <w:tcPr>
            <w:tcW w:w="1101"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重点检查</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点位</w:t>
            </w:r>
          </w:p>
        </w:tc>
        <w:tc>
          <w:tcPr>
            <w:tcW w:w="650"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项目</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序号</w:t>
            </w:r>
          </w:p>
        </w:tc>
        <w:tc>
          <w:tcPr>
            <w:tcW w:w="1192"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项目</w:t>
            </w:r>
          </w:p>
        </w:tc>
        <w:tc>
          <w:tcPr>
            <w:tcW w:w="851"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w:t>
            </w:r>
          </w:p>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序号</w:t>
            </w:r>
          </w:p>
        </w:tc>
        <w:tc>
          <w:tcPr>
            <w:tcW w:w="5062"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检查内容</w:t>
            </w:r>
          </w:p>
        </w:tc>
        <w:tc>
          <w:tcPr>
            <w:tcW w:w="1335"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检查结果</w:t>
            </w:r>
          </w:p>
        </w:tc>
        <w:tc>
          <w:tcPr>
            <w:tcW w:w="690" w:type="dxa"/>
            <w:noWrap w:val="0"/>
            <w:vAlign w:val="center"/>
          </w:tcPr>
          <w:p>
            <w:pPr>
              <w:spacing w:line="24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73"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公示区</w:t>
            </w: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信息公示</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在经营场所醒目位置公示食品经营许可证、上一次日常监督检查结果记录表、食品安全负责人和管理员信息</w:t>
            </w:r>
            <w:r>
              <w:rPr>
                <w:rFonts w:hint="eastAsia" w:ascii="仿宋" w:hAnsi="仿宋" w:eastAsia="仿宋" w:cs="仿宋"/>
                <w:color w:val="000000" w:themeColor="text1"/>
                <w:kern w:val="0"/>
                <w:sz w:val="20"/>
                <w:szCs w:val="20"/>
                <w14:textFill>
                  <w14:solidFill>
                    <w14:schemeClr w14:val="tx1"/>
                  </w14:solidFill>
                </w14:textFill>
              </w:rPr>
              <w:t>。</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公示食品添加剂使用情况。</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19"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学校食堂公示从事接触直接入口食品工作的从业人员健康证明等。</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学校食堂公示食品原料进货来源、供餐单位等信息。</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68"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食品经营</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许可</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食品经营许可证合法有效，经营地址、经营项目等事项与食品经营许可证一致。</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1"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贮存区</w:t>
            </w: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原料贮存</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食品库房和非食品库房分开设置。</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9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同一库房内贮存不同类别的食品和非食品（如食品包装材料等），分设存放区域，不同区域有明显的区分标识,</w:t>
            </w:r>
            <w:r>
              <w:rPr>
                <w:rFonts w:hint="eastAsia" w:ascii="仿宋" w:hAnsi="仿宋" w:eastAsia="仿宋" w:cs="仿宋"/>
                <w:color w:val="000000" w:themeColor="text1"/>
                <w:szCs w:val="21"/>
                <w14:textFill>
                  <w14:solidFill>
                    <w14:schemeClr w14:val="tx1"/>
                  </w14:solidFill>
                </w14:textFill>
              </w:rPr>
              <w:t>贮存的食品和物品离墙离地。散装食品有食品储物箱，并标明名称、使用期限等内容。</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52"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3.3</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冷冻（藏）设施正常运转，有正确显示设施内部温度的温度计或温度显示装置，设施内部温度符合规定。冷冻（藏）库使用防爆灯。</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3.4</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冷冻（藏）设施中贮存的原料、半成品、成品分开存放，并有明显区分标识。</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4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★3.5</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设有存放食品添加剂的专柜（位），并标注“食品添加剂”字样。食品添加剂的标签上标注有使用范围、用量、使用方法等内容。</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中小学、幼儿园食堂未采购、贮存四季豆、鲜黄花菜、野生蘑菇、发芽土豆等高风险食品原料。</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无禁用物质、无明确标识和无法说明来源的物质。</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3.8</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食品库房设有通风、防潮及防止有害生物侵入的装置。</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原料质量</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检查</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食品具有正常的感官性状，无超过保质期、无腐败变质等异常情形。</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06"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对变质、超过保质期或者回收的食品进行显著标示或者单独存放在有明确标志的场所，及时采取无害化处理、销毁等措施并如实记录。</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4.3</w:t>
            </w:r>
          </w:p>
        </w:tc>
        <w:tc>
          <w:tcPr>
            <w:tcW w:w="5062" w:type="dxa"/>
            <w:noWrap w:val="0"/>
            <w:vAlign w:val="center"/>
          </w:tcPr>
          <w:p>
            <w:pPr>
              <w:spacing w:line="240" w:lineRule="exact"/>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食品的包装和标签符合要求，并按照要求的条件和规范贮存。</w:t>
            </w:r>
          </w:p>
        </w:tc>
        <w:tc>
          <w:tcPr>
            <w:tcW w:w="1335" w:type="dxa"/>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★4.4</w:t>
            </w:r>
          </w:p>
        </w:tc>
        <w:tc>
          <w:tcPr>
            <w:tcW w:w="5062" w:type="dxa"/>
            <w:noWrap w:val="0"/>
            <w:vAlign w:val="center"/>
          </w:tcPr>
          <w:p>
            <w:pPr>
              <w:spacing w:line="240" w:lineRule="exact"/>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食品加工用水符合生活饮用水卫生标准。加工制作现榨果蔬汁和食用冰等直接入口食品的用水安装净水设施或使用煮沸冷却后的生活饮用水。</w:t>
            </w:r>
          </w:p>
        </w:tc>
        <w:tc>
          <w:tcPr>
            <w:tcW w:w="1335" w:type="dxa"/>
            <w:noWrap w:val="0"/>
            <w:vAlign w:val="center"/>
          </w:tcPr>
          <w:p>
            <w:pPr>
              <w:spacing w:line="240" w:lineRule="exact"/>
              <w:jc w:val="center"/>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8"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粗加工区</w:t>
            </w: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场所卫生</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场所内保持清洁卫生，环境整洁、无异味，无苍蝇、老鼠、蟑螂，无污染源和活禽，地面、墙壁、门窗、天花板等无霉斑、污垢、积油、积水等情形。</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7"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粗加工</w:t>
            </w:r>
            <w:r>
              <w:rPr>
                <w:rFonts w:hint="eastAsia" w:ascii="仿宋" w:hAnsi="仿宋" w:eastAsia="仿宋" w:cs="仿宋"/>
                <w:color w:val="000000" w:themeColor="text1"/>
                <w:szCs w:val="21"/>
                <w14:textFill>
                  <w14:solidFill>
                    <w14:schemeClr w14:val="tx1"/>
                  </w14:solidFill>
                </w14:textFill>
              </w:rPr>
              <w:br w:type="textWrapping"/>
            </w:r>
            <w:r>
              <w:rPr>
                <w:rFonts w:hint="eastAsia" w:ascii="仿宋" w:hAnsi="仿宋" w:eastAsia="仿宋" w:cs="仿宋"/>
                <w:color w:val="000000" w:themeColor="text1"/>
                <w:szCs w:val="21"/>
                <w14:textFill>
                  <w14:solidFill>
                    <w14:schemeClr w14:val="tx1"/>
                  </w14:solidFill>
                </w14:textFill>
              </w:rPr>
              <w:t>与切配</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设有粗加工和切配区域。</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盛放或加工制作动物性、植物性、水产品等食品原料的工用具和容器分开使用，并有明显区分标识。</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3"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w:t>
            </w: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场所布局</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各专间有明显的标识，并标明用途。</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专间的门自动闭合，窗户为封闭式（用于传递食品的除外），专间的门和食品传递窗口及时关闭。</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2"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设施设备</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专间内设有空气消毒、冷冻（藏）、独立的空调等设施，专间内温度不高于25℃。</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1"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8.2</w:t>
            </w:r>
          </w:p>
        </w:tc>
        <w:tc>
          <w:tcPr>
            <w:tcW w:w="5062" w:type="dxa"/>
            <w:noWrap w:val="0"/>
            <w:vAlign w:val="center"/>
          </w:tcPr>
          <w:p>
            <w:pPr>
              <w:tabs>
                <w:tab w:val="left" w:pos="960"/>
              </w:tabs>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专间内工用具专用并独立存放。</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8.3</w:t>
            </w:r>
          </w:p>
        </w:tc>
        <w:tc>
          <w:tcPr>
            <w:tcW w:w="5062" w:type="dxa"/>
            <w:noWrap w:val="0"/>
            <w:vAlign w:val="center"/>
          </w:tcPr>
          <w:p>
            <w:pPr>
              <w:tabs>
                <w:tab w:val="left" w:pos="960"/>
              </w:tabs>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专间入口处设有二次更衣设施，以及独立的非接触洗手、消毒、干手设施。</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9.1</w:t>
            </w:r>
          </w:p>
        </w:tc>
        <w:tc>
          <w:tcPr>
            <w:tcW w:w="5062" w:type="dxa"/>
            <w:noWrap w:val="0"/>
            <w:vAlign w:val="center"/>
          </w:tcPr>
          <w:p>
            <w:pPr>
              <w:spacing w:line="240" w:lineRule="exact"/>
              <w:rPr>
                <w:rFonts w:ascii="仿宋" w:hAnsi="仿宋" w:eastAsia="仿宋" w:cs="仿宋"/>
                <w:color w:val="000000" w:themeColor="text1"/>
                <w:spacing w:val="-8"/>
                <w:szCs w:val="21"/>
                <w14:textFill>
                  <w14:solidFill>
                    <w14:schemeClr w14:val="tx1"/>
                  </w14:solidFill>
                </w14:textFill>
              </w:rPr>
            </w:pPr>
            <w:r>
              <w:rPr>
                <w:rFonts w:hint="eastAsia" w:ascii="仿宋" w:hAnsi="仿宋" w:eastAsia="仿宋" w:cs="仿宋"/>
                <w:color w:val="000000" w:themeColor="text1"/>
                <w:spacing w:val="-8"/>
                <w:szCs w:val="21"/>
                <w14:textFill>
                  <w14:solidFill>
                    <w14:schemeClr w14:val="tx1"/>
                  </w14:solidFill>
                </w14:textFill>
              </w:rPr>
              <w:t>专间内由专人加工制作。加工制作人员穿戴专用的工作衣帽、佩戴口罩并严格清洗消毒手部后进入专间。</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生食类食品、裱花蛋糕、冷食类食品等的加工在专间内进行（可不在专间加工的情形除外）。</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4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中小学、幼儿园食堂未制售冷荤类食品、生食类食品、裱花蛋糕。</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76"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10.3</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学校食堂制定并在显著位置公示人员操作规范。</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废弃物</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要求</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专间内的废弃物容器的盖子为非手动开启式。</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0"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专用</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操作区</w:t>
            </w: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12.1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在专用操作区内从事备餐、制作现榨果蔬汁或果蔬拼盘、制作植物性冷食类食品（不含非发酵豆制品）及预包装食品的拆封、装盘、调味等加工制作。</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12.2</w:t>
            </w:r>
          </w:p>
        </w:tc>
        <w:tc>
          <w:tcPr>
            <w:tcW w:w="5062" w:type="dxa"/>
            <w:noWrap w:val="0"/>
            <w:vAlign w:val="center"/>
          </w:tcPr>
          <w:p>
            <w:pPr>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学校食堂设置专用的备餐间或者备餐操作区。</w:t>
            </w:r>
          </w:p>
        </w:tc>
        <w:tc>
          <w:tcPr>
            <w:tcW w:w="1335" w:type="dxa"/>
            <w:noWrap w:val="0"/>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□是□否</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□合理缺项</w:t>
            </w:r>
          </w:p>
        </w:tc>
        <w:tc>
          <w:tcPr>
            <w:tcW w:w="690" w:type="dxa"/>
            <w:noWrap w:val="0"/>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12.3</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各专间有明显的标识，并标明用途。</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8"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12.4</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学校食堂制定并在显著位置公示人员操作规范。</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85"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12.5</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专用操作区内工用具专用并独立存放。</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80"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加工制作人员穿戴专用的工作衣帽、佩戴口罩，加工制作前严格清洗消毒手部。</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trPr>
        <w:tc>
          <w:tcPr>
            <w:tcW w:w="1101"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烹饪区</w:t>
            </w: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工具容器</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盛放调味料的容器表面清洁，加盖存放。</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6"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用于加工动物性、植物性、水产品等食品原料的容器、工用具分开使用，并有明显区分标识。</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2"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防尘、防有害生物</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配备防尘、防蝇、防鼠、防虫等设施设备，能够出具有害生物消杀记录。</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19"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照明、通风排烟设施</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配备通风、排烟、充足的自然光或人工照明设施，定期清洁，光源不改变食品的感官颜色。</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97"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w:t>
            </w:r>
          </w:p>
        </w:tc>
        <w:tc>
          <w:tcPr>
            <w:tcW w:w="1192" w:type="dxa"/>
            <w:vMerge w:val="restart"/>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w:t>
            </w:r>
          </w:p>
        </w:tc>
        <w:tc>
          <w:tcPr>
            <w:tcW w:w="851" w:type="dxa"/>
            <w:noWrap w:val="0"/>
            <w:vAlign w:val="center"/>
          </w:tcPr>
          <w:p>
            <w:pPr>
              <w:tabs>
                <w:tab w:val="center" w:pos="317"/>
              </w:tabs>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未在餐饮加工场所贮存和添加由国务院食品安全监督管理部门会同国务院卫生行政等部门发布的非食品用化学物质和其他可能危害人体健康的物质。</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93"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★17.2</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油炸类食品、烧烤类食品、糕点类食品、自制饮品等加工过程符合要求。</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★17.3</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未超范围、超限量使用食品添加剂，准确称量和记录有“最大使用量”规定的食品添加剂。</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48"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★17.4</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未采购、贮存、使用亚硝酸盐（包括亚硝酸钠、亚硝酸钾）。</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48"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17.5</w:t>
            </w:r>
          </w:p>
        </w:tc>
        <w:tc>
          <w:tcPr>
            <w:tcW w:w="5062" w:type="dxa"/>
            <w:noWrap w:val="0"/>
            <w:vAlign w:val="center"/>
          </w:tcPr>
          <w:p>
            <w:pPr>
              <w:spacing w:line="240" w:lineRule="exac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不经营利用禁止食用的野生动物</w:t>
            </w:r>
            <w:r>
              <w:rPr>
                <w:rFonts w:hint="eastAsia" w:ascii="仿宋" w:hAnsi="仿宋" w:eastAsia="仿宋"/>
                <w:color w:val="000000" w:themeColor="text1"/>
                <w:szCs w:val="21"/>
                <w:lang w:eastAsia="zh-CN"/>
                <w14:textFill>
                  <w14:solidFill>
                    <w14:schemeClr w14:val="tx1"/>
                  </w14:solidFill>
                </w14:textFill>
              </w:rPr>
              <w:t>（含长江流域非法捕捞渔获物）</w:t>
            </w:r>
            <w:r>
              <w:rPr>
                <w:rFonts w:hint="eastAsia" w:ascii="仿宋" w:hAnsi="仿宋" w:eastAsia="仿宋"/>
                <w:color w:val="000000" w:themeColor="text1"/>
                <w:szCs w:val="21"/>
                <w14:textFill>
                  <w14:solidFill>
                    <w14:schemeClr w14:val="tx1"/>
                  </w14:solidFill>
                </w14:textFill>
              </w:rPr>
              <w:t>及其制品制作的食品</w:t>
            </w:r>
          </w:p>
        </w:tc>
        <w:tc>
          <w:tcPr>
            <w:tcW w:w="1335" w:type="dxa"/>
            <w:noWrap w:val="0"/>
            <w:vAlign w:val="center"/>
          </w:tcPr>
          <w:p>
            <w:pPr>
              <w:spacing w:line="24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2"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食品留样</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对加工制作的每餐次食品成品进行留样，每个品种留样量不少于125克，并有留样记录。</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86"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19</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废弃物</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要求</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19.1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餐厨废弃物存放容器配有盖子，与食品加工制作容器有明显的区分标识，并及时清理，餐厨废弃物未溢出存放容器。</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trPr>
        <w:tc>
          <w:tcPr>
            <w:tcW w:w="1101" w:type="dxa"/>
            <w:vMerge w:val="continue"/>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5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1192"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人员卫生</w:t>
            </w:r>
          </w:p>
        </w:tc>
        <w:tc>
          <w:tcPr>
            <w:tcW w:w="851"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w:t>
            </w:r>
          </w:p>
        </w:tc>
        <w:tc>
          <w:tcPr>
            <w:tcW w:w="5062"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从事接触直接入口食品工作的从业人员，加工制作食品前对手部进行清洗消毒。</w:t>
            </w:r>
          </w:p>
        </w:tc>
        <w:tc>
          <w:tcPr>
            <w:tcW w:w="1335"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38" w:hRule="atLeast"/>
        </w:trPr>
        <w:tc>
          <w:tcPr>
            <w:tcW w:w="1101"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就餐区</w:t>
            </w:r>
          </w:p>
        </w:tc>
        <w:tc>
          <w:tcPr>
            <w:tcW w:w="650"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1192" w:type="dxa"/>
            <w:vMerge w:val="restart"/>
            <w:noWrap w:val="0"/>
            <w:vAlign w:val="center"/>
          </w:tcPr>
          <w:p>
            <w:pPr>
              <w:spacing w:line="220" w:lineRule="exact"/>
              <w:jc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供餐服务</w:t>
            </w: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21.1</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就餐场所卫生清洁。</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2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21.2</w:t>
            </w:r>
          </w:p>
        </w:tc>
        <w:tc>
          <w:tcPr>
            <w:tcW w:w="5062" w:type="dxa"/>
            <w:noWrap w:val="0"/>
            <w:vAlign w:val="center"/>
          </w:tcPr>
          <w:p>
            <w:pPr>
              <w:tabs>
                <w:tab w:val="left" w:pos="1344"/>
              </w:tabs>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预包装食品供应温度不超过标签标注温度上限的3℃。</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0"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21.3</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学校食堂从业人员未有在食堂内吸烟等行为。</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0"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21.4</w:t>
            </w:r>
          </w:p>
        </w:tc>
        <w:tc>
          <w:tcPr>
            <w:tcW w:w="5062" w:type="dxa"/>
            <w:noWrap w:val="0"/>
            <w:vAlign w:val="center"/>
          </w:tcPr>
          <w:p>
            <w:pPr>
              <w:spacing w:line="240" w:lineRule="exact"/>
              <w:jc w:val="left"/>
              <w:rPr>
                <w:rFonts w:hint="eastAsia" w:ascii="仿宋" w:hAnsi="仿宋" w:eastAsia="仿宋" w:cs="Times New Roman"/>
                <w:color w:val="000000" w:themeColor="text1"/>
                <w:kern w:val="2"/>
                <w:sz w:val="21"/>
                <w:szCs w:val="21"/>
                <w:lang w:val="en-US" w:eastAsia="zh-CN" w:bidi="ar-SA"/>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开展使用公勺公筷宣传，提供公勺公筷服务，规范开展分餐制服务。开展厉行节约、反对浪费宣传，引导节约消费、健康消费，提供用餐剩余食品打包服务。</w:t>
            </w:r>
          </w:p>
        </w:tc>
        <w:tc>
          <w:tcPr>
            <w:tcW w:w="1335" w:type="dxa"/>
            <w:noWrap w:val="0"/>
            <w:vAlign w:val="center"/>
          </w:tcPr>
          <w:p>
            <w:pPr>
              <w:spacing w:line="240" w:lineRule="exact"/>
              <w:jc w:val="center"/>
              <w:rPr>
                <w:rFonts w:hint="eastAsia" w:ascii="仿宋" w:hAnsi="仿宋" w:eastAsia="仿宋" w:cs="Times New Roman"/>
                <w:color w:val="000000" w:themeColor="text1"/>
                <w:kern w:val="2"/>
                <w:sz w:val="21"/>
                <w:szCs w:val="21"/>
                <w:lang w:val="en-US" w:eastAsia="zh-CN" w:bidi="ar-SA"/>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□是□否</w:t>
            </w:r>
          </w:p>
        </w:tc>
        <w:tc>
          <w:tcPr>
            <w:tcW w:w="690" w:type="dxa"/>
            <w:noWrap w:val="0"/>
            <w:vAlign w:val="center"/>
          </w:tcPr>
          <w:p>
            <w:pPr>
              <w:spacing w:line="220" w:lineRule="exact"/>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10"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w:t>
            </w:r>
          </w:p>
        </w:tc>
        <w:tc>
          <w:tcPr>
            <w:tcW w:w="1192"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w:t>
            </w: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22.1</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根据就餐区布局、面积合理使用防虫、防鼠等设施，场所无苍蝇、老鼠、蟑螂等。</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63"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22.2</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学校食堂就餐区或就餐区附近设有供用餐者清洗手部以及餐具、饮具的用水设施。</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1" w:hRule="atLeast"/>
        </w:trPr>
        <w:tc>
          <w:tcPr>
            <w:tcW w:w="1101"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餐用具清洗消毒区</w:t>
            </w:r>
          </w:p>
        </w:tc>
        <w:tc>
          <w:tcPr>
            <w:tcW w:w="650"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w:t>
            </w:r>
          </w:p>
        </w:tc>
        <w:tc>
          <w:tcPr>
            <w:tcW w:w="1192"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清洗</w:t>
            </w: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23.1</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具有专用的餐用具清洗消毒水池，与食品原料、清洁用具及接触非直接入口食品的工具、容器清洗水池分开。</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5"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23.2</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洗涤剂、消毒剂的包装上标识有产品名称、生产厂名和厂址等内容。</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22"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w:t>
            </w:r>
          </w:p>
        </w:tc>
        <w:tc>
          <w:tcPr>
            <w:tcW w:w="1192" w:type="dxa"/>
            <w:vMerge w:val="restart"/>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消毒</w:t>
            </w: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★24.1</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采用物理消毒的，消毒设备正常运转，消毒温度和时间符合相关要求。</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71" w:hRule="atLeast"/>
        </w:trPr>
        <w:tc>
          <w:tcPr>
            <w:tcW w:w="1101"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★24.2</w:t>
            </w:r>
          </w:p>
        </w:tc>
        <w:tc>
          <w:tcPr>
            <w:tcW w:w="5062" w:type="dxa"/>
            <w:noWrap w:val="0"/>
            <w:vAlign w:val="center"/>
          </w:tcPr>
          <w:p>
            <w:pPr>
              <w:spacing w:line="2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采用化学消毒的，配有含氯等消毒剂和水池等消毒设施设备，消毒液配制行为和消毒液浓度符合相关要求。</w:t>
            </w:r>
          </w:p>
        </w:tc>
        <w:tc>
          <w:tcPr>
            <w:tcW w:w="1335"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2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9" w:hRule="atLeast"/>
        </w:trPr>
        <w:tc>
          <w:tcPr>
            <w:tcW w:w="1101"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餐用具</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保洁区</w:t>
            </w:r>
          </w:p>
        </w:tc>
        <w:tc>
          <w:tcPr>
            <w:tcW w:w="650"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w:t>
            </w:r>
          </w:p>
        </w:tc>
        <w:tc>
          <w:tcPr>
            <w:tcW w:w="1192"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保洁设施</w:t>
            </w: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★25.1</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餐饮具表面光洁，无附着食物残渣等异物、无油渍、泡沫、异味。</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90"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★25.2</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消毒后的餐饮具存放在清洁、专用、密闭的保洁设施中，并有明显区分标识。</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4"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★25.3</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使用敞开式的货架存放餐饮具，采取防护措施。</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4"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25.4</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一次性餐饮具符合食品安全要求。</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合理缺项</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0"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25.5</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盛放食品及原料的容器和加工制作工具根据不同用途进行分类管理、定位存放，并具有明显标识或区分。</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trPr>
        <w:tc>
          <w:tcPr>
            <w:tcW w:w="1101"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文件</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保存区</w:t>
            </w:r>
          </w:p>
        </w:tc>
        <w:tc>
          <w:tcPr>
            <w:tcW w:w="650"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w:t>
            </w:r>
          </w:p>
        </w:tc>
        <w:tc>
          <w:tcPr>
            <w:tcW w:w="1192" w:type="dxa"/>
            <w:vMerge w:val="restart"/>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文件</w:t>
            </w:r>
          </w:p>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与记录</w:t>
            </w: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★26.1</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具有食品、食品添加剂、食品相关产品的随货证明文件、每笔购物或销售凭证。具有完整的进货查验记录。</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5"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26.2</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采购畜禽肉类的，还具有动物产品检疫合格证明等相关证明文件。</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90" w:hRule="atLeast"/>
        </w:trPr>
        <w:tc>
          <w:tcPr>
            <w:tcW w:w="1101"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650"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1192" w:type="dxa"/>
            <w:vMerge w:val="continue"/>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p>
        </w:tc>
        <w:tc>
          <w:tcPr>
            <w:tcW w:w="851"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★26.3</w:t>
            </w:r>
          </w:p>
        </w:tc>
        <w:tc>
          <w:tcPr>
            <w:tcW w:w="5062" w:type="dxa"/>
            <w:noWrap w:val="0"/>
            <w:vAlign w:val="center"/>
          </w:tcPr>
          <w:p>
            <w:pPr>
              <w:spacing w:line="2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食品安全管理制度、食品安全追溯体系、供货者评价和退出制度、加工操作规程、设施设备清洗维护校验记录、餐饮具消毒保洁记录、废弃物处置制度、从业人员健康检查（健康证明文件、每日晨检）记录、食品安全自查记录（每周一次）、从业人员食品安全培训考核记录（每半年一次）、食品安全突发事件应急处置方案等。</w:t>
            </w:r>
          </w:p>
        </w:tc>
        <w:tc>
          <w:tcPr>
            <w:tcW w:w="1335"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90" w:type="dxa"/>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trPr>
        <w:tc>
          <w:tcPr>
            <w:tcW w:w="3794" w:type="dxa"/>
            <w:gridSpan w:val="4"/>
            <w:noWrap w:val="0"/>
            <w:vAlign w:val="center"/>
          </w:tcPr>
          <w:p>
            <w:pPr>
              <w:spacing w:line="2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得分总和（60分）</w:t>
            </w:r>
          </w:p>
        </w:tc>
        <w:tc>
          <w:tcPr>
            <w:tcW w:w="7087" w:type="dxa"/>
            <w:gridSpan w:val="3"/>
            <w:noWrap w:val="0"/>
            <w:vAlign w:val="center"/>
          </w:tcPr>
          <w:p>
            <w:pPr>
              <w:spacing w:line="200" w:lineRule="exact"/>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75" w:hRule="atLeast"/>
        </w:trPr>
        <w:tc>
          <w:tcPr>
            <w:tcW w:w="1101" w:type="dxa"/>
            <w:noWrap w:val="0"/>
            <w:vAlign w:val="center"/>
          </w:tcPr>
          <w:p>
            <w:pPr>
              <w:spacing w:line="240" w:lineRule="exact"/>
              <w:rPr>
                <w:rFonts w:ascii="仿宋" w:hAnsi="仿宋" w:eastAsia="仿宋" w:cs="仿宋"/>
                <w:color w:val="000000" w:themeColor="text1"/>
                <w:szCs w:val="21"/>
                <w14:textFill>
                  <w14:solidFill>
                    <w14:schemeClr w14:val="tx1"/>
                  </w14:solidFill>
                </w14:textFill>
              </w:rPr>
            </w:pP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备</w:t>
            </w:r>
          </w:p>
          <w:p>
            <w:pPr>
              <w:spacing w:line="240" w:lineRule="exact"/>
              <w:jc w:val="center"/>
              <w:rPr>
                <w:rFonts w:ascii="仿宋" w:hAnsi="仿宋" w:eastAsia="仿宋" w:cs="仿宋"/>
                <w:color w:val="000000" w:themeColor="text1"/>
                <w:szCs w:val="21"/>
                <w14:textFill>
                  <w14:solidFill>
                    <w14:schemeClr w14:val="tx1"/>
                  </w14:solidFill>
                </w14:textFill>
              </w:rPr>
            </w:pPr>
          </w:p>
          <w:p>
            <w:pPr>
              <w:spacing w:line="240" w:lineRule="exact"/>
              <w:jc w:val="center"/>
              <w:rPr>
                <w:rFonts w:ascii="仿宋" w:hAnsi="仿宋" w:eastAsia="仿宋" w:cs="仿宋"/>
                <w:color w:val="000000" w:themeColor="text1"/>
                <w:szCs w:val="21"/>
                <w14:textFill>
                  <w14:solidFill>
                    <w14:schemeClr w14:val="tx1"/>
                  </w14:solidFill>
                </w14:textFill>
              </w:rPr>
            </w:pP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w:t>
            </w:r>
          </w:p>
          <w:p>
            <w:pPr>
              <w:spacing w:line="240" w:lineRule="exact"/>
              <w:rPr>
                <w:rFonts w:ascii="仿宋" w:hAnsi="仿宋" w:eastAsia="仿宋" w:cs="仿宋"/>
                <w:color w:val="000000" w:themeColor="text1"/>
                <w:szCs w:val="21"/>
                <w14:textFill>
                  <w14:solidFill>
                    <w14:schemeClr w14:val="tx1"/>
                  </w14:solidFill>
                </w14:textFill>
              </w:rPr>
            </w:pPr>
          </w:p>
        </w:tc>
        <w:tc>
          <w:tcPr>
            <w:tcW w:w="9780" w:type="dxa"/>
            <w:gridSpan w:val="6"/>
            <w:noWrap w:val="0"/>
            <w:vAlign w:val="center"/>
          </w:tcPr>
          <w:p>
            <w:pPr>
              <w:spacing w:line="240" w:lineRule="exact"/>
              <w:ind w:left="210" w:hanging="210" w:hangingChars="100"/>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1.单位食堂,指设于机关、事业单位、社会团体、民办非企业单位、企业等，供应内部职工、学生等集中就餐的餐饮服务提供者。</w:t>
            </w:r>
          </w:p>
          <w:p>
            <w:pPr>
              <w:spacing w:line="240" w:lineRule="exact"/>
              <w:ind w:left="210" w:hanging="210" w:hangingChars="100"/>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2.单位食堂动态风险因素采取风险加分方式进行打分，评价结果为“否”的进行风险分数累加；评价结果“是”或者“合理缺项”的不加分，总分为60分。</w:t>
            </w:r>
          </w:p>
          <w:p>
            <w:pPr>
              <w:spacing w:line="240" w:lineRule="exact"/>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3.日常监督检查共6</w:t>
            </w:r>
            <w:r>
              <w:rPr>
                <w:rFonts w:hint="eastAsia" w:ascii="仿宋" w:hAnsi="仿宋" w:eastAsia="仿宋" w:cs="仿宋"/>
                <w:color w:val="000000" w:themeColor="text1"/>
                <w:szCs w:val="21"/>
                <w:lang w:val="en-US" w:eastAsia="zh-CN"/>
                <w14:textFill>
                  <w14:solidFill>
                    <w14:schemeClr w14:val="tx1"/>
                  </w14:solidFill>
                </w14:textFill>
              </w:rPr>
              <w:t>6</w:t>
            </w:r>
            <w:r>
              <w:rPr>
                <w:rFonts w:ascii="仿宋" w:hAnsi="仿宋" w:eastAsia="仿宋" w:cs="仿宋"/>
                <w:color w:val="000000" w:themeColor="text1"/>
                <w:szCs w:val="21"/>
                <w14:textFill>
                  <w14:solidFill>
                    <w14:schemeClr w14:val="tx1"/>
                  </w14:solidFill>
                </w14:textFill>
              </w:rPr>
              <w:t>项检查内容，重点项（检查序号中打★号项）2</w:t>
            </w:r>
            <w:r>
              <w:rPr>
                <w:rFonts w:hint="eastAsia" w:ascii="仿宋" w:hAnsi="仿宋" w:eastAsia="仿宋" w:cs="仿宋"/>
                <w:color w:val="000000" w:themeColor="text1"/>
                <w:szCs w:val="21"/>
                <w:lang w:val="en-US" w:eastAsia="zh-CN"/>
                <w14:textFill>
                  <w14:solidFill>
                    <w14:schemeClr w14:val="tx1"/>
                  </w14:solidFill>
                </w14:textFill>
              </w:rPr>
              <w:t>5</w:t>
            </w:r>
            <w:r>
              <w:rPr>
                <w:rFonts w:ascii="仿宋" w:hAnsi="仿宋" w:eastAsia="仿宋" w:cs="仿宋"/>
                <w:color w:val="000000" w:themeColor="text1"/>
                <w:szCs w:val="21"/>
                <w14:textFill>
                  <w14:solidFill>
                    <w14:schemeClr w14:val="tx1"/>
                  </w14:solidFill>
                </w14:textFill>
              </w:rPr>
              <w:t>项，一般项41项。</w:t>
            </w:r>
          </w:p>
          <w:p>
            <w:pPr>
              <w:spacing w:line="240" w:lineRule="exact"/>
              <w:ind w:left="210" w:hanging="210" w:hangingChars="100"/>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4.检查结果判定方法：</w:t>
            </w:r>
            <w:r>
              <w:rPr>
                <w:rFonts w:hint="eastAsia" w:ascii="仿宋" w:hAnsi="仿宋" w:eastAsia="仿宋" w:cs="仿宋"/>
                <w:color w:val="000000" w:themeColor="text1"/>
                <w:szCs w:val="21"/>
                <w14:textFill>
                  <w14:solidFill>
                    <w14:schemeClr w14:val="tx1"/>
                  </w14:solidFill>
                </w14:textFill>
              </w:rPr>
              <w:t>①符</w:t>
            </w:r>
            <w:r>
              <w:rPr>
                <w:rFonts w:ascii="仿宋" w:hAnsi="仿宋" w:eastAsia="仿宋" w:cs="仿宋"/>
                <w:color w:val="000000" w:themeColor="text1"/>
                <w:szCs w:val="21"/>
                <w14:textFill>
                  <w14:solidFill>
                    <w14:schemeClr w14:val="tx1"/>
                  </w14:solidFill>
                </w14:textFill>
              </w:rPr>
              <w:t>合</w:t>
            </w:r>
            <w:r>
              <w:rPr>
                <w:rFonts w:hint="eastAsia" w:ascii="仿宋" w:hAnsi="仿宋" w:eastAsia="仿宋" w:cs="仿宋"/>
                <w:color w:val="000000" w:themeColor="text1"/>
                <w:szCs w:val="21"/>
                <w14:textFill>
                  <w14:solidFill>
                    <w14:schemeClr w14:val="tx1"/>
                  </w14:solidFill>
                </w14:textFill>
              </w:rPr>
              <w:t>,</w:t>
            </w:r>
            <w:r>
              <w:rPr>
                <w:rFonts w:ascii="仿宋" w:hAnsi="仿宋" w:eastAsia="仿宋" w:cs="仿宋"/>
                <w:color w:val="000000" w:themeColor="text1"/>
                <w:szCs w:val="21"/>
                <w14:textFill>
                  <w14:solidFill>
                    <w14:schemeClr w14:val="tx1"/>
                  </w14:solidFill>
                </w14:textFill>
              </w:rPr>
              <w:t>检查中未发现问题；</w:t>
            </w:r>
            <w:r>
              <w:rPr>
                <w:rFonts w:hint="eastAsia" w:ascii="仿宋" w:hAnsi="仿宋" w:eastAsia="仿宋" w:cs="仿宋"/>
                <w:color w:val="000000" w:themeColor="text1"/>
                <w:szCs w:val="21"/>
                <w14:textFill>
                  <w14:solidFill>
                    <w14:schemeClr w14:val="tx1"/>
                  </w14:solidFill>
                </w14:textFill>
              </w:rPr>
              <w:t>②基本符合,未发现检查的重点项不合格，且</w:t>
            </w:r>
            <w:r>
              <w:rPr>
                <w:rFonts w:ascii="仿宋" w:hAnsi="仿宋" w:eastAsia="仿宋" w:cs="仿宋"/>
                <w:color w:val="000000" w:themeColor="text1"/>
                <w:szCs w:val="21"/>
                <w14:textFill>
                  <w14:solidFill>
                    <w14:schemeClr w14:val="tx1"/>
                  </w14:solidFill>
                </w14:textFill>
              </w:rPr>
              <w:t>70%≤一般项合格率＜100%；</w:t>
            </w:r>
            <w:r>
              <w:rPr>
                <w:rFonts w:hint="eastAsia" w:ascii="仿宋" w:hAnsi="仿宋" w:eastAsia="仿宋" w:cs="仿宋"/>
                <w:color w:val="000000" w:themeColor="text1"/>
                <w:szCs w:val="21"/>
                <w14:textFill>
                  <w14:solidFill>
                    <w14:schemeClr w14:val="tx1"/>
                  </w14:solidFill>
                </w14:textFill>
              </w:rPr>
              <w:t>③不</w:t>
            </w:r>
            <w:r>
              <w:rPr>
                <w:rFonts w:ascii="仿宋" w:hAnsi="仿宋" w:eastAsia="仿宋" w:cs="仿宋"/>
                <w:color w:val="000000" w:themeColor="text1"/>
                <w:szCs w:val="21"/>
                <w14:textFill>
                  <w14:solidFill>
                    <w14:schemeClr w14:val="tx1"/>
                  </w14:solidFill>
                </w14:textFill>
              </w:rPr>
              <w:t>符合</w:t>
            </w:r>
            <w:r>
              <w:rPr>
                <w:rFonts w:hint="eastAsia" w:ascii="仿宋" w:hAnsi="仿宋" w:eastAsia="仿宋" w:cs="仿宋"/>
                <w:color w:val="000000" w:themeColor="text1"/>
                <w:szCs w:val="21"/>
                <w14:textFill>
                  <w14:solidFill>
                    <w14:schemeClr w14:val="tx1"/>
                  </w14:solidFill>
                </w14:textFill>
              </w:rPr>
              <w:t>,</w:t>
            </w:r>
            <w:r>
              <w:rPr>
                <w:rFonts w:ascii="仿宋" w:hAnsi="仿宋" w:eastAsia="仿宋" w:cs="仿宋"/>
                <w:color w:val="000000" w:themeColor="text1"/>
                <w:szCs w:val="21"/>
                <w14:textFill>
                  <w14:solidFill>
                    <w14:schemeClr w14:val="tx1"/>
                  </w14:solidFill>
                </w14:textFill>
              </w:rPr>
              <w:t>重点项存在1项及以上不合格，或一般项合格率＜70%。</w:t>
            </w:r>
          </w:p>
          <w:p>
            <w:pPr>
              <w:spacing w:line="240" w:lineRule="exact"/>
              <w:rPr>
                <w:rFonts w:ascii="仿宋" w:hAnsi="仿宋" w:eastAsia="仿宋" w:cs="仿宋"/>
                <w:b/>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5.存在合理缺项时，一般项合格率的计算方法为：合格项目数/（检查项目数－合理缺项数）×100%。</w:t>
            </w:r>
          </w:p>
        </w:tc>
      </w:tr>
    </w:tbl>
    <w:p>
      <w:pPr>
        <w:widowControl/>
        <w:shd w:val="clear" w:color="auto" w:fill="FFFFFF"/>
        <w:spacing w:line="440" w:lineRule="exact"/>
        <w:rPr>
          <w:rFonts w:hint="eastAsia" w:ascii="方正小标宋简体" w:hAnsi="新宋体" w:eastAsia="黑体" w:cs="新宋体"/>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6</w:t>
      </w:r>
    </w:p>
    <w:p>
      <w:pPr>
        <w:widowControl/>
        <w:shd w:val="clear" w:color="auto" w:fill="FFFFFF"/>
        <w:spacing w:line="440" w:lineRule="exact"/>
        <w:jc w:val="center"/>
        <w:rPr>
          <w:rFonts w:ascii="方正小标宋简体" w:hAnsi="新宋体" w:eastAsia="方正小标宋简体" w:cs="新宋体"/>
          <w:color w:val="000000" w:themeColor="text1"/>
          <w:kern w:val="0"/>
          <w:sz w:val="32"/>
          <w:szCs w:val="32"/>
          <w14:textFill>
            <w14:solidFill>
              <w14:schemeClr w14:val="tx1"/>
            </w14:solidFill>
          </w14:textFill>
        </w:rPr>
      </w:pPr>
      <w:r>
        <w:rPr>
          <w:rFonts w:hint="eastAsia" w:ascii="方正小标宋简体" w:hAnsi="新宋体" w:eastAsia="方正小标宋简体" w:cs="新宋体"/>
          <w:color w:val="000000" w:themeColor="text1"/>
          <w:kern w:val="0"/>
          <w:sz w:val="32"/>
          <w:szCs w:val="32"/>
          <w14:textFill>
            <w14:solidFill>
              <w14:schemeClr w14:val="tx1"/>
            </w14:solidFill>
          </w14:textFill>
        </w:rPr>
        <w:t>集中交易市场开办者动态风险因素量化分值表</w:t>
      </w:r>
    </w:p>
    <w:p>
      <w:pPr>
        <w:widowControl/>
        <w:shd w:val="clear" w:color="auto" w:fill="FFFFFF"/>
        <w:spacing w:line="440" w:lineRule="exact"/>
        <w:jc w:val="center"/>
        <w:rPr>
          <w:rFonts w:ascii="方正小标宋简体" w:hAnsi="新宋体" w:eastAsia="方正小标宋简体" w:cs="新宋体"/>
          <w:color w:val="000000" w:themeColor="text1"/>
          <w:kern w:val="0"/>
          <w:sz w:val="32"/>
          <w:szCs w:val="32"/>
          <w14:textFill>
            <w14:solidFill>
              <w14:schemeClr w14:val="tx1"/>
            </w14:solidFill>
          </w14:textFill>
        </w:rPr>
      </w:pPr>
      <w:r>
        <w:rPr>
          <w:rFonts w:hint="eastAsia" w:ascii="方正小标宋简体" w:hAnsi="新宋体" w:eastAsia="方正小标宋简体" w:cs="新宋体"/>
          <w:color w:val="000000" w:themeColor="text1"/>
          <w:kern w:val="0"/>
          <w:sz w:val="32"/>
          <w:szCs w:val="32"/>
          <w14:textFill>
            <w14:solidFill>
              <w14:schemeClr w14:val="tx1"/>
            </w14:solidFill>
          </w14:textFill>
        </w:rPr>
        <w:t>（集中交易市场开办者日常监督检查要点表）</w:t>
      </w:r>
    </w:p>
    <w:p>
      <w:pPr>
        <w:ind w:left="-567" w:leftChars="-270" w:firstLine="200" w:firstLineChars="1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被评定人：　　　　　　　　　　　　　　　　　　　　　　　　　　　　评定时间：</w:t>
      </w:r>
    </w:p>
    <w:tbl>
      <w:tblPr>
        <w:tblStyle w:val="7"/>
        <w:tblW w:w="9896" w:type="dxa"/>
        <w:jc w:val="center"/>
        <w:tblLayout w:type="fixed"/>
        <w:tblCellMar>
          <w:top w:w="0" w:type="dxa"/>
          <w:left w:w="108" w:type="dxa"/>
          <w:bottom w:w="0" w:type="dxa"/>
          <w:right w:w="108" w:type="dxa"/>
        </w:tblCellMar>
      </w:tblPr>
      <w:tblGrid>
        <w:gridCol w:w="1320"/>
        <w:gridCol w:w="876"/>
        <w:gridCol w:w="5600"/>
        <w:gridCol w:w="1220"/>
        <w:gridCol w:w="873"/>
        <w:gridCol w:w="7"/>
      </w:tblGrid>
      <w:tr>
        <w:tblPrEx>
          <w:tblCellMar>
            <w:top w:w="0" w:type="dxa"/>
            <w:left w:w="108" w:type="dxa"/>
            <w:bottom w:w="0" w:type="dxa"/>
            <w:right w:w="108" w:type="dxa"/>
          </w:tblCellMar>
        </w:tblPrEx>
        <w:trPr>
          <w:trHeight w:val="482" w:hRule="atLeast"/>
          <w:tblHeader/>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检查项目</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序号</w:t>
            </w:r>
          </w:p>
        </w:tc>
        <w:tc>
          <w:tcPr>
            <w:tcW w:w="56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检查内容</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hint="eastAsia" w:ascii="仿宋" w:hAnsi="仿宋" w:eastAsia="仿宋"/>
                <w:b/>
                <w:color w:val="000000" w:themeColor="text1"/>
                <w:kern w:val="0"/>
                <w:sz w:val="20"/>
                <w:szCs w:val="20"/>
                <w14:textFill>
                  <w14:solidFill>
                    <w14:schemeClr w14:val="tx1"/>
                  </w14:solidFill>
                </w14:textFill>
              </w:rPr>
              <w:t>检查结果</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分值</w:t>
            </w:r>
          </w:p>
        </w:tc>
      </w:tr>
      <w:tr>
        <w:tblPrEx>
          <w:tblCellMar>
            <w:top w:w="0" w:type="dxa"/>
            <w:left w:w="108" w:type="dxa"/>
            <w:bottom w:w="0" w:type="dxa"/>
            <w:right w:w="108" w:type="dxa"/>
          </w:tblCellMar>
        </w:tblPrEx>
        <w:trPr>
          <w:trHeight w:val="155" w:hRule="atLeast"/>
          <w:jc w:val="center"/>
        </w:trPr>
        <w:tc>
          <w:tcPr>
            <w:tcW w:w="9896"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集中交易</w:t>
            </w:r>
            <w:r>
              <w:rPr>
                <w:rFonts w:hint="eastAsia" w:ascii="仿宋" w:hAnsi="仿宋" w:eastAsia="仿宋"/>
                <w:color w:val="000000" w:themeColor="text1"/>
                <w:kern w:val="0"/>
                <w:sz w:val="20"/>
                <w:szCs w:val="20"/>
                <w14:textFill>
                  <w14:solidFill>
                    <w14:schemeClr w14:val="tx1"/>
                  </w14:solidFill>
                </w14:textFill>
              </w:rPr>
              <w:t>市场</w:t>
            </w:r>
            <w:r>
              <w:rPr>
                <w:rFonts w:ascii="仿宋" w:hAnsi="仿宋" w:eastAsia="仿宋"/>
                <w:color w:val="000000" w:themeColor="text1"/>
                <w:kern w:val="0"/>
                <w:sz w:val="20"/>
                <w:szCs w:val="20"/>
                <w14:textFill>
                  <w14:solidFill>
                    <w14:schemeClr w14:val="tx1"/>
                  </w14:solidFill>
                </w14:textFill>
              </w:rPr>
              <w:t>通用检查项目（</w:t>
            </w: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项）</w:t>
            </w:r>
          </w:p>
        </w:tc>
      </w:tr>
      <w:tr>
        <w:tblPrEx>
          <w:tblCellMar>
            <w:top w:w="0" w:type="dxa"/>
            <w:left w:w="108" w:type="dxa"/>
            <w:bottom w:w="0" w:type="dxa"/>
            <w:right w:w="108" w:type="dxa"/>
          </w:tblCellMar>
        </w:tblPrEx>
        <w:trPr>
          <w:trHeight w:val="155"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1.主体资格</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持有的营业执照等法定主体资格证明文件合法有效</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245" w:hRule="atLeast"/>
          <w:jc w:val="center"/>
        </w:trPr>
        <w:tc>
          <w:tcPr>
            <w:tcW w:w="1320" w:type="dxa"/>
            <w:vMerge w:val="restart"/>
            <w:tcBorders>
              <w:top w:val="nil"/>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2.食品安全管理责任</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建立食品安全管理制度、食品安全事故处置方案</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21" w:hRule="atLeast"/>
          <w:jc w:val="center"/>
        </w:trPr>
        <w:tc>
          <w:tcPr>
            <w:tcW w:w="1320" w:type="dxa"/>
            <w:vMerge w:val="continue"/>
            <w:tcBorders>
              <w:left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2.2</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明确规定主要负责人对本市场的食用农产品质量安全工作全面负责。</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159" w:hRule="atLeast"/>
          <w:jc w:val="center"/>
        </w:trPr>
        <w:tc>
          <w:tcPr>
            <w:tcW w:w="1320"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w:t>
            </w:r>
            <w:r>
              <w:rPr>
                <w:rFonts w:hint="eastAsia" w:ascii="仿宋" w:hAnsi="仿宋" w:eastAsia="仿宋"/>
                <w:color w:val="000000" w:themeColor="text1"/>
                <w:kern w:val="0"/>
                <w:sz w:val="20"/>
                <w:szCs w:val="20"/>
                <w14:textFill>
                  <w14:solidFill>
                    <w14:schemeClr w14:val="tx1"/>
                  </w14:solidFill>
                </w14:textFill>
              </w:rPr>
              <w:t>3</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开展食品安全知识培训并有培训记录</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108"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3.经营条件</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按照食用农产品类别实施分区销售</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1075" w:hRule="atLeast"/>
          <w:jc w:val="center"/>
        </w:trPr>
        <w:tc>
          <w:tcPr>
            <w:tcW w:w="1320"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4.入场销售者准入管理</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并依法更新入场食用农产品销售者档案，查验并留存入场销售者的社会信用代码或者身份证复印件，如实记录入场销售者名称或姓名、社会信用代码或者身份证号码、联系方式、住址、食用农产品主要品种、进货渠道、产地等信息，且入场销售者档案保存期限符合法定要求。</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347" w:hRule="atLeast"/>
          <w:jc w:val="center"/>
        </w:trPr>
        <w:tc>
          <w:tcPr>
            <w:tcW w:w="1320"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w:t>
            </w:r>
            <w:r>
              <w:rPr>
                <w:rFonts w:hint="eastAsia" w:ascii="仿宋" w:hAnsi="仿宋" w:eastAsia="仿宋"/>
                <w:color w:val="000000" w:themeColor="text1"/>
                <w:kern w:val="0"/>
                <w:sz w:val="20"/>
                <w:szCs w:val="20"/>
                <w14:textFill>
                  <w14:solidFill>
                    <w14:schemeClr w14:val="tx1"/>
                  </w14:solidFill>
                </w14:textFill>
              </w:rPr>
              <w:t>2</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如实向所在地市场监管部门报告市场名称、住所、类型、法定代表人或者负责人姓名、食用农产品安全管理制度、食用农产品主要种类、摊位数量等信息。</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48" w:hRule="atLeast"/>
          <w:jc w:val="center"/>
        </w:trPr>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5.食用农产品准入管理</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查验并留存入场销售的食用农产品产地证明或者购货凭证、合格证明文件。</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840" w:hRule="atLeast"/>
          <w:jc w:val="center"/>
        </w:trPr>
        <w:tc>
          <w:tcPr>
            <w:tcW w:w="13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5.2</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对无法提供产地证明或者购物凭证、合格证明文件的，进行快速检测或抽样检验，不准检测不合格的食用农产品进入集中交易市场销售。</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99"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6.食用农产品质量检测</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是否设立快速检测中心（室）或委托第三方检测机构开展日常检测。</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93" w:hRule="atLeast"/>
          <w:jc w:val="center"/>
        </w:trPr>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7.日常检查与不合格食用农产品、食品处置报告</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7.1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建立食用农产品检查制度，检查销售者的经营环境和条件及其销售的食用农产品。</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1126" w:hRule="atLeast"/>
          <w:jc w:val="center"/>
        </w:trPr>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7.2</w:t>
            </w:r>
          </w:p>
        </w:tc>
        <w:tc>
          <w:tcPr>
            <w:tcW w:w="5600" w:type="dxa"/>
            <w:tcBorders>
              <w:top w:val="single" w:color="auto" w:sz="4" w:space="0"/>
              <w:left w:val="nil"/>
              <w:bottom w:val="single" w:color="auto" w:sz="4" w:space="0"/>
              <w:right w:val="single" w:color="auto" w:sz="4" w:space="0"/>
            </w:tcBorders>
            <w:noWrap w:val="0"/>
            <w:vAlign w:val="center"/>
          </w:tcPr>
          <w:p>
            <w:pPr>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对发现的存在食用农产品不符合食品安全标准等违法行为的，要求入场销售者立即停止销售，并依照集中交易市场管理规定或者与入场销售者签订的协议进行处理，或者配合政府有关部门根据有关法律法规进行处理，并记录和报告相关情况</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r>
      <w:tr>
        <w:tblPrEx>
          <w:tblCellMar>
            <w:top w:w="0" w:type="dxa"/>
            <w:left w:w="108" w:type="dxa"/>
            <w:bottom w:w="0" w:type="dxa"/>
            <w:right w:w="108" w:type="dxa"/>
          </w:tblCellMar>
        </w:tblPrEx>
        <w:trPr>
          <w:trHeight w:val="249"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8.信息公示</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8.1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在市场醒目位置及时公布食品安全管理制度、食品安全管理人员、食用农产品检测结果以及不合格食用农产品处理结果、投诉举报电话等信息。</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49" w:hRule="atLeast"/>
          <w:jc w:val="center"/>
        </w:trPr>
        <w:tc>
          <w:tcPr>
            <w:tcW w:w="1320" w:type="dxa"/>
            <w:vMerge w:val="restart"/>
            <w:tcBorders>
              <w:top w:val="single" w:color="auto" w:sz="4" w:space="0"/>
              <w:left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9.签订食用农产品质量安全协议</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情况</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9.1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集中交易市场开办者与入场销售者签订食用农产品质量安全协议。</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249" w:hRule="atLeast"/>
          <w:jc w:val="center"/>
        </w:trPr>
        <w:tc>
          <w:tcPr>
            <w:tcW w:w="1320"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9.2</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集中交易市场开办者不准未签订食用农产品质量安全责任协议的销售者进入批发市场进行销售。</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249"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10.食用农产品销售凭证</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印制统一格式的销售凭证。</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99" w:hRule="atLeast"/>
          <w:jc w:val="center"/>
        </w:trPr>
        <w:tc>
          <w:tcPr>
            <w:tcW w:w="9896"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批发市场开办者特有检查项目（</w:t>
            </w: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项）</w:t>
            </w:r>
          </w:p>
        </w:tc>
      </w:tr>
      <w:tr>
        <w:tblPrEx>
          <w:tblCellMar>
            <w:top w:w="0" w:type="dxa"/>
            <w:left w:w="108" w:type="dxa"/>
            <w:bottom w:w="0" w:type="dxa"/>
            <w:right w:w="108" w:type="dxa"/>
          </w:tblCellMar>
        </w:tblPrEx>
        <w:trPr>
          <w:trHeight w:val="99"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11</w:t>
            </w:r>
            <w:r>
              <w:rPr>
                <w:rFonts w:ascii="仿宋" w:hAnsi="仿宋" w:eastAsia="仿宋"/>
                <w:color w:val="000000" w:themeColor="text1"/>
                <w:kern w:val="0"/>
                <w:sz w:val="20"/>
                <w:szCs w:val="20"/>
                <w14:textFill>
                  <w14:solidFill>
                    <w14:schemeClr w14:val="tx1"/>
                  </w14:solidFill>
                </w14:textFill>
              </w:rPr>
              <w:t>.食用农产品质量检测</w:t>
            </w:r>
          </w:p>
        </w:tc>
        <w:tc>
          <w:tcPr>
            <w:tcW w:w="876"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11</w:t>
            </w:r>
            <w:r>
              <w:rPr>
                <w:rFonts w:ascii="仿宋" w:hAnsi="仿宋" w:eastAsia="仿宋"/>
                <w:color w:val="000000" w:themeColor="text1"/>
                <w:kern w:val="0"/>
                <w:sz w:val="20"/>
                <w:szCs w:val="20"/>
                <w14:textFill>
                  <w14:solidFill>
                    <w14:schemeClr w14:val="tx1"/>
                  </w14:solidFill>
                </w14:textFill>
              </w:rPr>
              <w:t>.1</w:t>
            </w:r>
          </w:p>
        </w:tc>
        <w:tc>
          <w:tcPr>
            <w:tcW w:w="5600"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批发市场开办者配备检验设备和检验人员，或者委托具有资质的食品检验机构，开展食用农产品抽样检验或者快速检测。</w:t>
            </w:r>
          </w:p>
        </w:tc>
        <w:tc>
          <w:tcPr>
            <w:tcW w:w="1220" w:type="dxa"/>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30" w:hRule="atLeast"/>
          <w:jc w:val="center"/>
        </w:trPr>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12</w:t>
            </w:r>
            <w:r>
              <w:rPr>
                <w:rFonts w:ascii="仿宋" w:hAnsi="仿宋" w:eastAsia="仿宋"/>
                <w:color w:val="000000" w:themeColor="text1"/>
                <w:kern w:val="0"/>
                <w:sz w:val="20"/>
                <w:szCs w:val="20"/>
                <w14:textFill>
                  <w14:solidFill>
                    <w14:schemeClr w14:val="tx1"/>
                  </w14:solidFill>
                </w14:textFill>
              </w:rPr>
              <w:t>.签订食用农产品质量安全协议</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情况</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12</w:t>
            </w:r>
            <w:r>
              <w:rPr>
                <w:rFonts w:ascii="仿宋" w:hAnsi="仿宋" w:eastAsia="仿宋"/>
                <w:color w:val="000000" w:themeColor="text1"/>
                <w:kern w:val="0"/>
                <w:sz w:val="20"/>
                <w:szCs w:val="20"/>
                <w14:textFill>
                  <w14:solidFill>
                    <w14:schemeClr w14:val="tx1"/>
                  </w14:solidFill>
                </w14:textFill>
              </w:rPr>
              <w:t>.1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批发市场开办者与入场销售者签订食用农产品质量安全协议。</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30" w:hRule="atLeast"/>
          <w:jc w:val="center"/>
        </w:trPr>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12</w:t>
            </w:r>
            <w:r>
              <w:rPr>
                <w:rFonts w:ascii="仿宋" w:hAnsi="仿宋" w:eastAsia="仿宋"/>
                <w:color w:val="000000" w:themeColor="text1"/>
                <w:kern w:val="0"/>
                <w:sz w:val="20"/>
                <w:szCs w:val="20"/>
                <w14:textFill>
                  <w14:solidFill>
                    <w14:schemeClr w14:val="tx1"/>
                  </w14:solidFill>
                </w14:textFill>
              </w:rPr>
              <w:t>.2</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批发市场开办者不准未签订食用农产品质量安全责任协议的销售者进入批发市场进行销售。</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30"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13</w:t>
            </w:r>
            <w:r>
              <w:rPr>
                <w:rFonts w:ascii="仿宋" w:hAnsi="仿宋" w:eastAsia="仿宋"/>
                <w:color w:val="000000" w:themeColor="text1"/>
                <w:kern w:val="0"/>
                <w:sz w:val="18"/>
                <w:szCs w:val="18"/>
                <w14:textFill>
                  <w14:solidFill>
                    <w14:schemeClr w14:val="tx1"/>
                  </w14:solidFill>
                </w14:textFill>
              </w:rPr>
              <w:t>.食用农产品销售凭证</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批发市场开办者印制统一格式的销售凭证。</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30"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14.</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kern w:val="0"/>
                <w:sz w:val="18"/>
                <w:szCs w:val="18"/>
                <w14:textFill>
                  <w14:solidFill>
                    <w14:schemeClr w14:val="tx1"/>
                  </w14:solidFill>
                </w14:textFill>
              </w:rPr>
              <w:t>实地考察</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14</w:t>
            </w:r>
            <w:r>
              <w:rPr>
                <w:rFonts w:ascii="仿宋" w:hAnsi="仿宋" w:eastAsia="仿宋"/>
                <w:color w:val="000000" w:themeColor="text1"/>
                <w:kern w:val="0"/>
                <w:sz w:val="20"/>
                <w:szCs w:val="20"/>
                <w14:textFill>
                  <w14:solidFill>
                    <w14:schemeClr w14:val="tx1"/>
                  </w14:solidFill>
                </w14:textFill>
              </w:rPr>
              <w:t>.1</w:t>
            </w:r>
          </w:p>
        </w:tc>
        <w:tc>
          <w:tcPr>
            <w:tcW w:w="560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与屠宰厂（场）、食用农产品种植养殖基地签订协议的批发市场开办者对屠宰厂（场）和食用农产品种植养殖基地进行实地考察，了解食用农产品生产过程以及相关信息，查验种植养殖基地食用农产品相关证明材料以及票据等。</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630"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得分总和</w:t>
            </w:r>
          </w:p>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60分）</w:t>
            </w:r>
          </w:p>
        </w:tc>
        <w:tc>
          <w:tcPr>
            <w:tcW w:w="857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7" w:type="dxa"/>
          <w:trHeight w:val="1979" w:hRule="atLeast"/>
          <w:jc w:val="center"/>
        </w:trPr>
        <w:tc>
          <w:tcPr>
            <w:tcW w:w="9889"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其他需要记录的问题：</w:t>
            </w:r>
          </w:p>
        </w:tc>
      </w:tr>
      <w:tr>
        <w:tblPrEx>
          <w:tblCellMar>
            <w:top w:w="0" w:type="dxa"/>
            <w:left w:w="108" w:type="dxa"/>
            <w:bottom w:w="0" w:type="dxa"/>
            <w:right w:w="108" w:type="dxa"/>
          </w:tblCellMar>
        </w:tblPrEx>
        <w:trPr>
          <w:gridAfter w:val="1"/>
          <w:wAfter w:w="7" w:type="dxa"/>
          <w:trHeight w:val="1979"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1"/>
                <w:szCs w:val="21"/>
                <w14:textFill>
                  <w14:solidFill>
                    <w14:schemeClr w14:val="tx1"/>
                  </w14:solidFill>
                </w14:textFill>
              </w:rPr>
            </w:pPr>
            <w:r>
              <w:rPr>
                <w:rFonts w:hint="eastAsia" w:ascii="仿宋" w:hAnsi="仿宋" w:eastAsia="仿宋"/>
                <w:color w:val="000000" w:themeColor="text1"/>
                <w:kern w:val="0"/>
                <w:sz w:val="21"/>
                <w:szCs w:val="21"/>
                <w14:textFill>
                  <w14:solidFill>
                    <w14:schemeClr w14:val="tx1"/>
                  </w14:solidFill>
                </w14:textFill>
              </w:rPr>
              <w:t>备</w:t>
            </w:r>
          </w:p>
          <w:p>
            <w:pPr>
              <w:widowControl/>
              <w:jc w:val="center"/>
              <w:rPr>
                <w:rFonts w:ascii="仿宋" w:hAnsi="仿宋" w:eastAsia="仿宋"/>
                <w:color w:val="000000" w:themeColor="text1"/>
                <w:kern w:val="0"/>
                <w:sz w:val="21"/>
                <w:szCs w:val="21"/>
                <w14:textFill>
                  <w14:solidFill>
                    <w14:schemeClr w14:val="tx1"/>
                  </w14:solidFill>
                </w14:textFill>
              </w:rPr>
            </w:pPr>
            <w:r>
              <w:rPr>
                <w:rFonts w:hint="eastAsia" w:ascii="仿宋" w:hAnsi="仿宋" w:eastAsia="仿宋"/>
                <w:color w:val="000000" w:themeColor="text1"/>
                <w:kern w:val="0"/>
                <w:sz w:val="21"/>
                <w:szCs w:val="21"/>
                <w14:textFill>
                  <w14:solidFill>
                    <w14:schemeClr w14:val="tx1"/>
                  </w14:solidFill>
                </w14:textFill>
              </w:rPr>
              <w:t>注</w:t>
            </w:r>
          </w:p>
          <w:p>
            <w:pPr>
              <w:jc w:val="center"/>
              <w:rPr>
                <w:rFonts w:ascii="仿宋" w:hAnsi="仿宋" w:eastAsia="仿宋" w:cs="宋体"/>
                <w:color w:val="000000" w:themeColor="text1"/>
                <w:kern w:val="0"/>
                <w:sz w:val="21"/>
                <w:szCs w:val="21"/>
                <w14:textFill>
                  <w14:solidFill>
                    <w14:schemeClr w14:val="tx1"/>
                  </w14:solidFill>
                </w14:textFill>
              </w:rPr>
            </w:pPr>
          </w:p>
        </w:tc>
        <w:tc>
          <w:tcPr>
            <w:tcW w:w="8569" w:type="dxa"/>
            <w:gridSpan w:val="4"/>
            <w:tcBorders>
              <w:top w:val="single" w:color="auto" w:sz="4" w:space="0"/>
              <w:left w:val="single" w:color="auto" w:sz="4" w:space="0"/>
              <w:bottom w:val="single" w:color="auto" w:sz="4" w:space="0"/>
              <w:right w:val="single" w:color="auto" w:sz="4" w:space="0"/>
            </w:tcBorders>
            <w:noWrap w:val="0"/>
            <w:vAlign w:val="top"/>
          </w:tcPr>
          <w:p>
            <w:pPr>
              <w:widowControl/>
              <w:ind w:left="180" w:hanging="210" w:hangingChars="100"/>
              <w:rPr>
                <w:rFonts w:ascii="仿宋" w:hAnsi="仿宋" w:eastAsia="仿宋"/>
                <w:color w:val="000000" w:themeColor="text1"/>
                <w:kern w:val="0"/>
                <w:sz w:val="21"/>
                <w:szCs w:val="21"/>
                <w14:textFill>
                  <w14:solidFill>
                    <w14:schemeClr w14:val="tx1"/>
                  </w14:solidFill>
                </w14:textFill>
              </w:rPr>
            </w:pPr>
            <w:r>
              <w:rPr>
                <w:rFonts w:ascii="仿宋" w:hAnsi="仿宋" w:eastAsia="仿宋"/>
                <w:color w:val="000000" w:themeColor="text1"/>
                <w:kern w:val="0"/>
                <w:sz w:val="21"/>
                <w:szCs w:val="21"/>
                <w14:textFill>
                  <w14:solidFill>
                    <w14:schemeClr w14:val="tx1"/>
                  </w14:solidFill>
                </w14:textFill>
              </w:rPr>
              <w:t>1.集中交易市场开办者是指依法设立、为</w:t>
            </w:r>
            <w:r>
              <w:rPr>
                <w:rFonts w:hint="eastAsia" w:ascii="仿宋" w:hAnsi="仿宋" w:eastAsia="仿宋"/>
                <w:color w:val="000000" w:themeColor="text1"/>
                <w:kern w:val="0"/>
                <w:sz w:val="21"/>
                <w:szCs w:val="21"/>
                <w:lang w:eastAsia="zh-CN"/>
                <w14:textFill>
                  <w14:solidFill>
                    <w14:schemeClr w14:val="tx1"/>
                  </w14:solidFill>
                </w14:textFill>
              </w:rPr>
              <w:t>食品（食用农产品）</w:t>
            </w:r>
            <w:r>
              <w:rPr>
                <w:rFonts w:ascii="仿宋" w:hAnsi="仿宋" w:eastAsia="仿宋"/>
                <w:color w:val="000000" w:themeColor="text1"/>
                <w:kern w:val="0"/>
                <w:sz w:val="21"/>
                <w:szCs w:val="21"/>
                <w14:textFill>
                  <w14:solidFill>
                    <w14:schemeClr w14:val="tx1"/>
                  </w14:solidFill>
                </w14:textFill>
              </w:rPr>
              <w:t>交易提供平台、场地、设施、服务以及日常管理的企业法人或者其他组织。</w:t>
            </w:r>
          </w:p>
          <w:p>
            <w:pPr>
              <w:widowControl/>
              <w:ind w:left="180" w:hanging="210" w:hangingChars="100"/>
              <w:rPr>
                <w:rFonts w:ascii="仿宋" w:hAnsi="仿宋" w:eastAsia="仿宋"/>
                <w:color w:val="000000" w:themeColor="text1"/>
                <w:kern w:val="0"/>
                <w:sz w:val="21"/>
                <w:szCs w:val="21"/>
                <w14:textFill>
                  <w14:solidFill>
                    <w14:schemeClr w14:val="tx1"/>
                  </w14:solidFill>
                </w14:textFill>
              </w:rPr>
            </w:pPr>
            <w:r>
              <w:rPr>
                <w:rFonts w:ascii="仿宋" w:hAnsi="仿宋" w:eastAsia="仿宋"/>
                <w:color w:val="000000" w:themeColor="text1"/>
                <w:kern w:val="0"/>
                <w:sz w:val="21"/>
                <w:szCs w:val="21"/>
                <w14:textFill>
                  <w14:solidFill>
                    <w14:schemeClr w14:val="tx1"/>
                  </w14:solidFill>
                </w14:textFill>
              </w:rPr>
              <w:t>2.集中交易市场是指由集中交易市场开办者经营管理、多个场内经营者集中进行现货</w:t>
            </w:r>
            <w:r>
              <w:rPr>
                <w:rFonts w:hint="eastAsia" w:ascii="仿宋" w:hAnsi="仿宋" w:eastAsia="仿宋"/>
                <w:color w:val="000000" w:themeColor="text1"/>
                <w:kern w:val="0"/>
                <w:sz w:val="21"/>
                <w:szCs w:val="21"/>
                <w:lang w:eastAsia="zh-CN"/>
                <w14:textFill>
                  <w14:solidFill>
                    <w14:schemeClr w14:val="tx1"/>
                  </w14:solidFill>
                </w14:textFill>
              </w:rPr>
              <w:t>食品（食用农产品）</w:t>
            </w:r>
            <w:r>
              <w:rPr>
                <w:rFonts w:ascii="仿宋" w:hAnsi="仿宋" w:eastAsia="仿宋"/>
                <w:color w:val="000000" w:themeColor="text1"/>
                <w:kern w:val="0"/>
                <w:sz w:val="21"/>
                <w:szCs w:val="21"/>
                <w14:textFill>
                  <w14:solidFill>
                    <w14:schemeClr w14:val="tx1"/>
                  </w14:solidFill>
                </w14:textFill>
              </w:rPr>
              <w:t>交易的固定场所。</w:t>
            </w:r>
          </w:p>
          <w:p>
            <w:pPr>
              <w:widowControl/>
              <w:rPr>
                <w:rFonts w:ascii="仿宋" w:hAnsi="仿宋" w:eastAsia="仿宋"/>
                <w:color w:val="000000" w:themeColor="text1"/>
                <w:kern w:val="0"/>
                <w:sz w:val="21"/>
                <w:szCs w:val="21"/>
                <w14:textFill>
                  <w14:solidFill>
                    <w14:schemeClr w14:val="tx1"/>
                  </w14:solidFill>
                </w14:textFill>
              </w:rPr>
            </w:pPr>
            <w:r>
              <w:rPr>
                <w:rFonts w:ascii="仿宋" w:hAnsi="仿宋" w:eastAsia="仿宋"/>
                <w:color w:val="000000" w:themeColor="text1"/>
                <w:kern w:val="0"/>
                <w:sz w:val="21"/>
                <w:szCs w:val="21"/>
                <w14:textFill>
                  <w14:solidFill>
                    <w14:schemeClr w14:val="tx1"/>
                  </w14:solidFill>
                </w14:textFill>
              </w:rPr>
              <w:t>3.属于一家市场开办者开办多个市场的情形的，将具体市场作为实施风险分级的工作对象。</w:t>
            </w:r>
          </w:p>
          <w:p>
            <w:pPr>
              <w:widowControl/>
              <w:rPr>
                <w:rFonts w:ascii="仿宋" w:hAnsi="仿宋" w:eastAsia="仿宋"/>
                <w:color w:val="000000" w:themeColor="text1"/>
                <w:kern w:val="0"/>
                <w:sz w:val="21"/>
                <w:szCs w:val="21"/>
                <w14:textFill>
                  <w14:solidFill>
                    <w14:schemeClr w14:val="tx1"/>
                  </w14:solidFill>
                </w14:textFill>
              </w:rPr>
            </w:pPr>
            <w:r>
              <w:rPr>
                <w:rFonts w:ascii="仿宋" w:hAnsi="仿宋" w:eastAsia="仿宋"/>
                <w:color w:val="000000" w:themeColor="text1"/>
                <w:kern w:val="0"/>
                <w:sz w:val="21"/>
                <w:szCs w:val="21"/>
                <w14:textFill>
                  <w14:solidFill>
                    <w14:schemeClr w14:val="tx1"/>
                  </w14:solidFill>
                </w14:textFill>
              </w:rPr>
              <w:t>4.各评分总和为60分，选择“否”，得分，选择“是”或者“合理缺项”</w:t>
            </w:r>
            <w:r>
              <w:rPr>
                <w:rFonts w:hint="eastAsia" w:ascii="仿宋" w:hAnsi="仿宋" w:eastAsia="仿宋"/>
                <w:color w:val="000000" w:themeColor="text1"/>
                <w:kern w:val="0"/>
                <w:sz w:val="21"/>
                <w:szCs w:val="21"/>
                <w14:textFill>
                  <w14:solidFill>
                    <w14:schemeClr w14:val="tx1"/>
                  </w14:solidFill>
                </w14:textFill>
              </w:rPr>
              <w:t>，不得分</w:t>
            </w:r>
            <w:r>
              <w:rPr>
                <w:rFonts w:ascii="仿宋" w:hAnsi="仿宋" w:eastAsia="仿宋"/>
                <w:color w:val="000000" w:themeColor="text1"/>
                <w:kern w:val="0"/>
                <w:sz w:val="21"/>
                <w:szCs w:val="21"/>
                <w14:textFill>
                  <w14:solidFill>
                    <w14:schemeClr w14:val="tx1"/>
                  </w14:solidFill>
                </w14:textFill>
              </w:rPr>
              <w:t>。</w:t>
            </w:r>
          </w:p>
          <w:p>
            <w:pPr>
              <w:widowControl/>
              <w:ind w:left="180" w:hanging="210" w:hangingChars="100"/>
              <w:rPr>
                <w:rFonts w:ascii="仿宋" w:hAnsi="仿宋" w:eastAsia="仿宋"/>
                <w:color w:val="000000" w:themeColor="text1"/>
                <w:kern w:val="0"/>
                <w:sz w:val="21"/>
                <w:szCs w:val="21"/>
                <w14:textFill>
                  <w14:solidFill>
                    <w14:schemeClr w14:val="tx1"/>
                  </w14:solidFill>
                </w14:textFill>
              </w:rPr>
            </w:pPr>
            <w:r>
              <w:rPr>
                <w:rFonts w:ascii="仿宋" w:hAnsi="仿宋" w:eastAsia="仿宋"/>
                <w:color w:val="000000" w:themeColor="text1"/>
                <w:kern w:val="0"/>
                <w:sz w:val="21"/>
                <w:szCs w:val="21"/>
                <w14:textFill>
                  <w14:solidFill>
                    <w14:schemeClr w14:val="tx1"/>
                  </w14:solidFill>
                </w14:textFill>
              </w:rPr>
              <w:t>5.日常监督检查共</w:t>
            </w:r>
            <w:r>
              <w:rPr>
                <w:rFonts w:hint="eastAsia" w:ascii="仿宋" w:hAnsi="仿宋" w:eastAsia="仿宋"/>
                <w:color w:val="000000" w:themeColor="text1"/>
                <w:kern w:val="0"/>
                <w:sz w:val="21"/>
                <w:szCs w:val="21"/>
                <w14:textFill>
                  <w14:solidFill>
                    <w14:schemeClr w14:val="tx1"/>
                  </w14:solidFill>
                </w14:textFill>
              </w:rPr>
              <w:t>21</w:t>
            </w:r>
            <w:r>
              <w:rPr>
                <w:rFonts w:ascii="仿宋" w:hAnsi="仿宋" w:eastAsia="仿宋"/>
                <w:color w:val="000000" w:themeColor="text1"/>
                <w:kern w:val="0"/>
                <w:sz w:val="21"/>
                <w:szCs w:val="21"/>
                <w14:textFill>
                  <w14:solidFill>
                    <w14:schemeClr w14:val="tx1"/>
                  </w14:solidFill>
                </w14:textFill>
              </w:rPr>
              <w:t>项检查内容，重点项（检查序号中打★号项）</w:t>
            </w:r>
            <w:r>
              <w:rPr>
                <w:rFonts w:hint="eastAsia" w:ascii="仿宋" w:hAnsi="仿宋" w:eastAsia="仿宋"/>
                <w:color w:val="000000" w:themeColor="text1"/>
                <w:kern w:val="0"/>
                <w:sz w:val="21"/>
                <w:szCs w:val="21"/>
                <w14:textFill>
                  <w14:solidFill>
                    <w14:schemeClr w14:val="tx1"/>
                  </w14:solidFill>
                </w14:textFill>
              </w:rPr>
              <w:t>17</w:t>
            </w:r>
            <w:r>
              <w:rPr>
                <w:rFonts w:ascii="仿宋" w:hAnsi="仿宋" w:eastAsia="仿宋"/>
                <w:color w:val="000000" w:themeColor="text1"/>
                <w:kern w:val="0"/>
                <w:sz w:val="21"/>
                <w:szCs w:val="21"/>
                <w14:textFill>
                  <w14:solidFill>
                    <w14:schemeClr w14:val="tx1"/>
                  </w14:solidFill>
                </w14:textFill>
              </w:rPr>
              <w:t>项，一般项</w:t>
            </w:r>
            <w:r>
              <w:rPr>
                <w:rFonts w:hint="eastAsia" w:ascii="仿宋" w:hAnsi="仿宋" w:eastAsia="仿宋"/>
                <w:color w:val="000000" w:themeColor="text1"/>
                <w:kern w:val="0"/>
                <w:sz w:val="21"/>
                <w:szCs w:val="21"/>
                <w14:textFill>
                  <w14:solidFill>
                    <w14:schemeClr w14:val="tx1"/>
                  </w14:solidFill>
                </w14:textFill>
              </w:rPr>
              <w:t>4</w:t>
            </w:r>
            <w:r>
              <w:rPr>
                <w:rFonts w:ascii="仿宋" w:hAnsi="仿宋" w:eastAsia="仿宋"/>
                <w:color w:val="000000" w:themeColor="text1"/>
                <w:kern w:val="0"/>
                <w:sz w:val="21"/>
                <w:szCs w:val="21"/>
                <w14:textFill>
                  <w14:solidFill>
                    <w14:schemeClr w14:val="tx1"/>
                  </w14:solidFill>
                </w14:textFill>
              </w:rPr>
              <w:t>项。</w:t>
            </w:r>
          </w:p>
          <w:p>
            <w:pPr>
              <w:widowControl/>
              <w:ind w:left="180" w:hanging="210" w:hangingChars="100"/>
              <w:rPr>
                <w:rFonts w:ascii="仿宋" w:hAnsi="仿宋" w:eastAsia="仿宋"/>
                <w:color w:val="000000" w:themeColor="text1"/>
                <w:kern w:val="0"/>
                <w:sz w:val="21"/>
                <w:szCs w:val="21"/>
                <w14:textFill>
                  <w14:solidFill>
                    <w14:schemeClr w14:val="tx1"/>
                  </w14:solidFill>
                </w14:textFill>
              </w:rPr>
            </w:pPr>
            <w:r>
              <w:rPr>
                <w:rFonts w:hint="eastAsia" w:ascii="仿宋" w:hAnsi="仿宋" w:eastAsia="仿宋"/>
                <w:color w:val="000000" w:themeColor="text1"/>
                <w:kern w:val="0"/>
                <w:sz w:val="21"/>
                <w:szCs w:val="21"/>
                <w14:textFill>
                  <w14:solidFill>
                    <w14:schemeClr w14:val="tx1"/>
                  </w14:solidFill>
                </w14:textFill>
              </w:rPr>
              <w:t>6.</w:t>
            </w:r>
            <w:r>
              <w:rPr>
                <w:rFonts w:ascii="仿宋" w:hAnsi="仿宋" w:eastAsia="仿宋"/>
                <w:color w:val="000000" w:themeColor="text1"/>
                <w:kern w:val="0"/>
                <w:sz w:val="21"/>
                <w:szCs w:val="21"/>
                <w14:textFill>
                  <w14:solidFill>
                    <w14:schemeClr w14:val="tx1"/>
                  </w14:solidFill>
                </w14:textFill>
              </w:rPr>
              <w:t>检查结果判定方法：①符合，检查中未发现问题；②基本符合，一般项</w:t>
            </w:r>
            <w:r>
              <w:rPr>
                <w:rFonts w:hint="eastAsia" w:ascii="仿宋" w:hAnsi="仿宋" w:eastAsia="仿宋"/>
                <w:color w:val="000000" w:themeColor="text1"/>
                <w:kern w:val="0"/>
                <w:sz w:val="21"/>
                <w:szCs w:val="21"/>
                <w14:textFill>
                  <w14:solidFill>
                    <w14:schemeClr w14:val="tx1"/>
                  </w14:solidFill>
                </w14:textFill>
              </w:rPr>
              <w:t>小于</w:t>
            </w:r>
            <w:r>
              <w:rPr>
                <w:rFonts w:ascii="仿宋" w:hAnsi="仿宋" w:eastAsia="仿宋"/>
                <w:color w:val="000000" w:themeColor="text1"/>
                <w:kern w:val="0"/>
                <w:sz w:val="21"/>
                <w:szCs w:val="21"/>
                <w14:textFill>
                  <w14:solidFill>
                    <w14:schemeClr w14:val="tx1"/>
                  </w14:solidFill>
                </w14:textFill>
              </w:rPr>
              <w:t>2项（含）不合格；③不符合，</w:t>
            </w:r>
            <w:r>
              <w:rPr>
                <w:rFonts w:hint="eastAsia" w:ascii="仿宋" w:hAnsi="仿宋" w:eastAsia="仿宋"/>
                <w:color w:val="000000" w:themeColor="text1"/>
                <w:kern w:val="0"/>
                <w:sz w:val="21"/>
                <w:szCs w:val="21"/>
                <w14:textFill>
                  <w14:solidFill>
                    <w14:schemeClr w14:val="tx1"/>
                  </w14:solidFill>
                </w14:textFill>
              </w:rPr>
              <w:t>重点项</w:t>
            </w:r>
            <w:r>
              <w:rPr>
                <w:rFonts w:ascii="仿宋" w:hAnsi="仿宋" w:eastAsia="仿宋"/>
                <w:color w:val="000000" w:themeColor="text1"/>
                <w:kern w:val="0"/>
                <w:sz w:val="21"/>
                <w:szCs w:val="21"/>
                <w14:textFill>
                  <w14:solidFill>
                    <w14:schemeClr w14:val="tx1"/>
                  </w14:solidFill>
                </w14:textFill>
              </w:rPr>
              <w:t>1项（含）以上不合格，或一般项2项以上不合格。</w:t>
            </w:r>
          </w:p>
        </w:tc>
      </w:tr>
    </w:tbl>
    <w:p>
      <w:pPr>
        <w:rPr>
          <w:color w:val="000000" w:themeColor="text1"/>
          <w14:textFill>
            <w14:solidFill>
              <w14:schemeClr w14:val="tx1"/>
            </w14:solidFill>
          </w14:textFill>
        </w:rPr>
      </w:pPr>
    </w:p>
    <w:p>
      <w:pPr>
        <w:widowControl/>
        <w:shd w:val="clear" w:color="auto" w:fill="FFFFFF"/>
        <w:spacing w:line="360" w:lineRule="exact"/>
        <w:rPr>
          <w:rFonts w:hint="eastAsia" w:ascii="方正小标宋简体" w:hAnsi="黑体" w:eastAsia="黑体"/>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7</w:t>
      </w:r>
    </w:p>
    <w:p>
      <w:pPr>
        <w:widowControl/>
        <w:shd w:val="clear" w:color="auto" w:fill="FFFFFF"/>
        <w:spacing w:line="360" w:lineRule="exact"/>
        <w:jc w:val="center"/>
        <w:rPr>
          <w:rFonts w:hint="eastAsia" w:ascii="方正小标宋简体" w:hAnsi="Times New Roman" w:eastAsia="方正小标宋简体"/>
          <w:color w:val="000000" w:themeColor="text1"/>
          <w:kern w:val="0"/>
          <w:sz w:val="32"/>
          <w:szCs w:val="32"/>
          <w14:textFill>
            <w14:solidFill>
              <w14:schemeClr w14:val="tx1"/>
            </w14:solidFill>
          </w14:textFill>
        </w:rPr>
      </w:pPr>
      <w:r>
        <w:rPr>
          <w:rFonts w:hint="eastAsia" w:ascii="方正小标宋简体" w:hAnsi="Times New Roman" w:eastAsia="方正小标宋简体"/>
          <w:color w:val="000000" w:themeColor="text1"/>
          <w:kern w:val="0"/>
          <w:sz w:val="32"/>
          <w:szCs w:val="32"/>
          <w14:textFill>
            <w14:solidFill>
              <w14:schemeClr w14:val="tx1"/>
            </w14:solidFill>
          </w14:textFill>
        </w:rPr>
        <w:t>网络食品交易第三方平台提供者动态风险因素量化分值表</w:t>
      </w:r>
    </w:p>
    <w:p>
      <w:pPr>
        <w:widowControl/>
        <w:shd w:val="clear" w:color="auto" w:fill="FFFFFF"/>
        <w:spacing w:line="360" w:lineRule="exact"/>
        <w:jc w:val="center"/>
        <w:rPr>
          <w:rFonts w:ascii="方正小标宋简体" w:hAnsi="Times New Roman" w:eastAsia="方正小标宋简体"/>
          <w:color w:val="000000" w:themeColor="text1"/>
          <w:kern w:val="0"/>
          <w:sz w:val="32"/>
          <w:szCs w:val="32"/>
          <w14:textFill>
            <w14:solidFill>
              <w14:schemeClr w14:val="tx1"/>
            </w14:solidFill>
          </w14:textFill>
        </w:rPr>
      </w:pPr>
      <w:r>
        <w:rPr>
          <w:rFonts w:hint="eastAsia" w:ascii="方正小标宋简体" w:hAnsi="Times New Roman" w:eastAsia="方正小标宋简体"/>
          <w:color w:val="000000" w:themeColor="text1"/>
          <w:kern w:val="0"/>
          <w:sz w:val="32"/>
          <w:szCs w:val="32"/>
          <w14:textFill>
            <w14:solidFill>
              <w14:schemeClr w14:val="tx1"/>
            </w14:solidFill>
          </w14:textFill>
        </w:rPr>
        <w:t>（网络食品交易第三方平台提供者</w:t>
      </w:r>
      <w:r>
        <w:rPr>
          <w:rFonts w:hint="eastAsia" w:ascii="方正小标宋简体" w:eastAsia="方正小标宋简体"/>
          <w:color w:val="000000" w:themeColor="text1"/>
          <w:kern w:val="0"/>
          <w:sz w:val="32"/>
          <w:szCs w:val="32"/>
          <w14:textFill>
            <w14:solidFill>
              <w14:schemeClr w14:val="tx1"/>
            </w14:solidFill>
          </w14:textFill>
        </w:rPr>
        <w:t>日常监督检查要点表</w:t>
      </w:r>
      <w:r>
        <w:rPr>
          <w:rFonts w:hint="eastAsia" w:ascii="方正小标宋简体" w:hAnsi="Times New Roman" w:eastAsia="方正小标宋简体"/>
          <w:color w:val="000000" w:themeColor="text1"/>
          <w:kern w:val="0"/>
          <w:sz w:val="32"/>
          <w:szCs w:val="32"/>
          <w14:textFill>
            <w14:solidFill>
              <w14:schemeClr w14:val="tx1"/>
            </w14:solidFill>
          </w14:textFill>
        </w:rPr>
        <w:t>）</w:t>
      </w:r>
    </w:p>
    <w:p>
      <w:pPr>
        <w:tabs>
          <w:tab w:val="left" w:pos="142"/>
        </w:tabs>
        <w:spacing w:line="360" w:lineRule="exact"/>
        <w:ind w:left="-850" w:leftChars="-405" w:firstLine="300" w:firstLineChars="150"/>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hAnsi="宋体"/>
          <w:color w:val="000000" w:themeColor="text1"/>
          <w:sz w:val="20"/>
          <w:szCs w:val="20"/>
          <w14:textFill>
            <w14:solidFill>
              <w14:schemeClr w14:val="tx1"/>
            </w14:solidFill>
          </w14:textFill>
        </w:rPr>
        <w:t>被</w:t>
      </w:r>
      <w:r>
        <w:rPr>
          <w:rFonts w:hint="eastAsia" w:ascii="仿宋_GB2312" w:hAnsi="仿宋_GB2312" w:eastAsia="仿宋_GB2312" w:cs="仿宋_GB2312"/>
          <w:color w:val="000000" w:themeColor="text1"/>
          <w:sz w:val="21"/>
          <w:szCs w:val="21"/>
          <w14:textFill>
            <w14:solidFill>
              <w14:schemeClr w14:val="tx1"/>
            </w14:solidFill>
          </w14:textFill>
        </w:rPr>
        <w:t>评定人：　　　　　　　　　　　　　　　　　　　　　　　　　　　　评定时间：</w:t>
      </w:r>
    </w:p>
    <w:tbl>
      <w:tblPr>
        <w:tblStyle w:val="7"/>
        <w:tblW w:w="10277" w:type="dxa"/>
        <w:jc w:val="center"/>
        <w:tblLayout w:type="fixed"/>
        <w:tblCellMar>
          <w:top w:w="0" w:type="dxa"/>
          <w:left w:w="108" w:type="dxa"/>
          <w:bottom w:w="0" w:type="dxa"/>
          <w:right w:w="108" w:type="dxa"/>
        </w:tblCellMar>
      </w:tblPr>
      <w:tblGrid>
        <w:gridCol w:w="1270"/>
        <w:gridCol w:w="799"/>
        <w:gridCol w:w="6095"/>
        <w:gridCol w:w="1418"/>
        <w:gridCol w:w="695"/>
      </w:tblGrid>
      <w:tr>
        <w:tblPrEx>
          <w:tblCellMar>
            <w:top w:w="0" w:type="dxa"/>
            <w:left w:w="108" w:type="dxa"/>
            <w:bottom w:w="0" w:type="dxa"/>
            <w:right w:w="108" w:type="dxa"/>
          </w:tblCellMar>
        </w:tblPrEx>
        <w:trPr>
          <w:trHeight w:val="198" w:hRule="atLeast"/>
          <w:tblHeader/>
          <w:jc w:val="center"/>
        </w:trPr>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检查项目</w:t>
            </w:r>
          </w:p>
        </w:tc>
        <w:tc>
          <w:tcPr>
            <w:tcW w:w="79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序号</w:t>
            </w:r>
          </w:p>
        </w:tc>
        <w:tc>
          <w:tcPr>
            <w:tcW w:w="60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检查内容</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检查结果</w:t>
            </w:r>
          </w:p>
        </w:tc>
        <w:tc>
          <w:tcPr>
            <w:tcW w:w="6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b/>
                <w:color w:val="000000" w:themeColor="text1"/>
                <w:kern w:val="0"/>
                <w:sz w:val="21"/>
                <w:szCs w:val="21"/>
                <w14:textFill>
                  <w14:solidFill>
                    <w14:schemeClr w14:val="tx1"/>
                  </w14:solidFill>
                </w14:textFill>
              </w:rPr>
              <w:t>分值</w:t>
            </w:r>
          </w:p>
        </w:tc>
      </w:tr>
      <w:tr>
        <w:tblPrEx>
          <w:tblCellMar>
            <w:top w:w="0" w:type="dxa"/>
            <w:left w:w="108" w:type="dxa"/>
            <w:bottom w:w="0" w:type="dxa"/>
            <w:right w:w="108" w:type="dxa"/>
          </w:tblCellMar>
        </w:tblPrEx>
        <w:trPr>
          <w:trHeight w:val="293" w:hRule="atLeast"/>
          <w:jc w:val="center"/>
        </w:trPr>
        <w:tc>
          <w:tcPr>
            <w:tcW w:w="127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1.主体资质</w:t>
            </w: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kern w:val="0"/>
                <w:sz w:val="21"/>
                <w:szCs w:val="21"/>
                <w14:textFill>
                  <w14:solidFill>
                    <w14:schemeClr w14:val="tx1"/>
                  </w14:solidFill>
                </w14:textFill>
              </w:rPr>
              <w:t>.1</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依法取得营业执照并在有效期限内。</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383" w:hRule="atLeast"/>
          <w:jc w:val="center"/>
        </w:trPr>
        <w:tc>
          <w:tcPr>
            <w:tcW w:w="127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1.2</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平台在通信主管部门批准后30个工作日内，向</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河北省市场监督管理局</w:t>
            </w:r>
            <w:r>
              <w:rPr>
                <w:rFonts w:hint="eastAsia" w:ascii="仿宋_GB2312" w:hAnsi="仿宋_GB2312" w:eastAsia="仿宋_GB2312" w:cs="仿宋_GB2312"/>
                <w:color w:val="000000" w:themeColor="text1"/>
                <w:kern w:val="0"/>
                <w:sz w:val="21"/>
                <w:szCs w:val="21"/>
                <w14:textFill>
                  <w14:solidFill>
                    <w14:schemeClr w14:val="tx1"/>
                  </w14:solidFill>
                </w14:textFill>
              </w:rPr>
              <w:t>备案，网络餐饮服务第三方平台提供者分支机构，在设立后30个工作日内，向所在地市场监督管理部门备案。</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645" w:hRule="atLeast"/>
          <w:jc w:val="center"/>
        </w:trPr>
        <w:tc>
          <w:tcPr>
            <w:tcW w:w="127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2.食品安</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全责任</w:t>
            </w: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2.1</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建立入网食品经营者审查登记、食品安全自查、食品安全违法行为制止及报告、严重违法行为平台服务停止、食品安全投诉举报处理等相应制度，网络餐饮服务第三方平台提供者还建立食品安全事故处置制度；在网络平台上公开相关制度和投诉举报方式。</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576"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2.2</w:t>
            </w:r>
          </w:p>
        </w:tc>
        <w:tc>
          <w:tcPr>
            <w:tcW w:w="6095" w:type="dxa"/>
            <w:tcBorders>
              <w:top w:val="nil"/>
              <w:left w:val="nil"/>
              <w:bottom w:val="single" w:color="auto" w:sz="4" w:space="0"/>
              <w:right w:val="single" w:color="auto" w:sz="4" w:space="0"/>
            </w:tcBorders>
            <w:noWrap w:val="0"/>
            <w:vAlign w:val="center"/>
          </w:tcPr>
          <w:p>
            <w:pPr>
              <w:widowControl/>
              <w:numPr>
                <w:ilvl w:val="0"/>
                <w:numId w:val="0"/>
              </w:numPr>
              <w:adjustRightInd w:val="0"/>
              <w:snapToGrid w:val="0"/>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设置专门的网络食品安全管理机构或者指定专职食品安全管理人员，对平台上的食品经营行为及信息进行检查。</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518" w:hRule="atLeast"/>
          <w:jc w:val="center"/>
        </w:trPr>
        <w:tc>
          <w:tcPr>
            <w:tcW w:w="12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2.3</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对平台上食品经营者开展食品安全法律、法规以及食品安全标准和食品安全知识的教育培训工作，且有培训记录。</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448" w:hRule="atLeast"/>
          <w:jc w:val="center"/>
        </w:trPr>
        <w:tc>
          <w:tcPr>
            <w:tcW w:w="12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2.4</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建立入网食品经营者档案，记录入网食品经营者的基本情况、食品安全管理人员等信息。</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573" w:hRule="atLeast"/>
          <w:jc w:val="center"/>
        </w:trPr>
        <w:tc>
          <w:tcPr>
            <w:tcW w:w="12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2.5</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记录、保存食品交易信息，保存时间不得少于产品保质期满后6个月；没有明确保质期的，保存时间不少于2年；网络订餐的订单信息保存时间不少于6个月。</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477" w:hRule="atLeast"/>
          <w:jc w:val="center"/>
        </w:trPr>
        <w:tc>
          <w:tcPr>
            <w:tcW w:w="127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2.6</w:t>
            </w:r>
          </w:p>
        </w:tc>
        <w:tc>
          <w:tcPr>
            <w:tcW w:w="609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网络餐饮服务第三方平台提供者对送餐人员进行食品安全培训和管理，培训记录保存期限不少于两年。</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514" w:hRule="atLeast"/>
          <w:jc w:val="center"/>
        </w:trPr>
        <w:tc>
          <w:tcPr>
            <w:tcW w:w="127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3.对入网食品经营者的管理</w:t>
            </w: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3.1</w:t>
            </w:r>
          </w:p>
        </w:tc>
        <w:tc>
          <w:tcPr>
            <w:tcW w:w="6095" w:type="dxa"/>
            <w:tcBorders>
              <w:top w:val="nil"/>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对入网食品经营者食品生产经营许可证等材料进行审查，如实记录并及时更新。</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500"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3.2</w:t>
            </w:r>
          </w:p>
        </w:tc>
        <w:tc>
          <w:tcPr>
            <w:tcW w:w="6095" w:type="dxa"/>
            <w:tcBorders>
              <w:top w:val="nil"/>
              <w:left w:val="nil"/>
              <w:bottom w:val="single" w:color="auto" w:sz="4" w:space="0"/>
              <w:right w:val="single" w:color="auto" w:sz="4" w:space="0"/>
            </w:tcBorders>
            <w:noWrap w:val="0"/>
            <w:vAlign w:val="center"/>
          </w:tcPr>
          <w:p>
            <w:pPr>
              <w:widowControl/>
              <w:numPr>
                <w:ilvl w:val="0"/>
                <w:numId w:val="0"/>
              </w:numPr>
              <w:adjustRightInd w:val="0"/>
              <w:snapToGrid w:val="0"/>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对入网食用农产品生产经营者营业执照、入网交易食用农产品的个人的身份证号码、住址、联系方式等信息如实记录并及时更新。</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500"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★3.3</w:t>
            </w:r>
          </w:p>
        </w:tc>
        <w:tc>
          <w:tcPr>
            <w:tcW w:w="6095" w:type="dxa"/>
            <w:tcBorders>
              <w:top w:val="nil"/>
              <w:left w:val="nil"/>
              <w:bottom w:val="single" w:color="auto" w:sz="4" w:space="0"/>
              <w:right w:val="single" w:color="auto" w:sz="4" w:space="0"/>
            </w:tcBorders>
            <w:noWrap w:val="0"/>
            <w:vAlign w:val="center"/>
          </w:tcPr>
          <w:p>
            <w:pPr>
              <w:widowControl/>
              <w:numPr>
                <w:ilvl w:val="0"/>
                <w:numId w:val="0"/>
              </w:numPr>
              <w:adjustRightInd w:val="0"/>
              <w:snapToGrid w:val="0"/>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网络餐饮服务第三方平台提供者与入网餐饮服务提供者签订食品安全协议。</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237"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3.4</w:t>
            </w:r>
          </w:p>
        </w:tc>
        <w:tc>
          <w:tcPr>
            <w:tcW w:w="6095" w:type="dxa"/>
            <w:tcBorders>
              <w:top w:val="nil"/>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明确入网食品经营者食品安全管理责任。</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621"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3.5</w:t>
            </w:r>
          </w:p>
        </w:tc>
        <w:tc>
          <w:tcPr>
            <w:tcW w:w="6095" w:type="dxa"/>
            <w:tcBorders>
              <w:top w:val="nil"/>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入网食品经营者在其经营活动主页面显著位置公示其食品生产经营许可证。餐饮服务经营活动主页面公示餐饮服务经营者的食品经营许可证、名称、地址。</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467" w:hRule="atLeast"/>
          <w:jc w:val="center"/>
        </w:trPr>
        <w:tc>
          <w:tcPr>
            <w:tcW w:w="127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3.6</w:t>
            </w:r>
          </w:p>
        </w:tc>
        <w:tc>
          <w:tcPr>
            <w:tcW w:w="6095" w:type="dxa"/>
            <w:tcBorders>
              <w:top w:val="nil"/>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网络餐饮服务第三方平台提供者对入网餐饮服务经营者的经营行为进行抽查和监测。</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531" w:hRule="atLeast"/>
          <w:jc w:val="center"/>
        </w:trPr>
        <w:tc>
          <w:tcPr>
            <w:tcW w:w="12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3.7</w:t>
            </w:r>
          </w:p>
        </w:tc>
        <w:tc>
          <w:tcPr>
            <w:tcW w:w="60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发现入网食品经营者存在食品安全违法行为的，及时制止，并及时向所在地市场监督管理部门报告。</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405" w:hRule="atLeast"/>
          <w:jc w:val="center"/>
        </w:trPr>
        <w:tc>
          <w:tcPr>
            <w:tcW w:w="127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3.8</w:t>
            </w:r>
          </w:p>
        </w:tc>
        <w:tc>
          <w:tcPr>
            <w:tcW w:w="60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对出现严重违法行为的入网食品经营者停止提供网络交易平台服务。</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4</w:t>
            </w:r>
          </w:p>
        </w:tc>
      </w:tr>
      <w:tr>
        <w:tblPrEx>
          <w:tblCellMar>
            <w:top w:w="0" w:type="dxa"/>
            <w:left w:w="108" w:type="dxa"/>
            <w:bottom w:w="0" w:type="dxa"/>
            <w:right w:w="108" w:type="dxa"/>
          </w:tblCellMar>
        </w:tblPrEx>
        <w:trPr>
          <w:trHeight w:val="483" w:hRule="atLeast"/>
          <w:jc w:val="center"/>
        </w:trPr>
        <w:tc>
          <w:tcPr>
            <w:tcW w:w="12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3.9</w:t>
            </w:r>
          </w:p>
        </w:tc>
        <w:tc>
          <w:tcPr>
            <w:tcW w:w="6095" w:type="dxa"/>
            <w:tcBorders>
              <w:top w:val="nil"/>
              <w:left w:val="nil"/>
              <w:bottom w:val="single" w:color="auto" w:sz="4" w:space="0"/>
              <w:right w:val="single" w:color="auto" w:sz="4" w:space="0"/>
            </w:tcBorders>
            <w:noWrap w:val="0"/>
            <w:vAlign w:val="center"/>
          </w:tcPr>
          <w:p>
            <w:pPr>
              <w:widowControl/>
              <w:numPr>
                <w:ilvl w:val="0"/>
                <w:numId w:val="0"/>
              </w:numPr>
              <w:adjustRightInd w:val="0"/>
              <w:snapToGrid w:val="0"/>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配合市场监督管理部门对网络食品安全违法行为的查处，并按照相关要求提供网络食品交易相关数据和信息。</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□合理缺项</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w:t>
            </w:r>
          </w:p>
        </w:tc>
      </w:tr>
      <w:tr>
        <w:tblPrEx>
          <w:tblCellMar>
            <w:top w:w="0" w:type="dxa"/>
            <w:left w:w="108" w:type="dxa"/>
            <w:bottom w:w="0" w:type="dxa"/>
            <w:right w:w="108" w:type="dxa"/>
          </w:tblCellMar>
        </w:tblPrEx>
        <w:trPr>
          <w:trHeight w:val="259" w:hRule="atLeast"/>
          <w:jc w:val="center"/>
        </w:trPr>
        <w:tc>
          <w:tcPr>
            <w:tcW w:w="127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得分总和（60分）</w:t>
            </w:r>
          </w:p>
        </w:tc>
        <w:tc>
          <w:tcPr>
            <w:tcW w:w="900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1058" w:hRule="atLeast"/>
          <w:jc w:val="center"/>
        </w:trPr>
        <w:tc>
          <w:tcPr>
            <w:tcW w:w="127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备</w:t>
            </w:r>
          </w:p>
          <w:p>
            <w:pPr>
              <w:widowControl/>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注</w:t>
            </w:r>
          </w:p>
        </w:tc>
        <w:tc>
          <w:tcPr>
            <w:tcW w:w="9007" w:type="dxa"/>
            <w:gridSpan w:val="4"/>
            <w:tcBorders>
              <w:top w:val="single" w:color="auto" w:sz="4" w:space="0"/>
              <w:left w:val="nil"/>
              <w:bottom w:val="single" w:color="auto" w:sz="4" w:space="0"/>
              <w:right w:val="single" w:color="auto" w:sz="4" w:space="0"/>
            </w:tcBorders>
            <w:noWrap w:val="0"/>
            <w:vAlign w:val="top"/>
          </w:tcPr>
          <w:p>
            <w:pPr>
              <w:widowControl/>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1.各项分值总和为60分，选择“否”，得分，选择“是”或者“合理缺项”，不得分。</w:t>
            </w:r>
          </w:p>
          <w:p>
            <w:pPr>
              <w:widowControl/>
              <w:spacing w:line="24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2.日常监督检查共17项检查内容，其中重点项（检查序号中打★号项）14项，一般项3项。</w:t>
            </w:r>
          </w:p>
          <w:p>
            <w:pPr>
              <w:widowControl/>
              <w:spacing w:line="240" w:lineRule="exact"/>
              <w:ind w:left="200" w:hanging="210" w:hangingChars="100"/>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3.检查结果判定方法：①符合，检查中未发现问题；②基本符合，一般项1项不合格；③不符合，重点项1项（含）以上不合格，或一般项2项以上不合格。</w:t>
            </w:r>
          </w:p>
        </w:tc>
      </w:tr>
    </w:tbl>
    <w:p>
      <w:pPr>
        <w:rPr>
          <w:color w:val="000000" w:themeColor="text1"/>
          <w14:textFill>
            <w14:solidFill>
              <w14:schemeClr w14:val="tx1"/>
            </w14:solidFill>
          </w14:textFill>
        </w:rPr>
      </w:pPr>
    </w:p>
    <w:p>
      <w:pPr>
        <w:widowControl/>
        <w:shd w:val="clear" w:color="auto" w:fill="FFFFFF"/>
        <w:spacing w:line="320" w:lineRule="exact"/>
        <w:rPr>
          <w:rFonts w:hint="eastAsia" w:ascii="方正小标宋简体" w:hAnsi="仿宋" w:eastAsia="黑体"/>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8</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食用农产品销售者动态风险因素量化分值表</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（食用农产品销售者日常监督检查要点表）</w:t>
      </w:r>
    </w:p>
    <w:p>
      <w:pPr>
        <w:spacing w:line="320" w:lineRule="exact"/>
        <w:ind w:left="-708" w:leftChars="-337"/>
        <w:rPr>
          <w:rFonts w:ascii="仿宋" w:hAnsi="仿宋" w:eastAsia="仿宋"/>
          <w:b/>
          <w:color w:val="000000" w:themeColor="text1"/>
          <w:sz w:val="32"/>
          <w:szCs w:val="32"/>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被评定人：　　　　　　　　　　　　　　　　　　　　　　　　　　　　评定时间：</w:t>
      </w:r>
    </w:p>
    <w:tbl>
      <w:tblPr>
        <w:tblStyle w:val="7"/>
        <w:tblW w:w="10533" w:type="dxa"/>
        <w:jc w:val="center"/>
        <w:tblLayout w:type="fixed"/>
        <w:tblCellMar>
          <w:top w:w="0" w:type="dxa"/>
          <w:left w:w="108" w:type="dxa"/>
          <w:bottom w:w="0" w:type="dxa"/>
          <w:right w:w="108" w:type="dxa"/>
        </w:tblCellMar>
      </w:tblPr>
      <w:tblGrid>
        <w:gridCol w:w="1169"/>
        <w:gridCol w:w="810"/>
        <w:gridCol w:w="6826"/>
        <w:gridCol w:w="1080"/>
        <w:gridCol w:w="648"/>
      </w:tblGrid>
      <w:tr>
        <w:tblPrEx>
          <w:tblCellMar>
            <w:top w:w="0" w:type="dxa"/>
            <w:left w:w="108" w:type="dxa"/>
            <w:bottom w:w="0" w:type="dxa"/>
            <w:right w:w="108" w:type="dxa"/>
          </w:tblCellMar>
        </w:tblPrEx>
        <w:trPr>
          <w:trHeight w:val="91" w:hRule="atLeast"/>
          <w:tblHeader/>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检查项目</w:t>
            </w:r>
          </w:p>
        </w:tc>
        <w:tc>
          <w:tcPr>
            <w:tcW w:w="8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序号</w:t>
            </w:r>
          </w:p>
        </w:tc>
        <w:tc>
          <w:tcPr>
            <w:tcW w:w="68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检查内容</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hint="eastAsia" w:ascii="仿宋" w:hAnsi="仿宋" w:eastAsia="仿宋"/>
                <w:b/>
                <w:color w:val="000000" w:themeColor="text1"/>
                <w:kern w:val="0"/>
                <w:sz w:val="20"/>
                <w:szCs w:val="20"/>
                <w14:textFill>
                  <w14:solidFill>
                    <w14:schemeClr w14:val="tx1"/>
                  </w14:solidFill>
                </w14:textFill>
              </w:rPr>
              <w:t>检查结果</w:t>
            </w:r>
          </w:p>
        </w:tc>
        <w:tc>
          <w:tcPr>
            <w:tcW w:w="64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分值</w:t>
            </w:r>
          </w:p>
        </w:tc>
      </w:tr>
      <w:tr>
        <w:tblPrEx>
          <w:tblCellMar>
            <w:top w:w="0" w:type="dxa"/>
            <w:left w:w="108" w:type="dxa"/>
            <w:bottom w:w="0" w:type="dxa"/>
            <w:right w:w="108" w:type="dxa"/>
          </w:tblCellMar>
        </w:tblPrEx>
        <w:trPr>
          <w:trHeight w:val="148" w:hRule="atLeast"/>
          <w:jc w:val="center"/>
        </w:trPr>
        <w:tc>
          <w:tcPr>
            <w:tcW w:w="105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800" w:firstLineChars="1900"/>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食用农产品通用检查项目（11项）</w:t>
            </w:r>
            <w:r>
              <w:rPr>
                <w:rFonts w:hint="eastAsia" w:ascii="仿宋" w:hAnsi="仿宋" w:eastAsia="仿宋"/>
                <w:color w:val="000000" w:themeColor="text1"/>
                <w:kern w:val="0"/>
                <w:sz w:val="20"/>
                <w:szCs w:val="20"/>
                <w14:textFill>
                  <w14:solidFill>
                    <w14:schemeClr w14:val="tx1"/>
                  </w14:solidFill>
                </w14:textFill>
              </w:rPr>
              <w:t xml:space="preserve">                                                   </w:t>
            </w:r>
          </w:p>
        </w:tc>
      </w:tr>
      <w:tr>
        <w:tblPrEx>
          <w:tblCellMar>
            <w:top w:w="0" w:type="dxa"/>
            <w:left w:w="108" w:type="dxa"/>
            <w:bottom w:w="0" w:type="dxa"/>
            <w:right w:w="108" w:type="dxa"/>
          </w:tblCellMar>
        </w:tblPrEx>
        <w:trPr>
          <w:trHeight w:val="198" w:hRule="atLeast"/>
          <w:jc w:val="center"/>
        </w:trPr>
        <w:tc>
          <w:tcPr>
            <w:tcW w:w="1169"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1.主体资格</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1.1</w:t>
            </w:r>
          </w:p>
        </w:tc>
        <w:tc>
          <w:tcPr>
            <w:tcW w:w="6826"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持有的营业执照等法定主体资格证明文件合法有效。</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90" w:hRule="atLeast"/>
          <w:jc w:val="center"/>
        </w:trPr>
        <w:tc>
          <w:tcPr>
            <w:tcW w:w="1169" w:type="dxa"/>
            <w:tcBorders>
              <w:top w:val="nil"/>
              <w:left w:val="single" w:color="auto" w:sz="4" w:space="0"/>
              <w:bottom w:val="nil"/>
              <w:right w:val="single" w:color="auto" w:sz="4" w:space="0"/>
            </w:tcBorders>
            <w:noWrap/>
            <w:vAlign w:val="center"/>
          </w:tcPr>
          <w:p>
            <w:pPr>
              <w:widowControl/>
              <w:spacing w:line="240" w:lineRule="exact"/>
              <w:ind w:firstLine="90" w:firstLineChars="50"/>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2.经营</w:t>
            </w:r>
          </w:p>
          <w:p>
            <w:pPr>
              <w:widowControl/>
              <w:spacing w:line="240" w:lineRule="exact"/>
              <w:ind w:firstLine="90" w:firstLineChars="50"/>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条件</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2.1</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销售冷藏、冷冻食用农产品的，配备与经营品种相适应的冷藏、冷冻设施，保证所销售的食用农产品符合质量安全所需要的温度、湿度及环境等特殊要求。</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197" w:hRule="atLeast"/>
          <w:jc w:val="center"/>
        </w:trPr>
        <w:tc>
          <w:tcPr>
            <w:tcW w:w="11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3.食用农产品、标签等外观质量</w:t>
            </w:r>
          </w:p>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状况</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3.1</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按照规定应当包装或者附加标识的食用农产品，包装或者附加标识销售，且包装物或者标识标注信息符合规定。</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105" w:hRule="atLeast"/>
          <w:jc w:val="center"/>
        </w:trPr>
        <w:tc>
          <w:tcPr>
            <w:tcW w:w="11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3.2</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无包装的食用农产品，在摊位（柜台）明显位置如实公布该食用农产品的名称、产地、生产者或者销售者名称（姓名）等信息。</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708" w:hRule="atLeast"/>
          <w:jc w:val="center"/>
        </w:trPr>
        <w:tc>
          <w:tcPr>
            <w:tcW w:w="1169"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4.经营</w:t>
            </w:r>
          </w:p>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过程</w:t>
            </w:r>
          </w:p>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控制</w:t>
            </w:r>
          </w:p>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情况</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4.1</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建立食用农产品进货查验记录制度，如实记录食用农产品名称、数量、进货日期以及供货者名称、地址、联系方式等内容，并保存相关凭证。</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10</w:t>
            </w:r>
          </w:p>
        </w:tc>
      </w:tr>
      <w:tr>
        <w:tblPrEx>
          <w:tblCellMar>
            <w:top w:w="0" w:type="dxa"/>
            <w:left w:w="108" w:type="dxa"/>
            <w:bottom w:w="0" w:type="dxa"/>
            <w:right w:w="108" w:type="dxa"/>
          </w:tblCellMar>
        </w:tblPrEx>
        <w:trPr>
          <w:trHeight w:val="293"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4.2</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按照规定查验并留存所售</w:t>
            </w:r>
            <w:r>
              <w:rPr>
                <w:rFonts w:hint="eastAsia" w:ascii="仿宋" w:hAnsi="仿宋" w:eastAsia="仿宋"/>
                <w:color w:val="000000" w:themeColor="text1"/>
                <w:kern w:val="0"/>
                <w:sz w:val="20"/>
                <w:szCs w:val="20"/>
                <w14:textFill>
                  <w14:solidFill>
                    <w14:schemeClr w14:val="tx1"/>
                  </w14:solidFill>
                </w14:textFill>
              </w:rPr>
              <w:t>食用农产品</w:t>
            </w:r>
            <w:r>
              <w:rPr>
                <w:rFonts w:ascii="仿宋" w:hAnsi="仿宋" w:eastAsia="仿宋"/>
                <w:color w:val="000000" w:themeColor="text1"/>
                <w:kern w:val="0"/>
                <w:sz w:val="20"/>
                <w:szCs w:val="20"/>
                <w14:textFill>
                  <w14:solidFill>
                    <w14:schemeClr w14:val="tx1"/>
                  </w14:solidFill>
                </w14:textFill>
              </w:rPr>
              <w:t>相关票证。</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268"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4.3</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食用农产品进货查验记录和凭证保存期限不少于6个月。</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741"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4.4</w:t>
            </w:r>
          </w:p>
        </w:tc>
        <w:tc>
          <w:tcPr>
            <w:tcW w:w="6826" w:type="dxa"/>
            <w:tcBorders>
              <w:top w:val="nil"/>
              <w:left w:val="nil"/>
              <w:bottom w:val="nil"/>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自行贮存食用农产品的，如实记录贮存的食用农产品名称、产地、贮存日期、生产者或者供货者名称或者姓名、联系方式等内容，并在贮存场所保存记录，且保存期限不少于6个月。</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450"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4.5</w:t>
            </w:r>
          </w:p>
        </w:tc>
        <w:tc>
          <w:tcPr>
            <w:tcW w:w="6826"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使用按照市场监管委制定的范本印制的“证票合一”式《食用农产品销售凭证》。</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928"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4.6</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食用农产品质量安全自查制度，定期对食用农产品质量安全情况进行检查，且按照规定对发现的不符合食用农产品质量安全要求或者不符合食品安全标准或者有证据证明可能危害人体健康的食用农产品，采取立即停止销售，通知相关生产经营者、消费者，召回，无害化处理、销毁等措施，并记录和报告相关情况。</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371" w:hRule="atLeast"/>
          <w:jc w:val="center"/>
        </w:trPr>
        <w:tc>
          <w:tcPr>
            <w:tcW w:w="1169" w:type="dxa"/>
            <w:vMerge w:val="continue"/>
            <w:tcBorders>
              <w:top w:val="nil"/>
              <w:left w:val="single" w:color="auto" w:sz="4" w:space="0"/>
              <w:bottom w:val="nil"/>
              <w:right w:val="single" w:color="auto" w:sz="4" w:space="0"/>
            </w:tcBorders>
            <w:noWrap w:val="0"/>
            <w:vAlign w:val="center"/>
          </w:tcPr>
          <w:p>
            <w:pPr>
              <w:widowControl/>
              <w:spacing w:line="24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4.7</w:t>
            </w:r>
          </w:p>
        </w:tc>
        <w:tc>
          <w:tcPr>
            <w:tcW w:w="6826" w:type="dxa"/>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因标签、标志或者说明书不符合食品安全标准而被召回的食用农产品，在采取补救措施且能保证食用农产品质量安全的情况下继续销售时，向消费者明示补救措施。</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4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p>
        </w:tc>
      </w:tr>
      <w:tr>
        <w:tblPrEx>
          <w:tblCellMar>
            <w:top w:w="0" w:type="dxa"/>
            <w:left w:w="108" w:type="dxa"/>
            <w:bottom w:w="0" w:type="dxa"/>
            <w:right w:w="108" w:type="dxa"/>
          </w:tblCellMar>
        </w:tblPrEx>
        <w:trPr>
          <w:trHeight w:val="145" w:hRule="atLeast"/>
          <w:jc w:val="center"/>
        </w:trPr>
        <w:tc>
          <w:tcPr>
            <w:tcW w:w="105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食用农产品销售企业、批发销售企业特有检查项目（5项）</w:t>
            </w:r>
          </w:p>
        </w:tc>
      </w:tr>
      <w:tr>
        <w:tblPrEx>
          <w:tblCellMar>
            <w:top w:w="0" w:type="dxa"/>
            <w:left w:w="108" w:type="dxa"/>
            <w:bottom w:w="0" w:type="dxa"/>
            <w:right w:w="108" w:type="dxa"/>
          </w:tblCellMar>
        </w:tblPrEx>
        <w:trPr>
          <w:trHeight w:val="398" w:hRule="atLeast"/>
          <w:jc w:val="center"/>
        </w:trPr>
        <w:tc>
          <w:tcPr>
            <w:tcW w:w="1169"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5.食用农产品销售企业</w:t>
            </w:r>
          </w:p>
        </w:tc>
        <w:tc>
          <w:tcPr>
            <w:tcW w:w="81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5.1</w:t>
            </w:r>
          </w:p>
        </w:tc>
        <w:tc>
          <w:tcPr>
            <w:tcW w:w="6826" w:type="dxa"/>
            <w:tcBorders>
              <w:top w:val="nil"/>
              <w:left w:val="nil"/>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食用农产品销售企业建立食用农产品安全管理制度、食品安全事故处置方案。</w:t>
            </w:r>
          </w:p>
        </w:tc>
        <w:tc>
          <w:tcPr>
            <w:tcW w:w="108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96" w:hRule="atLeast"/>
          <w:jc w:val="center"/>
        </w:trPr>
        <w:tc>
          <w:tcPr>
            <w:tcW w:w="1169"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5.2</w:t>
            </w:r>
          </w:p>
        </w:tc>
        <w:tc>
          <w:tcPr>
            <w:tcW w:w="6826" w:type="dxa"/>
            <w:tcBorders>
              <w:top w:val="nil"/>
              <w:left w:val="nil"/>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食用农产品销售企业配备食用农产品安全管理人员，并开展食用农产品安全知识培训。</w:t>
            </w:r>
          </w:p>
        </w:tc>
        <w:tc>
          <w:tcPr>
            <w:tcW w:w="108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547" w:hRule="atLeast"/>
          <w:jc w:val="center"/>
        </w:trPr>
        <w:tc>
          <w:tcPr>
            <w:tcW w:w="1169"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5.3</w:t>
            </w:r>
          </w:p>
        </w:tc>
        <w:tc>
          <w:tcPr>
            <w:tcW w:w="6826" w:type="dxa"/>
            <w:tcBorders>
              <w:top w:val="nil"/>
              <w:left w:val="nil"/>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实行统一配送销售方式并由企业总部统一建立进货查验记录制度的食用农产品销售企业，所属各销售门店保存总部的配送清单以及相应的合格证明文件。</w:t>
            </w:r>
          </w:p>
        </w:tc>
        <w:tc>
          <w:tcPr>
            <w:tcW w:w="108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418" w:hRule="atLeast"/>
          <w:jc w:val="center"/>
        </w:trPr>
        <w:tc>
          <w:tcPr>
            <w:tcW w:w="1169" w:type="dxa"/>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6.食用农产品批发销售企业</w:t>
            </w:r>
          </w:p>
        </w:tc>
        <w:tc>
          <w:tcPr>
            <w:tcW w:w="81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6.1</w:t>
            </w:r>
          </w:p>
        </w:tc>
        <w:tc>
          <w:tcPr>
            <w:tcW w:w="6826" w:type="dxa"/>
            <w:tcBorders>
              <w:top w:val="nil"/>
              <w:left w:val="nil"/>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从事食用农产品批发业务的销售企业，建立食用农产品销售记录制度，如实记录批发食用农产品名称、数量、销售日期以及购货者名称、地址、联系方式等内容，并保存相关凭证。</w:t>
            </w:r>
          </w:p>
        </w:tc>
        <w:tc>
          <w:tcPr>
            <w:tcW w:w="108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165" w:hRule="atLeast"/>
          <w:jc w:val="center"/>
        </w:trPr>
        <w:tc>
          <w:tcPr>
            <w:tcW w:w="1169"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w w:val="90"/>
                <w:kern w:val="0"/>
                <w:sz w:val="20"/>
                <w:szCs w:val="20"/>
                <w14:textFill>
                  <w14:solidFill>
                    <w14:schemeClr w14:val="tx1"/>
                  </w14:solidFill>
                </w14:textFill>
              </w:rPr>
            </w:pPr>
          </w:p>
        </w:tc>
        <w:tc>
          <w:tcPr>
            <w:tcW w:w="81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6.2</w:t>
            </w:r>
          </w:p>
        </w:tc>
        <w:tc>
          <w:tcPr>
            <w:tcW w:w="6826" w:type="dxa"/>
            <w:tcBorders>
              <w:top w:val="nil"/>
              <w:left w:val="nil"/>
              <w:bottom w:val="single" w:color="auto" w:sz="4" w:space="0"/>
              <w:right w:val="single" w:color="auto" w:sz="4" w:space="0"/>
            </w:tcBorders>
            <w:noWrap w:val="0"/>
            <w:vAlign w:val="center"/>
          </w:tcPr>
          <w:p>
            <w:pPr>
              <w:widowControl/>
              <w:spacing w:line="22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批发记录和凭证保存期限不少于6个月。</w:t>
            </w:r>
          </w:p>
        </w:tc>
        <w:tc>
          <w:tcPr>
            <w:tcW w:w="1080" w:type="dxa"/>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□是  □否</w:t>
            </w:r>
          </w:p>
          <w:p>
            <w:pPr>
              <w:widowControl/>
              <w:spacing w:line="220" w:lineRule="exact"/>
              <w:jc w:val="center"/>
              <w:rPr>
                <w:rFonts w:ascii="仿宋" w:hAnsi="仿宋" w:eastAsia="仿宋"/>
                <w:color w:val="000000" w:themeColor="text1"/>
                <w:w w:val="85"/>
                <w:kern w:val="0"/>
                <w:sz w:val="20"/>
                <w:szCs w:val="20"/>
                <w14:textFill>
                  <w14:solidFill>
                    <w14:schemeClr w14:val="tx1"/>
                  </w14:solidFill>
                </w14:textFill>
              </w:rPr>
            </w:pPr>
            <w:r>
              <w:rPr>
                <w:rFonts w:ascii="仿宋" w:hAnsi="仿宋" w:eastAsia="仿宋"/>
                <w:color w:val="000000" w:themeColor="text1"/>
                <w:w w:val="85"/>
                <w:kern w:val="0"/>
                <w:sz w:val="20"/>
                <w:szCs w:val="20"/>
                <w14:textFill>
                  <w14:solidFill>
                    <w14:schemeClr w14:val="tx1"/>
                  </w14:solidFill>
                </w14:textFill>
              </w:rPr>
              <w:t>□合理缺项</w:t>
            </w:r>
          </w:p>
        </w:tc>
        <w:tc>
          <w:tcPr>
            <w:tcW w:w="648" w:type="dxa"/>
            <w:tcBorders>
              <w:top w:val="nil"/>
              <w:left w:val="nil"/>
              <w:bottom w:val="single" w:color="auto" w:sz="4" w:space="0"/>
              <w:right w:val="single" w:color="auto" w:sz="4" w:space="0"/>
            </w:tcBorders>
            <w:noWrap/>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r>
      <w:tr>
        <w:tblPrEx>
          <w:tblCellMar>
            <w:top w:w="0" w:type="dxa"/>
            <w:left w:w="108" w:type="dxa"/>
            <w:bottom w:w="0" w:type="dxa"/>
            <w:right w:w="108" w:type="dxa"/>
          </w:tblCellMar>
        </w:tblPrEx>
        <w:trPr>
          <w:trHeight w:val="301" w:hRule="atLeast"/>
          <w:jc w:val="center"/>
        </w:trPr>
        <w:tc>
          <w:tcPr>
            <w:tcW w:w="1169" w:type="dxa"/>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w w:val="90"/>
                <w:kern w:val="0"/>
                <w:sz w:val="20"/>
                <w:szCs w:val="20"/>
                <w14:textFill>
                  <w14:solidFill>
                    <w14:schemeClr w14:val="tx1"/>
                  </w14:solidFill>
                </w14:textFill>
              </w:rPr>
            </w:pPr>
            <w:r>
              <w:rPr>
                <w:rFonts w:ascii="仿宋" w:hAnsi="仿宋" w:eastAsia="仿宋"/>
                <w:color w:val="000000" w:themeColor="text1"/>
                <w:w w:val="90"/>
                <w:kern w:val="0"/>
                <w:sz w:val="20"/>
                <w:szCs w:val="20"/>
                <w14:textFill>
                  <w14:solidFill>
                    <w14:schemeClr w14:val="tx1"/>
                  </w14:solidFill>
                </w14:textFill>
              </w:rPr>
              <w:t>得分总和</w:t>
            </w:r>
            <w:r>
              <w:rPr>
                <w:rFonts w:hint="eastAsia" w:ascii="仿宋" w:hAnsi="仿宋" w:eastAsia="仿宋"/>
                <w:color w:val="000000" w:themeColor="text1"/>
                <w:w w:val="90"/>
                <w:kern w:val="0"/>
                <w:sz w:val="20"/>
                <w:szCs w:val="20"/>
                <w14:textFill>
                  <w14:solidFill>
                    <w14:schemeClr w14:val="tx1"/>
                  </w14:solidFill>
                </w14:textFill>
              </w:rPr>
              <w:t>（</w:t>
            </w:r>
            <w:r>
              <w:rPr>
                <w:rFonts w:ascii="仿宋" w:hAnsi="仿宋" w:eastAsia="仿宋"/>
                <w:color w:val="000000" w:themeColor="text1"/>
                <w:w w:val="90"/>
                <w:kern w:val="0"/>
                <w:sz w:val="20"/>
                <w:szCs w:val="20"/>
                <w14:textFill>
                  <w14:solidFill>
                    <w14:schemeClr w14:val="tx1"/>
                  </w14:solidFill>
                </w14:textFill>
              </w:rPr>
              <w:t>60分）</w:t>
            </w:r>
          </w:p>
        </w:tc>
        <w:tc>
          <w:tcPr>
            <w:tcW w:w="9364" w:type="dxa"/>
            <w:gridSpan w:val="4"/>
            <w:tcBorders>
              <w:top w:val="nil"/>
              <w:left w:val="nil"/>
              <w:bottom w:val="single" w:color="auto" w:sz="4" w:space="0"/>
              <w:right w:val="single" w:color="auto" w:sz="4" w:space="0"/>
            </w:tcBorders>
            <w:noWrap w:val="0"/>
            <w:vAlign w:val="center"/>
          </w:tcPr>
          <w:p>
            <w:pPr>
              <w:widowControl/>
              <w:spacing w:line="220" w:lineRule="exact"/>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10533"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其他需要记录的问题：</w:t>
            </w:r>
          </w:p>
        </w:tc>
      </w:tr>
      <w:tr>
        <w:tblPrEx>
          <w:tblCellMar>
            <w:top w:w="0" w:type="dxa"/>
            <w:left w:w="108" w:type="dxa"/>
            <w:bottom w:w="0" w:type="dxa"/>
            <w:right w:w="108" w:type="dxa"/>
          </w:tblCellMar>
        </w:tblPrEx>
        <w:trPr>
          <w:trHeight w:val="90" w:hRule="atLeast"/>
          <w:jc w:val="center"/>
        </w:trPr>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备</w:t>
            </w:r>
          </w:p>
          <w:p>
            <w:pPr>
              <w:spacing w:line="20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注</w:t>
            </w:r>
          </w:p>
          <w:p>
            <w:pPr>
              <w:spacing w:line="200" w:lineRule="exact"/>
              <w:jc w:val="center"/>
              <w:rPr>
                <w:rFonts w:ascii="仿宋" w:hAnsi="仿宋" w:eastAsia="仿宋" w:cs="宋体"/>
                <w:color w:val="000000" w:themeColor="text1"/>
                <w:kern w:val="0"/>
                <w:sz w:val="18"/>
                <w:szCs w:val="18"/>
                <w14:textFill>
                  <w14:solidFill>
                    <w14:schemeClr w14:val="tx1"/>
                  </w14:solidFill>
                </w14:textFill>
              </w:rPr>
            </w:pPr>
          </w:p>
        </w:tc>
        <w:tc>
          <w:tcPr>
            <w:tcW w:w="9364" w:type="dxa"/>
            <w:gridSpan w:val="4"/>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1.食用农产品销售者是指只经营食用农产品的销售者。</w:t>
            </w:r>
          </w:p>
          <w:p>
            <w:pPr>
              <w:spacing w:line="200" w:lineRule="exac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2.各评分总和为60分，选择“否”，得分，选择“是”或者“合理缺项”，不得分。</w:t>
            </w:r>
          </w:p>
          <w:p>
            <w:pPr>
              <w:spacing w:line="200" w:lineRule="exact"/>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3.日常监督检查共16项检查内容，重点项（检查序号中打★号项）11项，一般项5项。</w:t>
            </w:r>
          </w:p>
          <w:p>
            <w:pPr>
              <w:spacing w:line="200" w:lineRule="exact"/>
              <w:ind w:left="180" w:hanging="180" w:hangingChars="100"/>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4.</w:t>
            </w:r>
            <w:r>
              <w:rPr>
                <w:rFonts w:hint="eastAsia" w:ascii="仿宋" w:hAnsi="仿宋" w:eastAsia="仿宋" w:cs="宋体"/>
                <w:color w:val="000000" w:themeColor="text1"/>
                <w:kern w:val="0"/>
                <w:sz w:val="18"/>
                <w:szCs w:val="18"/>
                <w14:textFill>
                  <w14:solidFill>
                    <w14:schemeClr w14:val="tx1"/>
                  </w14:solidFill>
                </w14:textFill>
              </w:rPr>
              <w:t>检查结果判定方法：①符合，检查中未发现问题；②基本符合，一般项小于</w:t>
            </w:r>
            <w:r>
              <w:rPr>
                <w:rFonts w:ascii="仿宋" w:hAnsi="仿宋" w:eastAsia="仿宋" w:cs="宋体"/>
                <w:color w:val="000000" w:themeColor="text1"/>
                <w:kern w:val="0"/>
                <w:sz w:val="18"/>
                <w:szCs w:val="18"/>
                <w14:textFill>
                  <w14:solidFill>
                    <w14:schemeClr w14:val="tx1"/>
                  </w14:solidFill>
                </w14:textFill>
              </w:rPr>
              <w:t>2项（含）不合格；③不符合，重点项1项（含）以上不合格，或一般项</w:t>
            </w:r>
            <w:r>
              <w:rPr>
                <w:rFonts w:hint="eastAsia" w:ascii="仿宋" w:hAnsi="仿宋" w:eastAsia="仿宋" w:cs="宋体"/>
                <w:color w:val="000000" w:themeColor="text1"/>
                <w:kern w:val="0"/>
                <w:sz w:val="18"/>
                <w:szCs w:val="18"/>
                <w14:textFill>
                  <w14:solidFill>
                    <w14:schemeClr w14:val="tx1"/>
                  </w14:solidFill>
                </w14:textFill>
              </w:rPr>
              <w:t>2</w:t>
            </w:r>
            <w:r>
              <w:rPr>
                <w:rFonts w:ascii="仿宋" w:hAnsi="仿宋" w:eastAsia="仿宋" w:cs="宋体"/>
                <w:color w:val="000000" w:themeColor="text1"/>
                <w:kern w:val="0"/>
                <w:sz w:val="18"/>
                <w:szCs w:val="18"/>
                <w14:textFill>
                  <w14:solidFill>
                    <w14:schemeClr w14:val="tx1"/>
                  </w14:solidFill>
                </w14:textFill>
              </w:rPr>
              <w:t>项以上不合格。</w:t>
            </w:r>
          </w:p>
        </w:tc>
      </w:tr>
    </w:tbl>
    <w:p>
      <w:pPr>
        <w:rPr>
          <w:color w:val="000000" w:themeColor="text1"/>
          <w14:textFill>
            <w14:solidFill>
              <w14:schemeClr w14:val="tx1"/>
            </w14:solidFill>
          </w14:textFill>
        </w:rPr>
      </w:pPr>
    </w:p>
    <w:p>
      <w:pPr>
        <w:widowControl/>
        <w:shd w:val="clear" w:color="auto" w:fill="FFFFFF"/>
        <w:spacing w:line="390" w:lineRule="atLeast"/>
        <w:rPr>
          <w:rFonts w:hint="eastAsia" w:ascii="方正小标宋简体" w:hAnsi="仿宋" w:eastAsia="黑体"/>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附件1</w:t>
      </w:r>
      <w:r>
        <w:rPr>
          <w:rFonts w:hint="eastAsia" w:ascii="黑体" w:hAnsi="黑体" w:eastAsia="黑体" w:cs="黑体"/>
          <w:color w:val="000000" w:themeColor="text1"/>
          <w:kern w:val="0"/>
          <w:sz w:val="32"/>
          <w:szCs w:val="32"/>
          <w:lang w:val="en-US" w:eastAsia="zh-CN"/>
          <w14:textFill>
            <w14:solidFill>
              <w14:schemeClr w14:val="tx1"/>
            </w14:solidFill>
          </w14:textFill>
        </w:rPr>
        <w:t>9</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lang w:eastAsia="zh-CN"/>
          <w14:textFill>
            <w14:solidFill>
              <w14:schemeClr w14:val="tx1"/>
            </w14:solidFill>
          </w14:textFill>
        </w:rPr>
        <w:t>食品（食用农产品）</w:t>
      </w:r>
      <w:r>
        <w:rPr>
          <w:rFonts w:hint="eastAsia" w:ascii="方正小标宋简体" w:hAnsi="仿宋" w:eastAsia="方正小标宋简体"/>
          <w:color w:val="000000" w:themeColor="text1"/>
          <w:kern w:val="0"/>
          <w:sz w:val="32"/>
          <w:szCs w:val="32"/>
          <w14:textFill>
            <w14:solidFill>
              <w14:schemeClr w14:val="tx1"/>
            </w14:solidFill>
          </w14:textFill>
        </w:rPr>
        <w:t>贮存服务提供者动态风险因素量化分值表</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rPr>
          <w:rFonts w:hint="eastAsia"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w:t>
      </w:r>
      <w:r>
        <w:rPr>
          <w:rFonts w:hint="eastAsia" w:ascii="方正小标宋简体" w:hAnsi="仿宋" w:eastAsia="方正小标宋简体"/>
          <w:color w:val="000000" w:themeColor="text1"/>
          <w:kern w:val="0"/>
          <w:sz w:val="32"/>
          <w:szCs w:val="32"/>
          <w:lang w:eastAsia="zh-CN"/>
          <w14:textFill>
            <w14:solidFill>
              <w14:schemeClr w14:val="tx1"/>
            </w14:solidFill>
          </w14:textFill>
        </w:rPr>
        <w:t>食品（食用农产品）</w:t>
      </w:r>
      <w:r>
        <w:rPr>
          <w:rFonts w:hint="eastAsia" w:ascii="方正小标宋简体" w:hAnsi="仿宋" w:eastAsia="方正小标宋简体"/>
          <w:color w:val="000000" w:themeColor="text1"/>
          <w:kern w:val="0"/>
          <w:sz w:val="32"/>
          <w:szCs w:val="32"/>
          <w14:textFill>
            <w14:solidFill>
              <w14:schemeClr w14:val="tx1"/>
            </w14:solidFill>
          </w14:textFill>
        </w:rPr>
        <w:t>贮存服务提供者日常监督检查要点表）</w:t>
      </w:r>
    </w:p>
    <w:p>
      <w:pPr>
        <w:widowControl/>
        <w:shd w:val="clear" w:color="auto" w:fill="FFFFFF"/>
        <w:spacing w:line="400" w:lineRule="exact"/>
        <w:jc w:val="center"/>
        <w:rPr>
          <w:rFonts w:ascii="方正小标宋简体" w:hAnsi="仿宋" w:eastAsia="方正小标宋简体"/>
          <w:color w:val="000000" w:themeColor="text1"/>
          <w:kern w:val="0"/>
          <w:sz w:val="32"/>
          <w:szCs w:val="32"/>
          <w14:textFill>
            <w14:solidFill>
              <w14:schemeClr w14:val="tx1"/>
            </w14:solidFill>
          </w14:textFill>
        </w:rPr>
      </w:pPr>
    </w:p>
    <w:p>
      <w:pPr>
        <w:ind w:left="-283" w:leftChars="-135"/>
        <w:rPr>
          <w:rFonts w:ascii="仿宋" w:hAnsi="仿宋" w:eastAsia="仿宋"/>
          <w:b/>
          <w:color w:val="000000" w:themeColor="text1"/>
          <w:sz w:val="32"/>
          <w:szCs w:val="32"/>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被评定人：　　　　　　　　　　　　　　　　　　　　　　　　　　　　评定时间：</w:t>
      </w:r>
    </w:p>
    <w:tbl>
      <w:tblPr>
        <w:tblStyle w:val="7"/>
        <w:tblW w:w="9998" w:type="dxa"/>
        <w:jc w:val="center"/>
        <w:tblLayout w:type="fixed"/>
        <w:tblCellMar>
          <w:top w:w="0" w:type="dxa"/>
          <w:left w:w="108" w:type="dxa"/>
          <w:bottom w:w="0" w:type="dxa"/>
          <w:right w:w="108" w:type="dxa"/>
        </w:tblCellMar>
      </w:tblPr>
      <w:tblGrid>
        <w:gridCol w:w="1393"/>
        <w:gridCol w:w="19"/>
        <w:gridCol w:w="798"/>
        <w:gridCol w:w="5728"/>
        <w:gridCol w:w="1260"/>
        <w:gridCol w:w="800"/>
      </w:tblGrid>
      <w:tr>
        <w:tblPrEx>
          <w:tblCellMar>
            <w:top w:w="0" w:type="dxa"/>
            <w:left w:w="108" w:type="dxa"/>
            <w:bottom w:w="0" w:type="dxa"/>
            <w:right w:w="108" w:type="dxa"/>
          </w:tblCellMar>
        </w:tblPrEx>
        <w:trPr>
          <w:trHeight w:val="559" w:hRule="atLeast"/>
          <w:jc w:val="center"/>
        </w:trPr>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检查项目</w:t>
            </w:r>
          </w:p>
        </w:tc>
        <w:tc>
          <w:tcPr>
            <w:tcW w:w="79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序号</w:t>
            </w:r>
          </w:p>
        </w:tc>
        <w:tc>
          <w:tcPr>
            <w:tcW w:w="572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检查内容</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b/>
                <w:color w:val="000000" w:themeColor="text1"/>
                <w:kern w:val="0"/>
                <w:sz w:val="20"/>
                <w:szCs w:val="20"/>
                <w14:textFill>
                  <w14:solidFill>
                    <w14:schemeClr w14:val="tx1"/>
                  </w14:solidFill>
                </w14:textFill>
              </w:rPr>
            </w:pPr>
            <w:r>
              <w:rPr>
                <w:rFonts w:hint="eastAsia" w:ascii="仿宋" w:hAnsi="仿宋" w:eastAsia="仿宋"/>
                <w:b/>
                <w:color w:val="000000" w:themeColor="text1"/>
                <w:kern w:val="0"/>
                <w:sz w:val="20"/>
                <w:szCs w:val="20"/>
                <w14:textFill>
                  <w14:solidFill>
                    <w14:schemeClr w14:val="tx1"/>
                  </w14:solidFill>
                </w14:textFill>
              </w:rPr>
              <w:t>检查结果</w:t>
            </w:r>
          </w:p>
        </w:tc>
        <w:tc>
          <w:tcPr>
            <w:tcW w:w="8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 w:hAnsi="仿宋" w:eastAsia="仿宋"/>
                <w:b/>
                <w:color w:val="000000" w:themeColor="text1"/>
                <w:kern w:val="0"/>
                <w:sz w:val="20"/>
                <w:szCs w:val="20"/>
                <w14:textFill>
                  <w14:solidFill>
                    <w14:schemeClr w14:val="tx1"/>
                  </w14:solidFill>
                </w14:textFill>
              </w:rPr>
            </w:pPr>
            <w:r>
              <w:rPr>
                <w:rFonts w:ascii="仿宋" w:hAnsi="仿宋" w:eastAsia="仿宋"/>
                <w:b/>
                <w:color w:val="000000" w:themeColor="text1"/>
                <w:kern w:val="0"/>
                <w:sz w:val="20"/>
                <w:szCs w:val="20"/>
                <w14:textFill>
                  <w14:solidFill>
                    <w14:schemeClr w14:val="tx1"/>
                  </w14:solidFill>
                </w14:textFill>
              </w:rPr>
              <w:t>分值</w:t>
            </w:r>
          </w:p>
        </w:tc>
      </w:tr>
      <w:tr>
        <w:tblPrEx>
          <w:tblCellMar>
            <w:top w:w="0" w:type="dxa"/>
            <w:left w:w="108" w:type="dxa"/>
            <w:bottom w:w="0" w:type="dxa"/>
            <w:right w:w="108" w:type="dxa"/>
          </w:tblCellMar>
        </w:tblPrEx>
        <w:trPr>
          <w:trHeight w:val="142" w:hRule="atLeast"/>
          <w:jc w:val="center"/>
        </w:trPr>
        <w:tc>
          <w:tcPr>
            <w:tcW w:w="1412" w:type="dxa"/>
            <w:gridSpan w:val="2"/>
            <w:tcBorders>
              <w:top w:val="nil"/>
              <w:left w:val="single" w:color="auto" w:sz="4" w:space="0"/>
              <w:bottom w:val="nil"/>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1.主体资格</w:t>
            </w: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p>
        </w:tc>
        <w:tc>
          <w:tcPr>
            <w:tcW w:w="5728" w:type="dxa"/>
            <w:tcBorders>
              <w:top w:val="nil"/>
              <w:left w:val="nil"/>
              <w:bottom w:val="single" w:color="auto"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贮存提供者持有的营业执照合法有效。</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8</w:t>
            </w:r>
          </w:p>
        </w:tc>
      </w:tr>
      <w:tr>
        <w:tblPrEx>
          <w:tblCellMar>
            <w:top w:w="0" w:type="dxa"/>
            <w:left w:w="108" w:type="dxa"/>
            <w:bottom w:w="0" w:type="dxa"/>
            <w:right w:w="108" w:type="dxa"/>
          </w:tblCellMar>
        </w:tblPrEx>
        <w:trPr>
          <w:trHeight w:val="543" w:hRule="atLeast"/>
          <w:jc w:val="center"/>
        </w:trPr>
        <w:tc>
          <w:tcPr>
            <w:tcW w:w="1412"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2.经营过程控制情况</w:t>
            </w: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2.1</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如实向所在地市场监管部门报告其名称、地址、法定代表人或者负责人姓名、营业执照或者身份证号码、联系方式以及所提供服务的销售者名称、贮存的食用农产品品种、数量等信息。</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653"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2.2</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建立并落实食用农产品进出货台帐制度，查验所提供服务的销售者的主体资质和食用农产品产地或者来源证明、合格证明文件，记录食用农产品的品名、产地、贮存日期、出货日期、销售者的名称或姓名、联系方式等。</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w:t>
            </w:r>
          </w:p>
        </w:tc>
      </w:tr>
      <w:tr>
        <w:tblPrEx>
          <w:tblCellMar>
            <w:top w:w="0" w:type="dxa"/>
            <w:left w:w="108" w:type="dxa"/>
            <w:bottom w:w="0" w:type="dxa"/>
            <w:right w:w="108" w:type="dxa"/>
          </w:tblCellMar>
        </w:tblPrEx>
        <w:trPr>
          <w:trHeight w:val="70"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2.3</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食用农产品的进出货台账和相关证明材料保存六个月以上。</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156"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2.4</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有保证贮存食用农产品质量安全的容器、工具和设备并保持清洁，防止污染。</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70"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2.5</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保证</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质量安全所需的温度、湿度和环境等特殊要求。</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70"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2.6</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不将</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与有毒、有害物品一同贮存。</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8</w:t>
            </w:r>
          </w:p>
        </w:tc>
      </w:tr>
      <w:tr>
        <w:tblPrEx>
          <w:tblCellMar>
            <w:top w:w="0" w:type="dxa"/>
            <w:left w:w="108" w:type="dxa"/>
            <w:bottom w:w="0" w:type="dxa"/>
            <w:right w:w="108" w:type="dxa"/>
          </w:tblCellMar>
        </w:tblPrEx>
        <w:trPr>
          <w:trHeight w:val="70"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2.7</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贮存肉类冻品查验并留存检疫合格证明、肉类检验合格证明等证明文件。</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130"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2.8</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贮存进口食用农产品查验并记录海关出具的入境货物检验检疫证明等证明文件。</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112"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2.9</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定期检查库存食用农产品。</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r>
      <w:tr>
        <w:tblPrEx>
          <w:tblCellMar>
            <w:top w:w="0" w:type="dxa"/>
            <w:left w:w="108" w:type="dxa"/>
            <w:bottom w:w="0" w:type="dxa"/>
            <w:right w:w="108" w:type="dxa"/>
          </w:tblCellMar>
        </w:tblPrEx>
        <w:trPr>
          <w:trHeight w:val="298" w:hRule="atLeast"/>
          <w:jc w:val="center"/>
        </w:trPr>
        <w:tc>
          <w:tcPr>
            <w:tcW w:w="141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798"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s="幼圆"/>
                <w:color w:val="000000" w:themeColor="text1"/>
                <w:kern w:val="0"/>
                <w:sz w:val="18"/>
                <w:szCs w:val="18"/>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2.10</w:t>
            </w:r>
          </w:p>
        </w:tc>
        <w:tc>
          <w:tcPr>
            <w:tcW w:w="5728" w:type="dxa"/>
            <w:tcBorders>
              <w:top w:val="nil"/>
              <w:left w:val="nil"/>
              <w:bottom w:val="single" w:color="auto" w:sz="4" w:space="0"/>
              <w:right w:val="single" w:color="auto" w:sz="4" w:space="0"/>
            </w:tcBorders>
            <w:noWrap w:val="0"/>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发现销售者有违法行为的，及时制止并立即报告所在地市场监管部门。</w:t>
            </w:r>
          </w:p>
        </w:tc>
        <w:tc>
          <w:tcPr>
            <w:tcW w:w="126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□是 □否</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□合理缺项</w:t>
            </w:r>
          </w:p>
        </w:tc>
        <w:tc>
          <w:tcPr>
            <w:tcW w:w="800" w:type="dxa"/>
            <w:tcBorders>
              <w:top w:val="nil"/>
              <w:left w:val="nil"/>
              <w:bottom w:val="single" w:color="auto" w:sz="4" w:space="0"/>
              <w:right w:val="single" w:color="auto" w:sz="4" w:space="0"/>
            </w:tcBorders>
            <w:noWrap w:val="0"/>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6</w:t>
            </w:r>
          </w:p>
        </w:tc>
      </w:tr>
      <w:tr>
        <w:tblPrEx>
          <w:tblCellMar>
            <w:top w:w="0" w:type="dxa"/>
            <w:left w:w="108" w:type="dxa"/>
            <w:bottom w:w="0" w:type="dxa"/>
            <w:right w:w="108" w:type="dxa"/>
          </w:tblCellMar>
        </w:tblPrEx>
        <w:trPr>
          <w:trHeight w:val="813" w:hRule="atLeast"/>
          <w:jc w:val="center"/>
        </w:trPr>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p>
          <w:p>
            <w:pPr>
              <w:widowControl/>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w:t>
            </w:r>
            <w:r>
              <w:rPr>
                <w:rFonts w:ascii="仿宋" w:hAnsi="仿宋" w:eastAsia="仿宋"/>
                <w:color w:val="000000" w:themeColor="text1"/>
                <w:kern w:val="0"/>
                <w:sz w:val="20"/>
                <w:szCs w:val="20"/>
                <w14:textFill>
                  <w14:solidFill>
                    <w14:schemeClr w14:val="tx1"/>
                  </w14:solidFill>
                </w14:textFill>
              </w:rPr>
              <w:t>60分）</w:t>
            </w:r>
          </w:p>
        </w:tc>
        <w:tc>
          <w:tcPr>
            <w:tcW w:w="8586"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1128" w:hRule="atLeast"/>
          <w:jc w:val="center"/>
        </w:trPr>
        <w:tc>
          <w:tcPr>
            <w:tcW w:w="9998" w:type="dxa"/>
            <w:gridSpan w:val="6"/>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其他需要记录的问题：</w:t>
            </w:r>
          </w:p>
        </w:tc>
      </w:tr>
      <w:tr>
        <w:tblPrEx>
          <w:tblCellMar>
            <w:top w:w="0" w:type="dxa"/>
            <w:left w:w="108" w:type="dxa"/>
            <w:bottom w:w="0" w:type="dxa"/>
            <w:right w:w="108" w:type="dxa"/>
          </w:tblCellMar>
        </w:tblPrEx>
        <w:trPr>
          <w:trHeight w:val="1128"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备</w:t>
            </w:r>
          </w:p>
          <w:p>
            <w:pPr>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注</w:t>
            </w:r>
          </w:p>
          <w:p>
            <w:pPr>
              <w:jc w:val="center"/>
              <w:rPr>
                <w:rFonts w:ascii="仿宋" w:hAnsi="仿宋" w:eastAsia="仿宋" w:cs="宋体"/>
                <w:color w:val="000000" w:themeColor="text1"/>
                <w:kern w:val="0"/>
                <w:sz w:val="18"/>
                <w:szCs w:val="18"/>
                <w14:textFill>
                  <w14:solidFill>
                    <w14:schemeClr w14:val="tx1"/>
                  </w14:solidFill>
                </w14:textFill>
              </w:rPr>
            </w:pPr>
          </w:p>
        </w:tc>
        <w:tc>
          <w:tcPr>
            <w:tcW w:w="8605" w:type="dxa"/>
            <w:gridSpan w:val="5"/>
            <w:tcBorders>
              <w:top w:val="single" w:color="auto" w:sz="4" w:space="0"/>
              <w:left w:val="single" w:color="auto" w:sz="4" w:space="0"/>
              <w:bottom w:val="single" w:color="auto" w:sz="4" w:space="0"/>
              <w:right w:val="single" w:color="auto" w:sz="4" w:space="0"/>
            </w:tcBorders>
            <w:noWrap w:val="0"/>
            <w:vAlign w:val="top"/>
          </w:tcPr>
          <w:p>
            <w:pPr>
              <w:ind w:left="200" w:hanging="200" w:hangingChars="100"/>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贮存服务提供者是指对外提供</w:t>
            </w:r>
            <w:r>
              <w:rPr>
                <w:rFonts w:hint="eastAsia" w:ascii="仿宋" w:hAnsi="仿宋" w:eastAsia="仿宋"/>
                <w:color w:val="000000" w:themeColor="text1"/>
                <w:kern w:val="0"/>
                <w:sz w:val="20"/>
                <w:szCs w:val="20"/>
                <w:lang w:eastAsia="zh-CN"/>
                <w14:textFill>
                  <w14:solidFill>
                    <w14:schemeClr w14:val="tx1"/>
                  </w14:solidFill>
                </w14:textFill>
              </w:rPr>
              <w:t>食品（食用农产品）</w:t>
            </w:r>
            <w:r>
              <w:rPr>
                <w:rFonts w:ascii="仿宋" w:hAnsi="仿宋" w:eastAsia="仿宋"/>
                <w:color w:val="000000" w:themeColor="text1"/>
                <w:kern w:val="0"/>
                <w:sz w:val="20"/>
                <w:szCs w:val="20"/>
                <w14:textFill>
                  <w14:solidFill>
                    <w14:schemeClr w14:val="tx1"/>
                  </w14:solidFill>
                </w14:textFill>
              </w:rPr>
              <w:t>存储服务的各类生产经营者。</w:t>
            </w:r>
          </w:p>
          <w:p>
            <w:pPr>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2.各评分总和为60分，选择“否”，得分，选择“是”或者“合理缺项”，不得分。</w:t>
            </w:r>
          </w:p>
          <w:p>
            <w:pPr>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r>
              <w:rPr>
                <w:rFonts w:hint="eastAsia" w:ascii="仿宋" w:hAnsi="仿宋" w:eastAsia="仿宋"/>
                <w:color w:val="000000" w:themeColor="text1"/>
                <w:kern w:val="0"/>
                <w:sz w:val="20"/>
                <w:szCs w:val="20"/>
                <w14:textFill>
                  <w14:solidFill>
                    <w14:schemeClr w14:val="tx1"/>
                  </w14:solidFill>
                </w14:textFill>
              </w:rPr>
              <w:t>日常监督检查共11</w:t>
            </w:r>
            <w:r>
              <w:rPr>
                <w:rFonts w:ascii="仿宋" w:hAnsi="仿宋" w:eastAsia="仿宋"/>
                <w:color w:val="000000" w:themeColor="text1"/>
                <w:kern w:val="0"/>
                <w:sz w:val="20"/>
                <w:szCs w:val="20"/>
                <w14:textFill>
                  <w14:solidFill>
                    <w14:schemeClr w14:val="tx1"/>
                  </w14:solidFill>
                </w14:textFill>
              </w:rPr>
              <w:t>项检查内容，重点项（检查序号中打★号项）</w:t>
            </w:r>
            <w:r>
              <w:rPr>
                <w:rFonts w:hint="eastAsia" w:ascii="仿宋" w:hAnsi="仿宋" w:eastAsia="仿宋"/>
                <w:color w:val="000000" w:themeColor="text1"/>
                <w:kern w:val="0"/>
                <w:sz w:val="20"/>
                <w:szCs w:val="20"/>
                <w14:textFill>
                  <w14:solidFill>
                    <w14:schemeClr w14:val="tx1"/>
                  </w14:solidFill>
                </w14:textFill>
              </w:rPr>
              <w:t>10</w:t>
            </w:r>
            <w:r>
              <w:rPr>
                <w:rFonts w:ascii="仿宋" w:hAnsi="仿宋" w:eastAsia="仿宋"/>
                <w:color w:val="000000" w:themeColor="text1"/>
                <w:kern w:val="0"/>
                <w:sz w:val="20"/>
                <w:szCs w:val="20"/>
                <w14:textFill>
                  <w14:solidFill>
                    <w14:schemeClr w14:val="tx1"/>
                  </w14:solidFill>
                </w14:textFill>
              </w:rPr>
              <w:t>项，一般项</w:t>
            </w: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项。</w:t>
            </w:r>
          </w:p>
          <w:p>
            <w:pPr>
              <w:ind w:left="200" w:hanging="200" w:hangingChars="100"/>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4.检查结果判定方法：①符合，检查中未发现问题；②基本符合，一般项1</w:t>
            </w:r>
            <w:r>
              <w:rPr>
                <w:rFonts w:ascii="仿宋" w:hAnsi="仿宋" w:eastAsia="仿宋"/>
                <w:color w:val="000000" w:themeColor="text1"/>
                <w:kern w:val="0"/>
                <w:sz w:val="20"/>
                <w:szCs w:val="20"/>
                <w14:textFill>
                  <w14:solidFill>
                    <w14:schemeClr w14:val="tx1"/>
                  </w14:solidFill>
                </w14:textFill>
              </w:rPr>
              <w:t>项不合格；③不符合，重点项1项（含）以上不合格。</w:t>
            </w:r>
          </w:p>
        </w:tc>
      </w:tr>
    </w:tbl>
    <w:p>
      <w:pPr>
        <w:rPr>
          <w:color w:val="000000" w:themeColor="text1"/>
          <w14:textFill>
            <w14:solidFill>
              <w14:schemeClr w14:val="tx1"/>
            </w14:solidFill>
          </w14:textFill>
        </w:rPr>
      </w:pPr>
    </w:p>
    <w:p>
      <w:pPr>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p>
      <w:pPr>
        <w:widowControl/>
        <w:shd w:val="clear" w:color="auto" w:fill="FFFFFF"/>
        <w:spacing w:line="400" w:lineRule="exact"/>
        <w:jc w:val="left"/>
        <w:rPr>
          <w:rFonts w:hint="default"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20</w:t>
      </w:r>
    </w:p>
    <w:p>
      <w:pPr>
        <w:spacing w:line="400" w:lineRule="exact"/>
        <w:jc w:val="center"/>
        <w:rPr>
          <w:rFonts w:ascii="方正小标宋简体" w:hAnsi="仿宋" w:eastAsia="方正小标宋简体"/>
          <w:bCs/>
          <w:color w:val="000000" w:themeColor="text1"/>
          <w:sz w:val="32"/>
          <w:szCs w:val="32"/>
          <w14:textFill>
            <w14:solidFill>
              <w14:schemeClr w14:val="tx1"/>
            </w14:solidFill>
          </w14:textFill>
        </w:rPr>
      </w:pPr>
      <w:r>
        <w:rPr>
          <w:rFonts w:hint="eastAsia" w:ascii="方正小标宋简体" w:hAnsi="仿宋" w:eastAsia="方正小标宋简体"/>
          <w:bCs/>
          <w:color w:val="000000" w:themeColor="text1"/>
          <w:sz w:val="32"/>
          <w:szCs w:val="32"/>
          <w:lang w:eastAsia="zh-CN"/>
          <w14:textFill>
            <w14:solidFill>
              <w14:schemeClr w14:val="tx1"/>
            </w14:solidFill>
          </w14:textFill>
        </w:rPr>
        <w:t>小餐饮</w:t>
      </w:r>
      <w:r>
        <w:rPr>
          <w:rFonts w:hint="eastAsia" w:ascii="方正小标宋简体" w:hAnsi="仿宋" w:eastAsia="方正小标宋简体"/>
          <w:bCs/>
          <w:color w:val="000000" w:themeColor="text1"/>
          <w:sz w:val="32"/>
          <w:szCs w:val="32"/>
          <w14:textFill>
            <w14:solidFill>
              <w14:schemeClr w14:val="tx1"/>
            </w14:solidFill>
          </w14:textFill>
        </w:rPr>
        <w:t>经营者动态风险因素量化分值表</w:t>
      </w:r>
    </w:p>
    <w:p>
      <w:pPr>
        <w:spacing w:line="400" w:lineRule="exact"/>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w:t>
      </w:r>
      <w:r>
        <w:rPr>
          <w:rFonts w:hint="eastAsia" w:ascii="方正小标宋简体" w:hAnsi="仿宋" w:eastAsia="方正小标宋简体"/>
          <w:color w:val="000000" w:themeColor="text1"/>
          <w:kern w:val="0"/>
          <w:sz w:val="32"/>
          <w:szCs w:val="32"/>
          <w:lang w:eastAsia="zh-CN"/>
          <w14:textFill>
            <w14:solidFill>
              <w14:schemeClr w14:val="tx1"/>
            </w14:solidFill>
          </w14:textFill>
        </w:rPr>
        <w:t>小餐饮</w:t>
      </w:r>
      <w:r>
        <w:rPr>
          <w:rFonts w:hint="eastAsia" w:ascii="方正小标宋简体" w:hAnsi="仿宋" w:eastAsia="方正小标宋简体"/>
          <w:color w:val="000000" w:themeColor="text1"/>
          <w:kern w:val="0"/>
          <w:sz w:val="32"/>
          <w:szCs w:val="32"/>
          <w14:textFill>
            <w14:solidFill>
              <w14:schemeClr w14:val="tx1"/>
            </w14:solidFill>
          </w14:textFill>
        </w:rPr>
        <w:t>经营者日常监督检查要点表）</w:t>
      </w:r>
    </w:p>
    <w:p>
      <w:pPr>
        <w:rPr>
          <w:rFonts w:ascii="仿宋" w:hAnsi="仿宋" w:eastAsia="仿宋"/>
          <w:bCs/>
          <w:color w:val="000000" w:themeColor="text1"/>
          <w:szCs w:val="21"/>
          <w14:textFill>
            <w14:solidFill>
              <w14:schemeClr w14:val="tx1"/>
            </w14:solidFill>
          </w14:textFill>
        </w:rPr>
      </w:pPr>
    </w:p>
    <w:p>
      <w:pPr>
        <w:widowControl/>
        <w:shd w:val="clear" w:color="auto" w:fill="FFFFFF"/>
        <w:spacing w:line="320" w:lineRule="exact"/>
        <w:jc w:val="left"/>
        <w:rPr>
          <w:rFonts w:hint="eastAsia"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bl>
      <w:tblPr>
        <w:tblStyle w:val="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134"/>
        <w:gridCol w:w="851"/>
        <w:gridCol w:w="4961"/>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 w:hRule="atLeast"/>
          <w:tblHeader/>
        </w:trPr>
        <w:tc>
          <w:tcPr>
            <w:tcW w:w="1134" w:type="dxa"/>
            <w:noWrap w:val="0"/>
            <w:vAlign w:val="center"/>
          </w:tcPr>
          <w:p>
            <w:pPr>
              <w:spacing w:line="240" w:lineRule="exac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检查</w:t>
            </w:r>
          </w:p>
          <w:p>
            <w:pPr>
              <w:spacing w:line="240" w:lineRule="exac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项目</w:t>
            </w:r>
          </w:p>
        </w:tc>
        <w:tc>
          <w:tcPr>
            <w:tcW w:w="851" w:type="dxa"/>
            <w:noWrap w:val="0"/>
            <w:vAlign w:val="center"/>
          </w:tcPr>
          <w:p>
            <w:pPr>
              <w:spacing w:line="240" w:lineRule="exac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检查</w:t>
            </w:r>
          </w:p>
          <w:p>
            <w:pPr>
              <w:spacing w:line="240" w:lineRule="exac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序号</w:t>
            </w:r>
          </w:p>
        </w:tc>
        <w:tc>
          <w:tcPr>
            <w:tcW w:w="4961" w:type="dxa"/>
            <w:noWrap w:val="0"/>
            <w:vAlign w:val="center"/>
          </w:tcPr>
          <w:p>
            <w:pPr>
              <w:spacing w:line="240" w:lineRule="exact"/>
              <w:jc w:val="both"/>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检查内容</w:t>
            </w:r>
          </w:p>
        </w:tc>
        <w:tc>
          <w:tcPr>
            <w:tcW w:w="1276" w:type="dxa"/>
            <w:noWrap w:val="0"/>
            <w:vAlign w:val="center"/>
          </w:tcPr>
          <w:p>
            <w:pPr>
              <w:spacing w:line="240" w:lineRule="exac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检查结果</w:t>
            </w:r>
          </w:p>
        </w:tc>
        <w:tc>
          <w:tcPr>
            <w:tcW w:w="709" w:type="dxa"/>
            <w:noWrap w:val="0"/>
            <w:vAlign w:val="center"/>
          </w:tcPr>
          <w:p>
            <w:pPr>
              <w:spacing w:line="240" w:lineRule="exact"/>
              <w:jc w:val="center"/>
              <w:rPr>
                <w:rFonts w:ascii="仿宋" w:hAnsi="仿宋" w:eastAsia="仿宋"/>
                <w:b/>
                <w:bCs/>
                <w:color w:val="000000" w:themeColor="text1"/>
                <w:sz w:val="21"/>
                <w:szCs w:val="21"/>
                <w14:textFill>
                  <w14:solidFill>
                    <w14:schemeClr w14:val="tx1"/>
                  </w14:solidFill>
                </w14:textFill>
              </w:rPr>
            </w:pPr>
            <w:r>
              <w:rPr>
                <w:rFonts w:hint="eastAsia" w:ascii="仿宋" w:hAnsi="仿宋" w:eastAsia="仿宋"/>
                <w:b/>
                <w:bCs/>
                <w:color w:val="000000" w:themeColor="text1"/>
                <w:sz w:val="2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登记证</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小餐饮登记证（或小餐饮备案卡）</w:t>
            </w:r>
            <w:r>
              <w:rPr>
                <w:rFonts w:hint="eastAsia" w:ascii="仿宋_GB2312" w:hAnsi="仿宋_GB2312" w:eastAsia="仿宋_GB2312" w:cs="仿宋_GB2312"/>
                <w:color w:val="000000" w:themeColor="text1"/>
                <w:szCs w:val="21"/>
                <w14:textFill>
                  <w14:solidFill>
                    <w14:schemeClr w14:val="tx1"/>
                  </w14:solidFill>
                </w14:textFill>
              </w:rPr>
              <w:t>合法有效</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经营地址、经营项目与</w:t>
            </w:r>
            <w:r>
              <w:rPr>
                <w:rFonts w:hint="eastAsia" w:ascii="仿宋_GB2312" w:hAnsi="仿宋_GB2312" w:eastAsia="仿宋_GB2312" w:cs="仿宋_GB2312"/>
                <w:color w:val="000000" w:themeColor="text1"/>
                <w:szCs w:val="21"/>
                <w:lang w:eastAsia="zh-CN"/>
                <w14:textFill>
                  <w14:solidFill>
                    <w14:schemeClr w14:val="tx1"/>
                  </w14:solidFill>
                </w14:textFill>
              </w:rPr>
              <w:t>小餐饮登记证（或小餐饮备案卡）</w:t>
            </w:r>
            <w:r>
              <w:rPr>
                <w:rFonts w:hint="eastAsia" w:ascii="仿宋_GB2312" w:hAnsi="仿宋_GB2312" w:eastAsia="仿宋_GB2312" w:cs="仿宋_GB2312"/>
                <w:color w:val="000000" w:themeColor="text1"/>
                <w:szCs w:val="21"/>
                <w14:textFill>
                  <w14:solidFill>
                    <w14:schemeClr w14:val="tx1"/>
                  </w14:solidFill>
                </w14:textFill>
              </w:rPr>
              <w:t>一致。</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信息公示</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★2.1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在经营场所醒目位置公示小餐饮登记证（或小餐饮备案卡）、上一次日常监督检查结果记录表、食品从业人员健康证明。</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★2.1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公示食品添加剂使用情况。</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原料控制</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★3.1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查验供货者的许可证、登记证、备案卡和食品质量安全合格证明</w:t>
            </w:r>
            <w:r>
              <w:rPr>
                <w:rFonts w:hint="eastAsia" w:hAnsi="仿宋_GB2312" w:cs="仿宋_GB2312"/>
                <w:color w:val="000000" w:themeColor="text1"/>
                <w:szCs w:val="21"/>
                <w:lang w:eastAsia="zh-CN"/>
                <w14:textFill>
                  <w14:solidFill>
                    <w14:schemeClr w14:val="tx1"/>
                  </w14:solidFill>
                </w14:textFill>
              </w:rPr>
              <w:t>，具有完整进货查验记录，</w:t>
            </w:r>
            <w:r>
              <w:rPr>
                <w:rFonts w:hint="eastAsia" w:ascii="仿宋_GB2312" w:hAnsi="仿宋_GB2312" w:eastAsia="仿宋_GB2312" w:cs="仿宋_GB2312"/>
                <w:color w:val="000000" w:themeColor="text1"/>
                <w:szCs w:val="21"/>
                <w:lang w:eastAsia="zh-CN"/>
                <w14:textFill>
                  <w14:solidFill>
                    <w14:schemeClr w14:val="tx1"/>
                  </w14:solidFill>
                </w14:textFill>
              </w:rPr>
              <w:t>并按规定保存相关凭证。</w:t>
            </w:r>
          </w:p>
        </w:tc>
        <w:tc>
          <w:tcPr>
            <w:tcW w:w="1276"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原料外包装标识符合要求，按照外包装标识的条件和要求规范贮存，并定期检查，及时清理变质或者超过保质期的食品。</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食品具有正常的感官性状，无超过保质期、无腐败变质等异常情形。</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食品加工用水符合生活饮用水卫生标准。加工制作现榨果蔬汁和食用冰等直接入口食品的用水安装净水设施或使用煮沸冷却后的生活饮用水。</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食品添加剂使用管理符合有关要求。</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卫生状况</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r>
              <w:rPr>
                <w:rFonts w:hint="eastAsia" w:ascii="仿宋_GB2312" w:hAnsi="仿宋_GB2312" w:eastAsia="仿宋_GB2312" w:cs="仿宋_GB2312"/>
                <w:color w:val="000000" w:themeColor="text1"/>
                <w:szCs w:val="21"/>
                <w:lang w:eastAsia="zh-CN"/>
                <w14:textFill>
                  <w14:solidFill>
                    <w14:schemeClr w14:val="tx1"/>
                  </w14:solidFill>
                </w14:textFill>
              </w:rPr>
              <w:t>.1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加工经营场所整洁，墙壁、天花板、门窗、地面、排水沟、操作台、食品加工用具等无破损、霉斑、积油、积水、污垢等可能影响食品安全的情形。防尘、防蝇、防鼠、防虫设施符合要求，无有害生物活动迹象。</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烹饪场所配置排风设备，定期清洁;用餐场所通风良好。</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4</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卫生间设置合理，保持清洁卫生，定期清理。</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从业人员穿戴清洁的工作衣帽，双手清洁，个人卫生符合要求。</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过程控制</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r>
              <w:rPr>
                <w:rFonts w:hint="eastAsia" w:ascii="仿宋_GB2312" w:hAnsi="仿宋_GB2312" w:eastAsia="仿宋_GB2312" w:cs="仿宋_GB2312"/>
                <w:color w:val="000000" w:themeColor="text1"/>
                <w:szCs w:val="21"/>
                <w:lang w:eastAsia="zh-CN"/>
                <w14:textFill>
                  <w14:solidFill>
                    <w14:schemeClr w14:val="tx1"/>
                  </w14:solidFill>
                </w14:textFill>
              </w:rPr>
              <w:t>.1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食品原料、半成品与成品在盛放、贮存时相互分开。</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制作食品的设施设备及加工工具、容器等区分使用。</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5</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有毒有害物质不得与食品一同贮存、运输。</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设施设备维护</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lang w:eastAsia="zh-CN"/>
                <w14:textFill>
                  <w14:solidFill>
                    <w14:schemeClr w14:val="tx1"/>
                  </w14:solidFill>
                </w14:textFill>
              </w:rPr>
              <w:t>.1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食品处理区配备带盖的餐厨废弃物存放容器。</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食品加工、贮存、陈列等设施设备运转正常，并保持清洁。</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餐饮具清洗消毒</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集中消毒餐具、饮具的采购符合要求。</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具有餐具、饮具的清洗、消毒、保洁设备设施，并运转正常。</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6</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餐具、饮具和盛放直接入口食品的容器用后洗净、消毒，炊具、用具用后洗净，保持清洁。</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sym w:font="Wingdings 2" w:char="00A3"/>
            </w: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野生动物</w:t>
            </w:r>
          </w:p>
          <w:p>
            <w:pPr>
              <w:spacing w:line="240" w:lineRule="exact"/>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保护</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7</w:t>
            </w:r>
            <w:r>
              <w:rPr>
                <w:rFonts w:hint="eastAsia" w:ascii="仿宋_GB2312" w:hAnsi="仿宋_GB2312" w:eastAsia="仿宋_GB2312" w:cs="仿宋_GB2312"/>
                <w:color w:val="000000" w:themeColor="text1"/>
                <w:szCs w:val="21"/>
                <w:lang w:eastAsia="zh-CN"/>
                <w14:textFill>
                  <w14:solidFill>
                    <w14:schemeClr w14:val="tx1"/>
                  </w14:solidFill>
                </w14:textFill>
              </w:rPr>
              <w:t>.1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招牌、菜谱中不含禁止食用的野生动物及其制品的名称、别称、图案，不经营利用禁止食用的野生动物及其制品制作的食品。</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restart"/>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网络餐饮服务要求</w:t>
            </w: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.1</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入网餐饮服务经营者登记证标注网络经营。</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2</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入网餐饮服务经营者在经营活动主页面如实公示名称、地址、登记证等信息。</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3</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入网餐饮服务经营者在网上如实公示菜品名称和主要原料名称。</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4</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平台配送订单的餐饮服务经营者名称、地址与线下实体店名称、地址一致。</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5</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入网餐饮服务经营者对送餐人员培训管理符合要求。</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6</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入网餐饮服务经营者对餐饮外卖配送人员、箱（包）、过程等符合要求。</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vMerge w:val="continue"/>
            <w:noWrap w:val="0"/>
            <w:vAlign w:val="center"/>
          </w:tcPr>
          <w:p>
            <w:pPr>
              <w:spacing w:line="240" w:lineRule="exact"/>
              <w:rPr>
                <w:rFonts w:hint="eastAsia" w:ascii="仿宋_GB2312" w:hAnsi="仿宋_GB2312" w:eastAsia="仿宋_GB2312" w:cs="仿宋_GB2312"/>
                <w:color w:val="000000" w:themeColor="text1"/>
                <w:szCs w:val="21"/>
                <w:lang w:eastAsia="zh-CN"/>
                <w14:textFill>
                  <w14:solidFill>
                    <w14:schemeClr w14:val="tx1"/>
                  </w14:solidFill>
                </w14:textFill>
              </w:rPr>
            </w:pPr>
          </w:p>
        </w:tc>
        <w:tc>
          <w:tcPr>
            <w:tcW w:w="851" w:type="dxa"/>
            <w:noWrap w:val="0"/>
            <w:vAlign w:val="center"/>
          </w:tcPr>
          <w:p>
            <w:pPr>
              <w:spacing w:line="240" w:lineRule="exact"/>
              <w:jc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东文宋体" w:hAnsi="东文宋体" w:eastAsia="东文宋体" w:cs="东文宋体"/>
                <w:color w:val="000000" w:themeColor="text1"/>
                <w:szCs w:val="21"/>
                <w:lang w:val="en-US"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8</w:t>
            </w:r>
            <w:r>
              <w:rPr>
                <w:rFonts w:hint="eastAsia" w:ascii="仿宋_GB2312" w:hAnsi="仿宋_GB2312" w:eastAsia="仿宋_GB2312" w:cs="仿宋_GB2312"/>
                <w:color w:val="000000" w:themeColor="text1"/>
                <w:szCs w:val="21"/>
                <w:lang w:eastAsia="zh-CN"/>
                <w14:textFill>
                  <w14:solidFill>
                    <w14:schemeClr w14:val="tx1"/>
                  </w14:solidFill>
                </w14:textFill>
              </w:rPr>
              <w:t>.</w:t>
            </w:r>
            <w:r>
              <w:rPr>
                <w:rFonts w:hint="eastAsia" w:ascii="仿宋_GB2312" w:hAnsi="仿宋_GB2312" w:eastAsia="仿宋_GB2312" w:cs="仿宋_GB2312"/>
                <w:color w:val="000000" w:themeColor="text1"/>
                <w:szCs w:val="21"/>
                <w:lang w:val="en-US" w:eastAsia="zh-CN"/>
                <w14:textFill>
                  <w14:solidFill>
                    <w14:schemeClr w14:val="tx1"/>
                  </w14:solidFill>
                </w14:textFill>
              </w:rPr>
              <w:t>7</w:t>
            </w:r>
          </w:p>
        </w:tc>
        <w:tc>
          <w:tcPr>
            <w:tcW w:w="4961" w:type="dxa"/>
            <w:noWrap w:val="0"/>
            <w:vAlign w:val="center"/>
          </w:tcPr>
          <w:p>
            <w:pPr>
              <w:spacing w:line="240" w:lineRule="exact"/>
              <w:jc w:val="both"/>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入网餐饮服务经营者对外卖食品盛放容器或者包装进行封签。</w:t>
            </w:r>
          </w:p>
        </w:tc>
        <w:tc>
          <w:tcPr>
            <w:tcW w:w="1276"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□是□否</w:t>
            </w:r>
          </w:p>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□合理缺项</w:t>
            </w:r>
          </w:p>
        </w:tc>
        <w:tc>
          <w:tcPr>
            <w:tcW w:w="70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985" w:type="dxa"/>
            <w:gridSpan w:val="2"/>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得分总和（60分）</w:t>
            </w:r>
          </w:p>
        </w:tc>
        <w:tc>
          <w:tcPr>
            <w:tcW w:w="6946" w:type="dxa"/>
            <w:gridSpan w:val="3"/>
            <w:noWrap w:val="0"/>
            <w:vAlign w:val="center"/>
          </w:tcPr>
          <w:p>
            <w:pPr>
              <w:spacing w:line="240" w:lineRule="exact"/>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0" w:hRule="atLeast"/>
        </w:trPr>
        <w:tc>
          <w:tcPr>
            <w:tcW w:w="1134" w:type="dxa"/>
            <w:noWrap w:val="0"/>
            <w:vAlign w:val="center"/>
          </w:tcPr>
          <w:p>
            <w:pPr>
              <w:spacing w:line="240" w:lineRule="exact"/>
              <w:jc w:val="center"/>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备注</w:t>
            </w:r>
          </w:p>
        </w:tc>
        <w:tc>
          <w:tcPr>
            <w:tcW w:w="7797" w:type="dxa"/>
            <w:gridSpan w:val="4"/>
            <w:noWrap w:val="0"/>
            <w:vAlign w:val="center"/>
          </w:tcPr>
          <w:p>
            <w:pPr>
              <w:spacing w:line="240" w:lineRule="exact"/>
              <w:ind w:left="210" w:hanging="210" w:hangingChars="100"/>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1.采取风险加分方式进行打分，检查结果为“否”的进行风险分数累加，检查结果“是”或者“合理缺项”的不加分，总分为60分。</w:t>
            </w:r>
          </w:p>
          <w:p>
            <w:pPr>
              <w:spacing w:line="240" w:lineRule="exact"/>
              <w:ind w:left="210" w:hanging="210" w:hangingChars="100"/>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.日常监督检查共</w:t>
            </w:r>
            <w:r>
              <w:rPr>
                <w:rFonts w:hint="eastAsia" w:hAnsi="仿宋_GB2312" w:cs="仿宋_GB2312"/>
                <w:color w:val="000000" w:themeColor="text1"/>
                <w:sz w:val="21"/>
                <w:szCs w:val="21"/>
                <w:lang w:val="en-US" w:eastAsia="zh-CN"/>
                <w14:textFill>
                  <w14:solidFill>
                    <w14:schemeClr w14:val="tx1"/>
                  </w14:solidFill>
                </w14:textFill>
              </w:rPr>
              <w:t>29</w:t>
            </w:r>
            <w:r>
              <w:rPr>
                <w:rFonts w:hint="eastAsia" w:ascii="仿宋_GB2312" w:hAnsi="仿宋_GB2312" w:eastAsia="仿宋_GB2312" w:cs="仿宋_GB2312"/>
                <w:color w:val="000000" w:themeColor="text1"/>
                <w:sz w:val="21"/>
                <w:szCs w:val="21"/>
                <w14:textFill>
                  <w14:solidFill>
                    <w14:schemeClr w14:val="tx1"/>
                  </w14:solidFill>
                </w14:textFill>
              </w:rPr>
              <w:t>项检查内容，其中重点项（检查序号中打★号项）2</w:t>
            </w:r>
            <w:r>
              <w:rPr>
                <w:rFonts w:hint="eastAsia" w:hAnsi="仿宋_GB2312" w:cs="仿宋_GB2312"/>
                <w:color w:val="000000" w:themeColor="text1"/>
                <w:sz w:val="21"/>
                <w:szCs w:val="21"/>
                <w:lang w:val="en-US" w:eastAsia="zh-CN"/>
                <w14:textFill>
                  <w14:solidFill>
                    <w14:schemeClr w14:val="tx1"/>
                  </w14:solidFill>
                </w14:textFill>
              </w:rPr>
              <w:t>0</w:t>
            </w:r>
            <w:r>
              <w:rPr>
                <w:rFonts w:hint="eastAsia" w:ascii="仿宋_GB2312" w:hAnsi="仿宋_GB2312" w:eastAsia="仿宋_GB2312" w:cs="仿宋_GB2312"/>
                <w:color w:val="000000" w:themeColor="text1"/>
                <w:sz w:val="21"/>
                <w:szCs w:val="21"/>
                <w14:textFill>
                  <w14:solidFill>
                    <w14:schemeClr w14:val="tx1"/>
                  </w14:solidFill>
                </w14:textFill>
              </w:rPr>
              <w:t>项，鼓励项（检查序号中打☆号项）1项，一般项</w:t>
            </w:r>
            <w:r>
              <w:rPr>
                <w:rFonts w:hint="eastAsia" w:hAnsi="仿宋_GB2312" w:cs="仿宋_GB2312"/>
                <w:color w:val="000000" w:themeColor="text1"/>
                <w:sz w:val="21"/>
                <w:szCs w:val="21"/>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14:textFill>
                  <w14:solidFill>
                    <w14:schemeClr w14:val="tx1"/>
                  </w14:solidFill>
                </w14:textFill>
              </w:rPr>
              <w:t>项。</w:t>
            </w:r>
          </w:p>
          <w:p>
            <w:pPr>
              <w:widowControl/>
              <w:spacing w:line="240" w:lineRule="exact"/>
              <w:ind w:left="210" w:hanging="210" w:hangingChars="100"/>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14:textFill>
                  <w14:solidFill>
                    <w14:schemeClr w14:val="tx1"/>
                  </w14:solidFill>
                </w14:textFill>
              </w:rPr>
              <w:t>.检查结果判定方法：①符合，检查中未发现问题；②基本符合，未发现检查的重点项不合格，且70%≤一般项合格率＜100%；③不符合，重点项存在1项及以上不合格，或一般项合格率＜70%。</w:t>
            </w:r>
          </w:p>
          <w:p>
            <w:pPr>
              <w:spacing w:line="240" w:lineRule="exact"/>
              <w:ind w:left="210" w:hanging="210" w:hangingChars="100"/>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14:textFill>
                  <w14:solidFill>
                    <w14:schemeClr w14:val="tx1"/>
                  </w14:solidFill>
                </w14:textFill>
              </w:rPr>
              <w:t>.存在合理缺项时，一般项合格率的计算方法为：合格项目数/（检查项目数－合理缺项数）×100%。</w:t>
            </w:r>
          </w:p>
        </w:tc>
      </w:tr>
    </w:tbl>
    <w:p>
      <w:pPr>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p>
    <w:p>
      <w:pPr>
        <w:pStyle w:val="2"/>
        <w:rPr>
          <w:rFonts w:hint="default"/>
          <w:color w:val="000000" w:themeColor="text1"/>
          <w:lang w:val="en" w:eastAsia="zh-CN"/>
          <w14:textFill>
            <w14:solidFill>
              <w14:schemeClr w14:val="tx1"/>
            </w14:solidFill>
          </w14:textFill>
        </w:rPr>
      </w:pPr>
    </w:p>
    <w:p>
      <w:pPr>
        <w:framePr w:w="10066" w:hSpace="180" w:wrap="around" w:vAnchor="page" w:hAnchor="page" w:x="946" w:y="991"/>
        <w:spacing w:line="360" w:lineRule="exact"/>
        <w:ind w:firstLine="640" w:firstLineChars="200"/>
        <w:jc w:val="lef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21</w:t>
      </w:r>
    </w:p>
    <w:p>
      <w:pPr>
        <w:framePr w:w="10066" w:hSpace="180" w:wrap="around" w:vAnchor="page" w:hAnchor="page" w:x="946" w:y="991"/>
        <w:spacing w:line="360" w:lineRule="exact"/>
        <w:jc w:val="cente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pPr>
      <w: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t>现场制售食品小摊点</w:t>
      </w:r>
      <w:r>
        <w:rPr>
          <w:rFonts w:hint="eastAsia" w:ascii="方正小标宋简体" w:hAnsi="仿宋" w:eastAsia="方正小标宋简体" w:cs="仿宋"/>
          <w:color w:val="000000" w:themeColor="text1"/>
          <w:kern w:val="0"/>
          <w:sz w:val="32"/>
          <w:szCs w:val="32"/>
          <w14:textFill>
            <w14:solidFill>
              <w14:schemeClr w14:val="tx1"/>
            </w14:solidFill>
          </w14:textFill>
        </w:rPr>
        <w:t>动态风险因素量化分值表</w:t>
      </w:r>
    </w:p>
    <w:p>
      <w:pPr>
        <w:framePr w:w="10066" w:hSpace="180" w:wrap="around" w:vAnchor="page" w:hAnchor="page" w:x="946" w:y="991"/>
        <w:spacing w:line="360" w:lineRule="exact"/>
        <w:jc w:val="center"/>
        <w:rPr>
          <w:rFonts w:ascii="方正小标宋简体" w:hAnsi="仿宋" w:eastAsia="方正小标宋简体" w:cs="仿宋"/>
          <w:color w:val="000000" w:themeColor="text1"/>
          <w:kern w:val="0"/>
          <w:sz w:val="32"/>
          <w:szCs w:val="32"/>
          <w14:textFill>
            <w14:solidFill>
              <w14:schemeClr w14:val="tx1"/>
            </w14:solidFill>
          </w14:textFill>
        </w:rPr>
      </w:pPr>
      <w:r>
        <w:rPr>
          <w:rFonts w:hint="eastAsia" w:ascii="方正小标宋简体" w:hAnsi="仿宋" w:eastAsia="方正小标宋简体" w:cs="仿宋"/>
          <w:color w:val="000000" w:themeColor="text1"/>
          <w:kern w:val="0"/>
          <w:sz w:val="32"/>
          <w:szCs w:val="32"/>
          <w14:textFill>
            <w14:solidFill>
              <w14:schemeClr w14:val="tx1"/>
            </w14:solidFill>
          </w14:textFill>
        </w:rPr>
        <w:t>（</w:t>
      </w:r>
      <w: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t>现场制售食品小摊点</w:t>
      </w:r>
      <w:r>
        <w:rPr>
          <w:rFonts w:hint="eastAsia" w:ascii="方正小标宋简体" w:hAnsi="仿宋" w:eastAsia="方正小标宋简体" w:cs="仿宋"/>
          <w:color w:val="000000" w:themeColor="text1"/>
          <w:kern w:val="0"/>
          <w:sz w:val="32"/>
          <w:szCs w:val="32"/>
          <w14:textFill>
            <w14:solidFill>
              <w14:schemeClr w14:val="tx1"/>
            </w14:solidFill>
          </w14:textFill>
        </w:rPr>
        <w:t>日常监督检查要点表）</w:t>
      </w:r>
    </w:p>
    <w:p>
      <w:pPr>
        <w:framePr w:w="10066" w:hSpace="180" w:wrap="around" w:vAnchor="page" w:hAnchor="page" w:x="946" w:y="991"/>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bl>
      <w:tblPr>
        <w:tblStyle w:val="7"/>
        <w:tblpPr w:leftFromText="180" w:rightFromText="180" w:vertAnchor="page" w:horzAnchor="margin" w:tblpXSpec="center" w:tblpY="2401"/>
        <w:tblW w:w="10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936"/>
        <w:gridCol w:w="992"/>
        <w:gridCol w:w="6521"/>
        <w:gridCol w:w="1333"/>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3"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项目</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序号</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检查内容</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检查结果</w:t>
            </w:r>
          </w:p>
        </w:tc>
        <w:tc>
          <w:tcPr>
            <w:tcW w:w="62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24"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公示</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醒目位置公示食品</w:t>
            </w:r>
            <w:r>
              <w:rPr>
                <w:rFonts w:hint="eastAsia" w:ascii="仿宋" w:hAnsi="仿宋" w:eastAsia="仿宋" w:cs="仿宋"/>
                <w:color w:val="000000" w:themeColor="text1"/>
                <w:szCs w:val="21"/>
                <w:lang w:eastAsia="zh-CN"/>
                <w14:textFill>
                  <w14:solidFill>
                    <w14:schemeClr w14:val="tx1"/>
                  </w14:solidFill>
                </w14:textFill>
              </w:rPr>
              <w:t>小摊点备案卡</w:t>
            </w:r>
            <w:r>
              <w:rPr>
                <w:rFonts w:hint="eastAsia" w:ascii="仿宋" w:hAnsi="仿宋" w:eastAsia="仿宋" w:cs="仿宋"/>
                <w:color w:val="000000" w:themeColor="text1"/>
                <w:szCs w:val="21"/>
                <w14:textFill>
                  <w14:solidFill>
                    <w14:schemeClr w14:val="tx1"/>
                  </w14:solidFill>
                </w14:textFill>
              </w:rPr>
              <w:t>、上一次日常监督检查结果记录表、食品从业人员健康证明。</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经营</w:t>
            </w:r>
          </w:p>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资质</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w:t>
            </w:r>
            <w:r>
              <w:rPr>
                <w:rFonts w:hint="eastAsia" w:ascii="仿宋" w:hAnsi="仿宋" w:eastAsia="仿宋" w:cs="仿宋"/>
                <w:color w:val="000000" w:themeColor="text1"/>
                <w:szCs w:val="21"/>
                <w:lang w:eastAsia="zh-CN"/>
                <w14:textFill>
                  <w14:solidFill>
                    <w14:schemeClr w14:val="tx1"/>
                  </w14:solidFill>
                </w14:textFill>
              </w:rPr>
              <w:t>小摊点</w:t>
            </w:r>
            <w:r>
              <w:rPr>
                <w:rFonts w:hint="eastAsia" w:ascii="仿宋" w:hAnsi="仿宋" w:eastAsia="仿宋" w:cs="仿宋"/>
                <w:color w:val="000000" w:themeColor="text1"/>
                <w:szCs w:val="21"/>
                <w14:textFill>
                  <w14:solidFill>
                    <w14:schemeClr w14:val="tx1"/>
                  </w14:solidFill>
                </w14:textFill>
              </w:rPr>
              <w:t>备案合法有效，限时限地、经营</w:t>
            </w:r>
            <w:r>
              <w:rPr>
                <w:rFonts w:hint="eastAsia" w:ascii="仿宋" w:hAnsi="仿宋" w:eastAsia="仿宋" w:cs="仿宋"/>
                <w:color w:val="000000" w:themeColor="text1"/>
                <w:szCs w:val="21"/>
                <w:lang w:eastAsia="zh-CN"/>
                <w14:textFill>
                  <w14:solidFill>
                    <w14:schemeClr w14:val="tx1"/>
                  </w14:solidFill>
                </w14:textFill>
              </w:rPr>
              <w:t>项目</w:t>
            </w:r>
            <w:r>
              <w:rPr>
                <w:rFonts w:hint="eastAsia" w:ascii="仿宋" w:hAnsi="仿宋" w:eastAsia="仿宋" w:cs="仿宋"/>
                <w:color w:val="000000" w:themeColor="text1"/>
                <w:szCs w:val="21"/>
                <w14:textFill>
                  <w14:solidFill>
                    <w14:schemeClr w14:val="tx1"/>
                  </w14:solidFill>
                </w14:textFill>
              </w:rPr>
              <w:t>等事项是否与备案一致，不存在提供网络餐饮服务情形。</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 w:hAnsi="仿宋" w:eastAsia="仿宋" w:cs="宋体"/>
                <w:color w:val="000000" w:themeColor="text1"/>
                <w:szCs w:val="21"/>
                <w:lang w:eastAsia="zh-CN"/>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44" w:hRule="atLeast"/>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场所</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卫生</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3.1</w:t>
            </w:r>
          </w:p>
        </w:tc>
        <w:tc>
          <w:tcPr>
            <w:tcW w:w="6521" w:type="dxa"/>
            <w:noWrap w:val="0"/>
            <w:vAlign w:val="center"/>
          </w:tcPr>
          <w:p>
            <w:pPr>
              <w:keepNext w:val="0"/>
              <w:keepLines w:val="0"/>
              <w:pageBreakBefore w:val="0"/>
              <w:tabs>
                <w:tab w:val="left" w:pos="1344"/>
              </w:tabs>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与污染源保持25米以上距离。</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44"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仿宋"/>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themeColor="text1"/>
                <w:szCs w:val="21"/>
                <w:lang w:val="en-US" w:eastAsia="zh-CN"/>
                <w14:textFill>
                  <w14:solidFill>
                    <w14:schemeClr w14:val="tx1"/>
                  </w14:solidFill>
                </w14:textFill>
              </w:rPr>
              <w:t>2</w:t>
            </w:r>
          </w:p>
        </w:tc>
        <w:tc>
          <w:tcPr>
            <w:tcW w:w="6521" w:type="dxa"/>
            <w:noWrap w:val="0"/>
            <w:vAlign w:val="center"/>
          </w:tcPr>
          <w:p>
            <w:pPr>
              <w:keepNext w:val="0"/>
              <w:keepLines w:val="0"/>
              <w:pageBreakBefore w:val="0"/>
              <w:tabs>
                <w:tab w:val="left" w:pos="1344"/>
              </w:tabs>
              <w:kinsoku/>
              <w:wordWrap/>
              <w:overflowPunct/>
              <w:topLinePunct w:val="0"/>
              <w:autoSpaceDE/>
              <w:autoSpaceDN/>
              <w:bidi w:val="0"/>
              <w:adjustRightInd/>
              <w:snapToGrid/>
              <w:spacing w:line="220" w:lineRule="exact"/>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kern w:val="2"/>
                <w:sz w:val="21"/>
                <w:szCs w:val="21"/>
                <w:lang w:val="en-US" w:eastAsia="zh-CN" w:bidi="ar-SA"/>
                <w14:textFill>
                  <w14:solidFill>
                    <w14:schemeClr w14:val="tx1"/>
                  </w14:solidFill>
                </w14:textFill>
              </w:rPr>
              <w:t>不在学校、幼儿园门口一百米范围内开展经营。</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themeColor="text1"/>
                <w:szCs w:val="21"/>
                <w:lang w:val="en-US" w:eastAsia="zh-CN"/>
                <w14:textFill>
                  <w14:solidFill>
                    <w14:schemeClr w14:val="tx1"/>
                  </w14:solidFill>
                </w14:textFill>
              </w:rPr>
              <w:t>3</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经营场所</w:t>
            </w:r>
            <w:r>
              <w:rPr>
                <w:rFonts w:hint="eastAsia" w:ascii="仿宋" w:hAnsi="仿宋" w:eastAsia="仿宋" w:cs="仿宋"/>
                <w:color w:val="000000" w:themeColor="text1"/>
                <w:szCs w:val="21"/>
                <w14:textFill>
                  <w14:solidFill>
                    <w14:schemeClr w14:val="tx1"/>
                  </w14:solidFill>
                </w14:textFill>
              </w:rPr>
              <w:t>卫生整洁，无污物。</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原料</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贮存</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w:t>
            </w:r>
            <w:r>
              <w:rPr>
                <w:rFonts w:hint="eastAsia" w:ascii="仿宋" w:hAnsi="仿宋" w:eastAsia="仿宋" w:cs="仿宋"/>
                <w:color w:val="000000" w:themeColor="text1"/>
                <w:szCs w:val="21"/>
                <w:lang w:eastAsia="zh-CN"/>
                <w14:textFill>
                  <w14:solidFill>
                    <w14:schemeClr w14:val="tx1"/>
                  </w14:solidFill>
                </w14:textFill>
              </w:rPr>
              <w:t>原材料</w:t>
            </w:r>
            <w:r>
              <w:rPr>
                <w:rFonts w:hint="eastAsia" w:ascii="仿宋" w:hAnsi="仿宋" w:eastAsia="仿宋" w:cs="仿宋"/>
                <w:color w:val="000000" w:themeColor="text1"/>
                <w:szCs w:val="21"/>
                <w14:textFill>
                  <w14:solidFill>
                    <w14:schemeClr w14:val="tx1"/>
                  </w14:solidFill>
                </w14:textFill>
              </w:rPr>
              <w:t>具有正常的感官性状，无超过保质期、无腐败变质等异常情形。</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食品包装符合要求，并按照要求的条件和规范贮存。</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r>
              <w:rPr>
                <w:rFonts w:hint="eastAsia" w:ascii="仿宋" w:hAnsi="仿宋" w:eastAsia="仿宋" w:cs="仿宋"/>
                <w:color w:val="000000" w:themeColor="text1"/>
                <w:szCs w:val="21"/>
                <w:lang w:val="en-US" w:eastAsia="zh-CN"/>
                <w14:textFill>
                  <w14:solidFill>
                    <w14:schemeClr w14:val="tx1"/>
                  </w14:solidFill>
                </w14:textFill>
              </w:rPr>
              <w:t>3</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食品加工用水符合生活饮用水卫生标准。</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w:t>
            </w:r>
            <w:r>
              <w:rPr>
                <w:rFonts w:hint="eastAsia" w:ascii="仿宋" w:hAnsi="仿宋" w:eastAsia="仿宋" w:cs="仿宋"/>
                <w:color w:val="000000" w:themeColor="text1"/>
                <w:szCs w:val="21"/>
                <w14:textFill>
                  <w14:solidFill>
                    <w14:schemeClr w14:val="tx1"/>
                  </w14:solidFill>
                </w14:textFill>
              </w:rPr>
              <w:sym w:font="Wingdings 2" w:char="00A3"/>
            </w:r>
            <w:r>
              <w:rPr>
                <w:rFonts w:hint="eastAsia" w:ascii="仿宋" w:hAnsi="仿宋" w:eastAsia="仿宋" w:cs="仿宋"/>
                <w:color w:val="000000" w:themeColor="text1"/>
                <w:szCs w:val="21"/>
                <w14:textFill>
                  <w14:solidFill>
                    <w14:schemeClr w14:val="tx1"/>
                  </w14:solidFill>
                </w14:textFill>
              </w:rPr>
              <w:t>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设施</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具有与经营相适应的设施设备，且符合使用规范、运转正常。</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 w:hRule="atLeast"/>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制作</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油炸类食品、烧烤类食品、糕点类食品、自制饮品等加工过程符合要求。</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5"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仿宋"/>
                <w:color w:val="000000" w:themeColor="text1"/>
                <w:szCs w:val="21"/>
                <w14:textFill>
                  <w14:solidFill>
                    <w14:schemeClr w14:val="tx1"/>
                  </w14:solidFill>
                </w14:textFill>
              </w:rPr>
            </w:pPr>
          </w:p>
        </w:tc>
        <w:tc>
          <w:tcPr>
            <w:tcW w:w="992" w:type="dxa"/>
            <w:noWrap w:val="0"/>
            <w:vAlign w:val="center"/>
          </w:tcPr>
          <w:p>
            <w:pPr>
              <w:keepNext w:val="0"/>
              <w:keepLines w:val="0"/>
              <w:pageBreakBefore w:val="0"/>
              <w:tabs>
                <w:tab w:val="center" w:pos="317"/>
              </w:tabs>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hAnsi="仿宋_GB2312" w:cs="仿宋_GB2312"/>
                <w:color w:val="000000" w:themeColor="text1"/>
                <w:sz w:val="21"/>
                <w:szCs w:val="21"/>
                <w:lang w:eastAsia="zh-CN"/>
                <w14:textFill>
                  <w14:solidFill>
                    <w14:schemeClr w14:val="tx1"/>
                  </w14:solidFill>
                </w14:textFill>
              </w:rPr>
              <w:t>无违规禁止经营的品种。</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1"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★6.3</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未超范围、超限量使用食品添加剂。</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94"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★6.4</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不经营利用禁止食用的野生动物及其制品制作的食品。</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★6.5</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未采购、贮存、使用亚硝酸盐（包括亚硝酸钠、亚硝酸钾）。</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7"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废弃物要求</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餐厨废弃物存放容器与食品加工制作容器有明显的区分标识，并及时清理，餐厨废弃物未溢出存放容器。存放废弃物的容器设有盖子。</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76" w:hRule="atLeast"/>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人员</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卫生</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从事接触直接入口食品的工作的从业人员，加工制作食品前对手部进行清洗消毒。</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40" w:hRule="atLeast"/>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8.2</w:t>
            </w:r>
          </w:p>
        </w:tc>
        <w:tc>
          <w:tcPr>
            <w:tcW w:w="6521" w:type="dxa"/>
            <w:noWrap w:val="0"/>
            <w:vAlign w:val="center"/>
          </w:tcPr>
          <w:p>
            <w:pPr>
              <w:keepNext w:val="0"/>
              <w:keepLines w:val="0"/>
              <w:pageBreakBefore w:val="0"/>
              <w:tabs>
                <w:tab w:val="left" w:pos="768"/>
              </w:tabs>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加工制作直接入口食品时，食品从业人员穿戴清洁的工作衣帽、口罩，采取工具或货款分开方式售货。</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6"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清洗</w:t>
            </w:r>
          </w:p>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消毒</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提供的餐具或一次性餐具符合食品安全相关要求。</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84" w:hRule="atLeast"/>
        </w:trPr>
        <w:tc>
          <w:tcPr>
            <w:tcW w:w="936"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文件与记录</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具有食品、食品添加剂、食品相关产品的随货证明文件</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具有完整的进货查验记录。</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 w:hAnsi="仿宋" w:eastAsia="仿宋" w:cs="宋体"/>
                <w:color w:val="000000" w:themeColor="text1"/>
                <w:szCs w:val="21"/>
                <w:lang w:eastAsia="zh-CN"/>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 w:hRule="atLeast"/>
        </w:trPr>
        <w:tc>
          <w:tcPr>
            <w:tcW w:w="1928"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both"/>
              <w:textAlignment w:val="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得分总和（60分）</w:t>
            </w:r>
          </w:p>
        </w:tc>
        <w:tc>
          <w:tcPr>
            <w:tcW w:w="8477"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510" w:hRule="atLeast"/>
        </w:trPr>
        <w:tc>
          <w:tcPr>
            <w:tcW w:w="93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注</w:t>
            </w:r>
          </w:p>
        </w:tc>
        <w:tc>
          <w:tcPr>
            <w:tcW w:w="9469" w:type="dxa"/>
            <w:gridSpan w:val="4"/>
            <w:noWrap w:val="0"/>
            <w:vAlign w:val="top"/>
          </w:tcPr>
          <w:p>
            <w:pPr>
              <w:keepNext w:val="0"/>
              <w:keepLines w:val="0"/>
              <w:pageBreakBefore w:val="0"/>
              <w:widowControl/>
              <w:kinsoku/>
              <w:wordWrap/>
              <w:overflowPunct/>
              <w:topLinePunct w:val="0"/>
              <w:autoSpaceDE/>
              <w:autoSpaceDN/>
              <w:bidi w:val="0"/>
              <w:adjustRightInd/>
              <w:snapToGrid/>
              <w:spacing w:line="220" w:lineRule="exact"/>
              <w:ind w:left="210" w:hanging="210" w:hangingChars="100"/>
              <w:textAlignment w:val="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r>
              <w:rPr>
                <w:rFonts w:hint="eastAsia" w:ascii="仿宋" w:hAnsi="仿宋" w:eastAsia="仿宋" w:cs="仿宋"/>
                <w:color w:val="000000" w:themeColor="text1"/>
                <w:kern w:val="0"/>
                <w:szCs w:val="21"/>
                <w:lang w:eastAsia="zh-CN"/>
                <w14:textFill>
                  <w14:solidFill>
                    <w14:schemeClr w14:val="tx1"/>
                  </w14:solidFill>
                </w14:textFill>
              </w:rPr>
              <w:t>现场制售食品小摊点</w:t>
            </w:r>
            <w:r>
              <w:rPr>
                <w:rFonts w:ascii="仿宋" w:hAnsi="仿宋" w:eastAsia="仿宋" w:cs="仿宋"/>
                <w:color w:val="000000" w:themeColor="text1"/>
                <w:kern w:val="0"/>
                <w:szCs w:val="21"/>
                <w14:textFill>
                  <w14:solidFill>
                    <w14:schemeClr w14:val="tx1"/>
                  </w14:solidFill>
                </w14:textFill>
              </w:rPr>
              <w:t>动态风险因素采取风险加分方式进行打分，评价结果为“否”的进行风险分数累加；评价结果“是”或者“合理缺项”的不加分，总分为60分。</w:t>
            </w:r>
          </w:p>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2</w:t>
            </w:r>
            <w:r>
              <w:rPr>
                <w:rFonts w:ascii="仿宋" w:hAnsi="仿宋" w:eastAsia="仿宋" w:cs="仿宋"/>
                <w:color w:val="000000" w:themeColor="text1"/>
                <w:kern w:val="0"/>
                <w:szCs w:val="21"/>
                <w14:textFill>
                  <w14:solidFill>
                    <w14:schemeClr w14:val="tx1"/>
                  </w14:solidFill>
                </w14:textFill>
              </w:rPr>
              <w:t>.日常监督检查共</w:t>
            </w:r>
            <w:r>
              <w:rPr>
                <w:rFonts w:hint="eastAsia" w:ascii="仿宋" w:hAnsi="仿宋" w:eastAsia="仿宋" w:cs="仿宋"/>
                <w:color w:val="000000" w:themeColor="text1"/>
                <w:kern w:val="0"/>
                <w:szCs w:val="21"/>
                <w14:textFill>
                  <w14:solidFill>
                    <w14:schemeClr w14:val="tx1"/>
                  </w14:solidFill>
                </w14:textFill>
              </w:rPr>
              <w:t>2</w:t>
            </w:r>
            <w:r>
              <w:rPr>
                <w:rFonts w:hint="eastAsia" w:ascii="仿宋" w:hAnsi="仿宋" w:eastAsia="仿宋" w:cs="仿宋"/>
                <w:color w:val="000000" w:themeColor="text1"/>
                <w:kern w:val="0"/>
                <w:szCs w:val="21"/>
                <w:lang w:val="en-US" w:eastAsia="zh-CN"/>
                <w14:textFill>
                  <w14:solidFill>
                    <w14:schemeClr w14:val="tx1"/>
                  </w14:solidFill>
                </w14:textFill>
              </w:rPr>
              <w:t>0</w:t>
            </w:r>
            <w:r>
              <w:rPr>
                <w:rFonts w:ascii="仿宋" w:hAnsi="仿宋" w:eastAsia="仿宋" w:cs="仿宋"/>
                <w:color w:val="000000" w:themeColor="text1"/>
                <w:kern w:val="0"/>
                <w:szCs w:val="21"/>
                <w14:textFill>
                  <w14:solidFill>
                    <w14:schemeClr w14:val="tx1"/>
                  </w14:solidFill>
                </w14:textFill>
              </w:rPr>
              <w:t>项检查内容，重点项（检查序号中打★号项）</w:t>
            </w:r>
            <w:r>
              <w:rPr>
                <w:rFonts w:hint="eastAsia" w:ascii="仿宋" w:hAnsi="仿宋" w:eastAsia="仿宋" w:cs="仿宋"/>
                <w:color w:val="000000" w:themeColor="text1"/>
                <w:kern w:val="0"/>
                <w:szCs w:val="21"/>
                <w14:textFill>
                  <w14:solidFill>
                    <w14:schemeClr w14:val="tx1"/>
                  </w14:solidFill>
                </w14:textFill>
              </w:rPr>
              <w:t>1</w:t>
            </w:r>
            <w:r>
              <w:rPr>
                <w:rFonts w:hint="eastAsia" w:ascii="仿宋" w:hAnsi="仿宋" w:eastAsia="仿宋" w:cs="仿宋"/>
                <w:color w:val="000000" w:themeColor="text1"/>
                <w:kern w:val="0"/>
                <w:szCs w:val="21"/>
                <w:lang w:val="en-US" w:eastAsia="zh-CN"/>
                <w14:textFill>
                  <w14:solidFill>
                    <w14:schemeClr w14:val="tx1"/>
                  </w14:solidFill>
                </w14:textFill>
              </w:rPr>
              <w:t>3</w:t>
            </w:r>
            <w:r>
              <w:rPr>
                <w:rFonts w:ascii="仿宋" w:hAnsi="仿宋" w:eastAsia="仿宋" w:cs="仿宋"/>
                <w:color w:val="000000" w:themeColor="text1"/>
                <w:kern w:val="0"/>
                <w:szCs w:val="21"/>
                <w14:textFill>
                  <w14:solidFill>
                    <w14:schemeClr w14:val="tx1"/>
                  </w14:solidFill>
                </w14:textFill>
              </w:rPr>
              <w:t>项，一般项</w:t>
            </w:r>
            <w:r>
              <w:rPr>
                <w:rFonts w:hint="eastAsia" w:ascii="仿宋" w:hAnsi="仿宋" w:eastAsia="仿宋" w:cs="仿宋"/>
                <w:color w:val="000000" w:themeColor="text1"/>
                <w:kern w:val="0"/>
                <w:szCs w:val="21"/>
                <w:lang w:val="en-US" w:eastAsia="zh-CN"/>
                <w14:textFill>
                  <w14:solidFill>
                    <w14:schemeClr w14:val="tx1"/>
                  </w14:solidFill>
                </w14:textFill>
              </w:rPr>
              <w:t>7</w:t>
            </w:r>
            <w:r>
              <w:rPr>
                <w:rFonts w:ascii="仿宋" w:hAnsi="仿宋" w:eastAsia="仿宋" w:cs="仿宋"/>
                <w:color w:val="000000" w:themeColor="text1"/>
                <w:kern w:val="0"/>
                <w:szCs w:val="21"/>
                <w14:textFill>
                  <w14:solidFill>
                    <w14:schemeClr w14:val="tx1"/>
                  </w14:solidFill>
                </w14:textFill>
              </w:rPr>
              <w:t>项。</w:t>
            </w:r>
          </w:p>
          <w:p>
            <w:pPr>
              <w:keepNext w:val="0"/>
              <w:keepLines w:val="0"/>
              <w:pageBreakBefore w:val="0"/>
              <w:widowControl/>
              <w:kinsoku/>
              <w:wordWrap/>
              <w:overflowPunct/>
              <w:topLinePunct w:val="0"/>
              <w:autoSpaceDE/>
              <w:autoSpaceDN/>
              <w:bidi w:val="0"/>
              <w:adjustRightInd/>
              <w:snapToGrid/>
              <w:spacing w:line="220" w:lineRule="exact"/>
              <w:ind w:left="210" w:hanging="210" w:hangingChars="100"/>
              <w:textAlignment w:val="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3</w:t>
            </w:r>
            <w:r>
              <w:rPr>
                <w:rFonts w:ascii="仿宋" w:hAnsi="仿宋" w:eastAsia="仿宋" w:cs="仿宋"/>
                <w:color w:val="000000" w:themeColor="text1"/>
                <w:kern w:val="0"/>
                <w:szCs w:val="21"/>
                <w14:textFill>
                  <w14:solidFill>
                    <w14:schemeClr w14:val="tx1"/>
                  </w14:solidFill>
                </w14:textFill>
              </w:rPr>
              <w:t>.检查结果判定方法：①符合,检查中未发现问题；②基本符合,未发现检查的重点项不合格，且70%≤一般项合格率＜100%；③不符合,重点项存在1项及以上不合格，或一般项合格率＜70%。</w:t>
            </w:r>
          </w:p>
          <w:p>
            <w:pPr>
              <w:keepNext w:val="0"/>
              <w:keepLines w:val="0"/>
              <w:pageBreakBefore w:val="0"/>
              <w:widowControl/>
              <w:kinsoku/>
              <w:wordWrap/>
              <w:overflowPunct/>
              <w:topLinePunct w:val="0"/>
              <w:autoSpaceDE/>
              <w:autoSpaceDN/>
              <w:bidi w:val="0"/>
              <w:adjustRightInd/>
              <w:snapToGrid/>
              <w:spacing w:line="220" w:lineRule="exact"/>
              <w:ind w:left="210" w:hanging="210" w:hangingChars="100"/>
              <w:textAlignment w:val="auto"/>
              <w:rPr>
                <w:rFonts w:ascii="仿宋" w:hAnsi="仿宋" w:eastAsia="仿宋" w:cs="宋体"/>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4</w:t>
            </w:r>
            <w:r>
              <w:rPr>
                <w:rFonts w:ascii="仿宋" w:hAnsi="仿宋" w:eastAsia="仿宋" w:cs="仿宋"/>
                <w:color w:val="000000" w:themeColor="text1"/>
                <w:kern w:val="0"/>
                <w:szCs w:val="21"/>
                <w14:textFill>
                  <w14:solidFill>
                    <w14:schemeClr w14:val="tx1"/>
                  </w14:solidFill>
                </w14:textFill>
              </w:rPr>
              <w:t>.存在合理缺项时，一般项合格率的计算方法为：合格项目数/（检查项目数－合理缺项数）×100%。</w:t>
            </w:r>
          </w:p>
        </w:tc>
      </w:tr>
    </w:tbl>
    <w:p>
      <w:pPr>
        <w:rPr>
          <w:color w:val="000000" w:themeColor="text1"/>
          <w14:textFill>
            <w14:solidFill>
              <w14:schemeClr w14:val="tx1"/>
            </w14:solidFill>
          </w14:textFill>
        </w:rPr>
      </w:pPr>
    </w:p>
    <w:p>
      <w:pPr>
        <w:widowControl/>
        <w:shd w:val="clear" w:color="auto" w:fill="FFFFFF"/>
        <w:spacing w:line="320" w:lineRule="exact"/>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22</w:t>
      </w:r>
    </w:p>
    <w:p>
      <w:pPr>
        <w:spacing w:line="360" w:lineRule="exact"/>
        <w:jc w:val="cente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pPr>
      <w: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t>食品销售小摊点</w:t>
      </w:r>
      <w:r>
        <w:rPr>
          <w:rFonts w:hint="eastAsia" w:ascii="方正小标宋简体" w:hAnsi="仿宋" w:eastAsia="方正小标宋简体" w:cs="仿宋"/>
          <w:color w:val="000000" w:themeColor="text1"/>
          <w:kern w:val="0"/>
          <w:sz w:val="32"/>
          <w:szCs w:val="32"/>
          <w14:textFill>
            <w14:solidFill>
              <w14:schemeClr w14:val="tx1"/>
            </w14:solidFill>
          </w14:textFill>
        </w:rPr>
        <w:t>动态风险因素量化分值表</w:t>
      </w:r>
    </w:p>
    <w:p>
      <w:pPr>
        <w:spacing w:line="360" w:lineRule="exact"/>
        <w:jc w:val="center"/>
        <w:rPr>
          <w:rFonts w:ascii="方正小标宋简体" w:hAnsi="仿宋" w:eastAsia="方正小标宋简体" w:cs="仿宋"/>
          <w:color w:val="000000" w:themeColor="text1"/>
          <w:kern w:val="0"/>
          <w:sz w:val="32"/>
          <w:szCs w:val="32"/>
          <w14:textFill>
            <w14:solidFill>
              <w14:schemeClr w14:val="tx1"/>
            </w14:solidFill>
          </w14:textFill>
        </w:rPr>
      </w:pPr>
      <w:r>
        <w:rPr>
          <w:rFonts w:hint="eastAsia" w:ascii="方正小标宋简体" w:hAnsi="仿宋" w:eastAsia="方正小标宋简体" w:cs="仿宋"/>
          <w:color w:val="000000" w:themeColor="text1"/>
          <w:kern w:val="0"/>
          <w:sz w:val="32"/>
          <w:szCs w:val="32"/>
          <w14:textFill>
            <w14:solidFill>
              <w14:schemeClr w14:val="tx1"/>
            </w14:solidFill>
          </w14:textFill>
        </w:rPr>
        <w:t>（</w:t>
      </w:r>
      <w:r>
        <w:rPr>
          <w:rFonts w:hint="eastAsia" w:ascii="方正小标宋简体" w:hAnsi="仿宋" w:eastAsia="方正小标宋简体" w:cs="仿宋"/>
          <w:color w:val="000000" w:themeColor="text1"/>
          <w:kern w:val="0"/>
          <w:sz w:val="32"/>
          <w:szCs w:val="32"/>
          <w:lang w:eastAsia="zh-CN"/>
          <w14:textFill>
            <w14:solidFill>
              <w14:schemeClr w14:val="tx1"/>
            </w14:solidFill>
          </w14:textFill>
        </w:rPr>
        <w:t>食品销售小摊点</w:t>
      </w:r>
      <w:r>
        <w:rPr>
          <w:rFonts w:hint="eastAsia" w:ascii="方正小标宋简体" w:hAnsi="仿宋" w:eastAsia="方正小标宋简体" w:cs="仿宋"/>
          <w:color w:val="000000" w:themeColor="text1"/>
          <w:kern w:val="0"/>
          <w:sz w:val="32"/>
          <w:szCs w:val="32"/>
          <w14:textFill>
            <w14:solidFill>
              <w14:schemeClr w14:val="tx1"/>
            </w14:solidFill>
          </w14:textFill>
        </w:rPr>
        <w:t>日常监督检查要点表）</w:t>
      </w:r>
    </w:p>
    <w:p>
      <w:pPr>
        <w:rPr>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被评定人：　　　　　　　　　　　　　　　　　　　　　　　　　　　　评定时间：</w:t>
      </w:r>
    </w:p>
    <w:tbl>
      <w:tblPr>
        <w:tblStyle w:val="7"/>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936"/>
        <w:gridCol w:w="992"/>
        <w:gridCol w:w="6521"/>
        <w:gridCol w:w="1333"/>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3" w:hRule="atLeast"/>
          <w:jc w:val="center"/>
        </w:trPr>
        <w:tc>
          <w:tcPr>
            <w:tcW w:w="93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检查</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项目</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检查</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序号</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检查内容</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检查结果</w:t>
            </w:r>
          </w:p>
        </w:tc>
        <w:tc>
          <w:tcPr>
            <w:tcW w:w="62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7"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经营</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资质</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醒目位置公示食品</w:t>
            </w:r>
            <w:r>
              <w:rPr>
                <w:rFonts w:hint="eastAsia" w:ascii="仿宋_GB2312" w:hAnsi="仿宋_GB2312" w:eastAsia="仿宋_GB2312" w:cs="仿宋_GB2312"/>
                <w:color w:val="000000" w:themeColor="text1"/>
                <w:sz w:val="21"/>
                <w:szCs w:val="21"/>
                <w:lang w:eastAsia="zh-CN"/>
                <w14:textFill>
                  <w14:solidFill>
                    <w14:schemeClr w14:val="tx1"/>
                  </w14:solidFill>
                </w14:textFill>
              </w:rPr>
              <w:t>小摊点备案卡</w:t>
            </w:r>
            <w:r>
              <w:rPr>
                <w:rFonts w:hint="eastAsia" w:ascii="仿宋_GB2312" w:hAnsi="仿宋_GB2312" w:eastAsia="仿宋_GB2312" w:cs="仿宋_GB2312"/>
                <w:color w:val="000000" w:themeColor="text1"/>
                <w:sz w:val="21"/>
                <w:szCs w:val="21"/>
                <w14:textFill>
                  <w14:solidFill>
                    <w14:schemeClr w14:val="tx1"/>
                  </w14:solidFill>
                </w14:textFill>
              </w:rPr>
              <w:t>、上一次日常监督检查结果记录表。</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食品</w:t>
            </w:r>
            <w:r>
              <w:rPr>
                <w:rFonts w:hint="eastAsia" w:ascii="仿宋_GB2312" w:hAnsi="仿宋_GB2312" w:eastAsia="仿宋_GB2312" w:cs="仿宋_GB2312"/>
                <w:color w:val="000000" w:themeColor="text1"/>
                <w:sz w:val="21"/>
                <w:szCs w:val="21"/>
                <w:lang w:eastAsia="zh-CN"/>
                <w14:textFill>
                  <w14:solidFill>
                    <w14:schemeClr w14:val="tx1"/>
                  </w14:solidFill>
                </w14:textFill>
              </w:rPr>
              <w:t>小摊点</w:t>
            </w:r>
            <w:r>
              <w:rPr>
                <w:rFonts w:hint="eastAsia" w:ascii="仿宋_GB2312" w:hAnsi="仿宋_GB2312" w:eastAsia="仿宋_GB2312" w:cs="仿宋_GB2312"/>
                <w:color w:val="000000" w:themeColor="text1"/>
                <w:sz w:val="21"/>
                <w:szCs w:val="21"/>
                <w14:textFill>
                  <w14:solidFill>
                    <w14:schemeClr w14:val="tx1"/>
                  </w14:solidFill>
                </w14:textFill>
              </w:rPr>
              <w:t>备案合法有效，限时限地、经营</w:t>
            </w:r>
            <w:r>
              <w:rPr>
                <w:rFonts w:hint="eastAsia" w:ascii="仿宋_GB2312" w:hAnsi="仿宋_GB2312" w:eastAsia="仿宋_GB2312" w:cs="仿宋_GB2312"/>
                <w:color w:val="000000" w:themeColor="text1"/>
                <w:sz w:val="21"/>
                <w:szCs w:val="21"/>
                <w:lang w:eastAsia="zh-CN"/>
                <w14:textFill>
                  <w14:solidFill>
                    <w14:schemeClr w14:val="tx1"/>
                  </w14:solidFill>
                </w14:textFill>
              </w:rPr>
              <w:t>项目</w:t>
            </w:r>
            <w:r>
              <w:rPr>
                <w:rFonts w:hint="eastAsia" w:ascii="仿宋_GB2312" w:hAnsi="仿宋_GB2312" w:eastAsia="仿宋_GB2312" w:cs="仿宋_GB2312"/>
                <w:color w:val="000000" w:themeColor="text1"/>
                <w:sz w:val="21"/>
                <w:szCs w:val="21"/>
                <w14:textFill>
                  <w14:solidFill>
                    <w14:schemeClr w14:val="tx1"/>
                  </w14:solidFill>
                </w14:textFill>
              </w:rPr>
              <w:t>等事项是否与备案一致。</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经营</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条件</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与污染源保持25米以上距离。</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不在学校、幼儿园门口一百米范围内开展经营。</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经营场所</w:t>
            </w:r>
            <w:r>
              <w:rPr>
                <w:rFonts w:hint="eastAsia" w:ascii="仿宋_GB2312" w:hAnsi="仿宋_GB2312" w:eastAsia="仿宋_GB2312" w:cs="仿宋_GB2312"/>
                <w:color w:val="000000" w:themeColor="text1"/>
                <w:sz w:val="21"/>
                <w:szCs w:val="21"/>
                <w14:textFill>
                  <w14:solidFill>
                    <w14:schemeClr w14:val="tx1"/>
                  </w14:solidFill>
                </w14:textFill>
              </w:rPr>
              <w:t>卫生整洁，无污物。</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2.4</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具有与销售的食品品种、数量相适应的经营设备或者设施</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食品标签等外观质量状况</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食品在保质期内</w:t>
            </w:r>
            <w:r>
              <w:rPr>
                <w:rFonts w:hint="eastAsia" w:hAnsi="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感官性状正常</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7"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hAnsi="仿宋_GB2312" w:cs="仿宋_GB2312"/>
                <w:color w:val="000000" w:themeColor="text1"/>
                <w:sz w:val="21"/>
                <w:szCs w:val="21"/>
                <w:lang w:eastAsia="zh-CN"/>
                <w14:textFill>
                  <w14:solidFill>
                    <w14:schemeClr w14:val="tx1"/>
                  </w14:solidFill>
                </w14:textFill>
              </w:rPr>
              <w:t>经营</w:t>
            </w:r>
            <w:r>
              <w:rPr>
                <w:rFonts w:hint="eastAsia" w:ascii="仿宋_GB2312" w:hAnsi="仿宋_GB2312" w:eastAsia="仿宋_GB2312" w:cs="仿宋_GB2312"/>
                <w:color w:val="000000" w:themeColor="text1"/>
                <w:sz w:val="21"/>
                <w:szCs w:val="21"/>
                <w14:textFill>
                  <w14:solidFill>
                    <w14:schemeClr w14:val="tx1"/>
                  </w14:solidFill>
                </w14:textFill>
              </w:rPr>
              <w:t>散装食品</w:t>
            </w:r>
            <w:r>
              <w:rPr>
                <w:rFonts w:hint="eastAsia" w:hAnsi="仿宋_GB2312" w:cs="仿宋_GB2312"/>
                <w:color w:val="000000" w:themeColor="text1"/>
                <w:sz w:val="21"/>
                <w:szCs w:val="21"/>
                <w:lang w:eastAsia="zh-CN"/>
                <w14:textFill>
                  <w14:solidFill>
                    <w14:schemeClr w14:val="tx1"/>
                  </w14:solidFill>
                </w14:textFill>
              </w:rPr>
              <w:t>的</w:t>
            </w:r>
            <w:r>
              <w:rPr>
                <w:rFonts w:hint="eastAsia" w:ascii="仿宋_GB2312" w:hAnsi="仿宋_GB2312" w:eastAsia="仿宋_GB2312" w:cs="仿宋_GB2312"/>
                <w:color w:val="000000" w:themeColor="text1"/>
                <w:sz w:val="21"/>
                <w:szCs w:val="21"/>
                <w14:textFill>
                  <w14:solidFill>
                    <w14:schemeClr w14:val="tx1"/>
                  </w14:solidFill>
                </w14:textFill>
              </w:rPr>
              <w:t>，在散装食品的容器、外包装上标明食品的名称、生产日期或者生产批号、保质期以及生产经营者名称、地址、联系方式等内容</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从业人员</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管理</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从事接触直接入口食品工作的食品经营人员取得健康证明，无患有国务院卫生行政部门规定的有碍食品安全疾病的情况</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0"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hAnsi="仿宋_GB2312" w:cs="仿宋_GB2312"/>
                <w:color w:val="000000" w:themeColor="text1"/>
                <w:sz w:val="21"/>
                <w:szCs w:val="21"/>
                <w:lang w:val="en-US" w:eastAsia="zh-CN"/>
                <w14:textFill>
                  <w14:solidFill>
                    <w14:schemeClr w14:val="tx1"/>
                  </w14:solidFill>
                </w14:textFill>
              </w:rPr>
              <w:t>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从事食品经营活动时穿戴清洁的工作衣、帽，保持个人卫生。</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623"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经营过程控制情况</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采购食品，查验供货者的许可证和食品出厂检验合格证或者其他合格证明</w:t>
            </w:r>
            <w:r>
              <w:rPr>
                <w:rFonts w:hint="eastAsia" w:ascii="仿宋_GB2312" w:hAnsi="仿宋_GB2312" w:eastAsia="仿宋_GB2312" w:cs="仿宋_GB2312"/>
                <w:color w:val="000000" w:themeColor="text1"/>
                <w:sz w:val="21"/>
                <w:szCs w:val="21"/>
                <w:lang w:eastAsia="zh-CN"/>
                <w14:textFill>
                  <w14:solidFill>
                    <w14:schemeClr w14:val="tx1"/>
                  </w14:solidFill>
                </w14:textFill>
              </w:rPr>
              <w:t>，并保存相关凭证。</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食品摆放</w:t>
            </w:r>
            <w:r>
              <w:rPr>
                <w:rFonts w:hint="eastAsia" w:ascii="仿宋_GB2312" w:hAnsi="仿宋_GB2312" w:eastAsia="仿宋_GB2312" w:cs="仿宋_GB2312"/>
                <w:color w:val="000000" w:themeColor="text1"/>
                <w:sz w:val="21"/>
                <w:szCs w:val="21"/>
                <w14:textFill>
                  <w14:solidFill>
                    <w14:schemeClr w14:val="tx1"/>
                  </w14:solidFill>
                </w14:textFill>
              </w:rPr>
              <w:t>隔墙离地距离在10厘米以上</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★5.3</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按照食品标签标示的警示标志、警示说明或者注意事项的要求销售食品</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5.4</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对销售过程有温度、湿度要求的食品，有保证食品安全所需的温度、湿度等特殊要求的设备，并按要求贮存</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5.5</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按要求停止销售、召回、报告不符合食品安全标准或者证明可能危害人体健康的食品。</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★5.6</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hAnsi="仿宋_GB2312" w:cs="仿宋_GB2312"/>
                <w:color w:val="000000" w:themeColor="text1"/>
                <w:sz w:val="21"/>
                <w:szCs w:val="21"/>
                <w:lang w:eastAsia="zh-CN"/>
                <w14:textFill>
                  <w14:solidFill>
                    <w14:schemeClr w14:val="tx1"/>
                  </w14:solidFill>
                </w14:textFill>
              </w:rPr>
              <w:t>无违规禁止经营的品种。</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食盐</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销售</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从取得食盐定点批发企业证书的单位购进，并保留购货凭证，有合法有效的从事食盐经营的食品经营许可证和相关合格证明文件等</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不存在销售禁止销售的食盐情形</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食用农产品销售</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抽查的畜禽产品具有检验检疫合格证明</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建立食用农产品进货查验记录制度，如实记录食用农产品的名称、数量、进货日期以及供货者名称、地址、联系方式等内容，并保存相关凭证。记录和凭证保存期限不得少于六个月</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进口食品</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销售</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★8.1</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抽查的进口预包装食品有中文标签,并载明食品的原产地以及境内代理商的名称、地址、联系方式</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2" w:hRule="atLeast"/>
          <w:jc w:val="center"/>
        </w:trPr>
        <w:tc>
          <w:tcPr>
            <w:tcW w:w="936"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c>
          <w:tcPr>
            <w:tcW w:w="99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★8.2</w:t>
            </w:r>
          </w:p>
        </w:tc>
        <w:tc>
          <w:tcPr>
            <w:tcW w:w="6521" w:type="dxa"/>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抽查的进口预包装食品（食用农产品）有海关部门出具的入境货物检验检疫证明</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133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□是 □否</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□合理缺项</w:t>
            </w:r>
          </w:p>
        </w:tc>
        <w:tc>
          <w:tcPr>
            <w:tcW w:w="62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7" w:hRule="atLeast"/>
          <w:jc w:val="center"/>
        </w:trPr>
        <w:tc>
          <w:tcPr>
            <w:tcW w:w="93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得分</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总和</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（60分）</w:t>
            </w:r>
          </w:p>
        </w:tc>
        <w:tc>
          <w:tcPr>
            <w:tcW w:w="9469" w:type="dxa"/>
            <w:gridSpan w:val="4"/>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46" w:hRule="atLeast"/>
          <w:jc w:val="center"/>
        </w:trPr>
        <w:tc>
          <w:tcPr>
            <w:tcW w:w="93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备</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注</w:t>
            </w:r>
          </w:p>
        </w:tc>
        <w:tc>
          <w:tcPr>
            <w:tcW w:w="9469" w:type="dxa"/>
            <w:gridSpan w:val="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lang w:eastAsia="zh-CN"/>
                <w14:textFill>
                  <w14:solidFill>
                    <w14:schemeClr w14:val="tx1"/>
                  </w14:solidFill>
                </w14:textFill>
              </w:rPr>
              <w:t>食品销售小摊点</w:t>
            </w:r>
            <w:r>
              <w:rPr>
                <w:rFonts w:hint="eastAsia" w:ascii="仿宋_GB2312" w:hAnsi="仿宋_GB2312" w:eastAsia="仿宋_GB2312" w:cs="仿宋_GB2312"/>
                <w:color w:val="000000" w:themeColor="text1"/>
                <w:sz w:val="21"/>
                <w:szCs w:val="21"/>
                <w14:textFill>
                  <w14:solidFill>
                    <w14:schemeClr w14:val="tx1"/>
                  </w14:solidFill>
                </w14:textFill>
              </w:rPr>
              <w:t>动态风险因素采取风险加分方式进行打分，评价结果为“否”的进行风险分数累加；评价结果“是”或者“合理缺项”的不加分，总分为60分。</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.日常监督检查共</w:t>
            </w:r>
            <w:r>
              <w:rPr>
                <w:rFonts w:hint="eastAsia" w:hAnsi="仿宋_GB2312" w:cs="仿宋_GB2312"/>
                <w:color w:val="000000" w:themeColor="text1"/>
                <w:sz w:val="21"/>
                <w:szCs w:val="21"/>
                <w:lang w:val="en-US" w:eastAsia="zh-CN"/>
                <w14:textFill>
                  <w14:solidFill>
                    <w14:schemeClr w14:val="tx1"/>
                  </w14:solidFill>
                </w14:textFill>
              </w:rPr>
              <w:t>22</w:t>
            </w:r>
            <w:r>
              <w:rPr>
                <w:rFonts w:hint="eastAsia" w:ascii="仿宋_GB2312" w:hAnsi="仿宋_GB2312" w:eastAsia="仿宋_GB2312" w:cs="仿宋_GB2312"/>
                <w:color w:val="000000" w:themeColor="text1"/>
                <w:sz w:val="21"/>
                <w:szCs w:val="21"/>
                <w14:textFill>
                  <w14:solidFill>
                    <w14:schemeClr w14:val="tx1"/>
                  </w14:solidFill>
                </w14:textFill>
              </w:rPr>
              <w:t>项检查内容，重点项（检查序号中打★号项）</w:t>
            </w:r>
            <w:r>
              <w:rPr>
                <w:rFonts w:hint="eastAsia" w:hAnsi="仿宋_GB2312" w:cs="仿宋_GB2312"/>
                <w:color w:val="000000" w:themeColor="text1"/>
                <w:sz w:val="21"/>
                <w:szCs w:val="21"/>
                <w:lang w:val="en-US" w:eastAsia="zh-CN"/>
                <w14:textFill>
                  <w14:solidFill>
                    <w14:schemeClr w14:val="tx1"/>
                  </w14:solidFill>
                </w14:textFill>
              </w:rPr>
              <w:t>16</w:t>
            </w:r>
            <w:r>
              <w:rPr>
                <w:rFonts w:hint="eastAsia" w:ascii="仿宋_GB2312" w:hAnsi="仿宋_GB2312" w:eastAsia="仿宋_GB2312" w:cs="仿宋_GB2312"/>
                <w:color w:val="000000" w:themeColor="text1"/>
                <w:sz w:val="21"/>
                <w:szCs w:val="21"/>
                <w14:textFill>
                  <w14:solidFill>
                    <w14:schemeClr w14:val="tx1"/>
                  </w14:solidFill>
                </w14:textFill>
              </w:rPr>
              <w:t>项，一般项</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14:textFill>
                  <w14:solidFill>
                    <w14:schemeClr w14:val="tx1"/>
                  </w14:solidFill>
                </w14:textFill>
              </w:rPr>
              <w:t>项。</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w:t>
            </w:r>
            <w:r>
              <w:rPr>
                <w:rFonts w:hint="eastAsia" w:ascii="仿宋_GB2312" w:hAnsi="仿宋_GB2312" w:eastAsia="仿宋_GB2312" w:cs="仿宋_GB2312"/>
                <w:color w:val="000000" w:themeColor="text1"/>
                <w:sz w:val="21"/>
                <w:szCs w:val="21"/>
                <w14:textFill>
                  <w14:solidFill>
                    <w14:schemeClr w14:val="tx1"/>
                  </w14:solidFill>
                </w14:textFill>
              </w:rPr>
              <w:t>.检查结果判定方法：①符合,检查中未发现问题；②基本符合,未发现检查的重点项不合格，且70%≤一般项合格率＜100%；③不符合,重点项存在1项及以上不合格，或一般项合格率＜70%。</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14:textFill>
                  <w14:solidFill>
                    <w14:schemeClr w14:val="tx1"/>
                  </w14:solidFill>
                </w14:textFill>
              </w:rPr>
              <w:t>.存在合理缺项时，一般项合格率的计算方法为：合格项目数/（检查项目数－合理缺项数）×100%。</w:t>
            </w:r>
          </w:p>
        </w:tc>
      </w:tr>
    </w:tbl>
    <w:p>
      <w:pPr>
        <w:pStyle w:val="2"/>
        <w:rPr>
          <w:color w:val="000000" w:themeColor="text1"/>
          <w14:textFill>
            <w14:solidFill>
              <w14:schemeClr w14:val="tx1"/>
            </w14:solidFill>
          </w14:textFill>
        </w:rPr>
      </w:pPr>
    </w:p>
    <w:p>
      <w:pPr>
        <w:widowControl/>
        <w:shd w:val="clear" w:color="auto" w:fill="FFFFFF"/>
        <w:spacing w:line="320" w:lineRule="exact"/>
        <w:jc w:val="left"/>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pStyle w:val="2"/>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pStyle w:val="2"/>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黑体" w:hAnsi="黑体" w:eastAsia="黑体" w:cs="黑体"/>
          <w:color w:val="000000" w:themeColor="text1"/>
          <w:kern w:val="0"/>
          <w:sz w:val="32"/>
          <w:szCs w:val="32"/>
          <w14:textFill>
            <w14:solidFill>
              <w14:schemeClr w14:val="tx1"/>
            </w14:solidFill>
          </w14:textFill>
        </w:rPr>
        <w:sectPr>
          <w:footerReference r:id="rId3" w:type="default"/>
          <w:pgSz w:w="11906" w:h="16838"/>
          <w:pgMar w:top="1440" w:right="1179" w:bottom="1440" w:left="1463" w:header="720" w:footer="720"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default" w:ascii="方正小标宋简体" w:eastAsia="方正小标宋简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23</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食品经营者风险等级确定表</w:t>
      </w:r>
      <w:r>
        <w:rPr>
          <w:color w:val="000000" w:themeColor="text1"/>
          <w:kern w:val="0"/>
          <w:sz w:val="32"/>
          <w:szCs w:val="32"/>
          <w14:textFill>
            <w14:solidFill>
              <w14:schemeClr w14:val="tx1"/>
            </w14:solidFill>
          </w14:textFill>
        </w:rPr>
        <w:t xml:space="preserve">       </w:t>
      </w:r>
    </w:p>
    <w:p>
      <w:pPr>
        <w:widowControl/>
        <w:shd w:val="clear" w:color="auto" w:fill="FFFFFF"/>
        <w:spacing w:line="320" w:lineRule="exact"/>
        <w:rPr>
          <w:rFonts w:ascii="仿宋" w:hAnsi="仿宋" w:eastAsia="仿宋"/>
          <w:color w:val="000000" w:themeColor="text1"/>
          <w:kern w:val="0"/>
          <w:sz w:val="24"/>
          <w:szCs w:val="24"/>
          <w14:textFill>
            <w14:solidFill>
              <w14:schemeClr w14:val="tx1"/>
            </w14:solidFill>
          </w14:textFill>
        </w:rPr>
      </w:pPr>
      <w:r>
        <w:rPr>
          <w:rFonts w:eastAsia="楷体_GB2312"/>
          <w:color w:val="000000" w:themeColor="text1"/>
          <w:kern w:val="0"/>
          <w:sz w:val="24"/>
          <w:szCs w:val="24"/>
          <w14:textFill>
            <w14:solidFill>
              <w14:schemeClr w14:val="tx1"/>
            </w14:solidFill>
          </w14:textFill>
        </w:rPr>
        <w:t>　　　　　　　　　　　　　</w:t>
      </w:r>
      <w:r>
        <w:rPr>
          <w:rFonts w:ascii="仿宋" w:hAnsi="仿宋" w:eastAsia="仿宋"/>
          <w:color w:val="000000" w:themeColor="text1"/>
          <w:kern w:val="0"/>
          <w:sz w:val="24"/>
          <w:szCs w:val="24"/>
          <w14:textFill>
            <w14:solidFill>
              <w14:schemeClr w14:val="tx1"/>
            </w14:solidFill>
          </w14:textFill>
        </w:rPr>
        <w:t>　（     年度）        　　　　　　　（编号）</w:t>
      </w:r>
    </w:p>
    <w:tbl>
      <w:tblPr>
        <w:tblStyle w:val="7"/>
        <w:tblW w:w="10182" w:type="dxa"/>
        <w:jc w:val="center"/>
        <w:tblLayout w:type="fixed"/>
        <w:tblCellMar>
          <w:top w:w="0" w:type="dxa"/>
          <w:left w:w="0" w:type="dxa"/>
          <w:bottom w:w="0" w:type="dxa"/>
          <w:right w:w="0" w:type="dxa"/>
        </w:tblCellMar>
      </w:tblPr>
      <w:tblGrid>
        <w:gridCol w:w="1018"/>
        <w:gridCol w:w="3111"/>
        <w:gridCol w:w="1169"/>
        <w:gridCol w:w="4884"/>
      </w:tblGrid>
      <w:tr>
        <w:tblPrEx>
          <w:tblCellMar>
            <w:top w:w="0" w:type="dxa"/>
            <w:left w:w="0" w:type="dxa"/>
            <w:bottom w:w="0" w:type="dxa"/>
            <w:right w:w="0" w:type="dxa"/>
          </w:tblCellMar>
        </w:tblPrEx>
        <w:trPr>
          <w:trHeight w:val="218" w:hRule="atLeast"/>
          <w:jc w:val="center"/>
        </w:trPr>
        <w:tc>
          <w:tcPr>
            <w:tcW w:w="1018" w:type="dxa"/>
            <w:vMerge w:val="restart"/>
            <w:tcBorders>
              <w:top w:val="single" w:color="000000" w:sz="6" w:space="0"/>
              <w:left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主体</w:t>
            </w:r>
          </w:p>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信息</w:t>
            </w: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名称</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65"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地址</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2041"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业态</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□食品销售者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□食用农产品销售者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集中交易市场开办者（□批发市场 □零售市场）</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□网络食品交易第三方平台提供者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食品（食用农产品）</w:t>
            </w:r>
            <w:r>
              <w:rPr>
                <w:rFonts w:hint="eastAsia" w:ascii="仿宋_GB2312" w:hAnsi="仿宋_GB2312" w:eastAsia="仿宋_GB2312" w:cs="仿宋_GB2312"/>
                <w:color w:val="000000" w:themeColor="text1"/>
                <w:sz w:val="21"/>
                <w:szCs w:val="21"/>
                <w14:textFill>
                  <w14:solidFill>
                    <w14:schemeClr w14:val="tx1"/>
                  </w14:solidFill>
                </w14:textFill>
              </w:rPr>
              <w:t>贮存服务提供者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14:textFill>
                  <w14:solidFill>
                    <w14:schemeClr w14:val="tx1"/>
                  </w14:solidFill>
                </w14:textFill>
              </w:rPr>
              <w:t>社会餐饮服务经营者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14:textFill>
                  <w14:solidFill>
                    <w14:schemeClr w14:val="tx1"/>
                  </w14:solidFill>
                </w14:textFill>
              </w:rPr>
              <w:t>中央厨房和集体用餐配送单位</w:t>
            </w:r>
          </w:p>
          <w:p>
            <w:pPr>
              <w:keepNext w:val="0"/>
              <w:keepLines w:val="0"/>
              <w:pageBreakBefore w:val="0"/>
              <w:widowControl/>
              <w:tabs>
                <w:tab w:val="left" w:pos="125"/>
              </w:tabs>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单位食堂</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□学校（含托幼机构）食堂</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□养老机构食堂</w:t>
            </w:r>
          </w:p>
          <w:p>
            <w:pPr>
              <w:keepNext w:val="0"/>
              <w:keepLines w:val="0"/>
              <w:pageBreakBefore w:val="0"/>
              <w:widowControl/>
              <w:tabs>
                <w:tab w:val="left" w:pos="125"/>
              </w:tabs>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          □ 医疗机构食堂</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t xml:space="preserve"> □工地食堂</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其他）</w:t>
            </w:r>
            <w:r>
              <w:rPr>
                <w:rFonts w:hint="eastAsia" w:ascii="仿宋_GB2312" w:hAnsi="仿宋_GB2312" w:eastAsia="仿宋_GB2312" w:cs="仿宋_GB2312"/>
                <w:color w:val="000000" w:themeColor="text1"/>
                <w:sz w:val="21"/>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小餐饮</w:t>
            </w:r>
            <w:r>
              <w:rPr>
                <w:rFonts w:hint="eastAsia" w:ascii="仿宋_GB2312" w:hAnsi="仿宋_GB2312" w:eastAsia="仿宋_GB2312" w:cs="仿宋_GB2312"/>
                <w:color w:val="000000" w:themeColor="text1"/>
                <w:sz w:val="21"/>
                <w:szCs w:val="21"/>
                <w14:textFill>
                  <w14:solidFill>
                    <w14:schemeClr w14:val="tx1"/>
                  </w14:solidFill>
                </w14:textFill>
              </w:rPr>
              <w:t>经营者</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现场制售小摊点</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食品销售小摊点</w:t>
            </w:r>
          </w:p>
        </w:tc>
      </w:tr>
      <w:tr>
        <w:tblPrEx>
          <w:tblCellMar>
            <w:top w:w="0" w:type="dxa"/>
            <w:left w:w="0" w:type="dxa"/>
            <w:bottom w:w="0" w:type="dxa"/>
            <w:right w:w="0" w:type="dxa"/>
          </w:tblCellMar>
        </w:tblPrEx>
        <w:trPr>
          <w:trHeight w:val="171"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联系人及联系方式</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243"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上年度风险等级</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321"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rPr>
                <w:rFonts w:hint="eastAsia" w:ascii="仿宋_GB2312" w:hAnsi="仿宋_GB2312" w:eastAsia="仿宋_GB2312" w:cs="仿宋_GB2312"/>
                <w:color w:val="000000" w:themeColor="text1"/>
                <w:kern w:val="0"/>
                <w:sz w:val="21"/>
                <w:szCs w:val="21"/>
                <w:lang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校园及其周边100米范围内的食品销售者、社会餐饮服务经营者</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ind w:firstLine="2310" w:firstLineChars="1100"/>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      否□</w:t>
            </w:r>
          </w:p>
        </w:tc>
      </w:tr>
      <w:tr>
        <w:tblPrEx>
          <w:tblCellMar>
            <w:top w:w="0" w:type="dxa"/>
            <w:left w:w="0" w:type="dxa"/>
            <w:bottom w:w="0" w:type="dxa"/>
            <w:right w:w="0" w:type="dxa"/>
          </w:tblCellMar>
        </w:tblPrEx>
        <w:trPr>
          <w:trHeight w:val="425"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2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特定餐饮服务提供者</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2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00A8"/>
            </w:r>
            <w:r>
              <w:rPr>
                <w:rFonts w:hint="eastAsia" w:ascii="仿宋_GB2312" w:hAnsi="仿宋_GB2312" w:eastAsia="仿宋_GB2312" w:cs="仿宋_GB2312"/>
                <w:color w:val="000000" w:themeColor="text1"/>
                <w:sz w:val="21"/>
                <w:szCs w:val="21"/>
                <w14:textFill>
                  <w14:solidFill>
                    <w14:schemeClr w14:val="tx1"/>
                  </w14:solidFill>
                </w14:textFill>
              </w:rPr>
              <w:t xml:space="preserve">学校（含托幼机构）食堂  </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F0A8"/>
            </w:r>
            <w:r>
              <w:rPr>
                <w:rFonts w:hint="eastAsia" w:ascii="仿宋_GB2312" w:hAnsi="仿宋_GB2312" w:eastAsia="仿宋_GB2312" w:cs="仿宋_GB2312"/>
                <w:color w:val="000000" w:themeColor="text1"/>
                <w:sz w:val="21"/>
                <w:szCs w:val="21"/>
                <w14:textFill>
                  <w14:solidFill>
                    <w14:schemeClr w14:val="tx1"/>
                  </w14:solidFill>
                </w14:textFill>
              </w:rPr>
              <w:t xml:space="preserve">养老机构食堂  </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F0A8"/>
            </w:r>
            <w:r>
              <w:rPr>
                <w:rFonts w:hint="eastAsia" w:ascii="仿宋_GB2312" w:hAnsi="仿宋_GB2312" w:eastAsia="仿宋_GB2312" w:cs="仿宋_GB2312"/>
                <w:color w:val="000000" w:themeColor="text1"/>
                <w:sz w:val="21"/>
                <w:szCs w:val="21"/>
                <w14:textFill>
                  <w14:solidFill>
                    <w14:schemeClr w14:val="tx1"/>
                  </w14:solidFill>
                </w14:textFill>
              </w:rPr>
              <w:t>医疗机构食堂</w:t>
            </w:r>
          </w:p>
          <w:p>
            <w:pPr>
              <w:widowControl/>
              <w:spacing w:line="22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工地食堂</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F0A8"/>
            </w:r>
            <w:r>
              <w:rPr>
                <w:rFonts w:hint="eastAsia" w:ascii="仿宋_GB2312" w:hAnsi="仿宋_GB2312" w:eastAsia="仿宋_GB2312" w:cs="仿宋_GB2312"/>
                <w:color w:val="000000" w:themeColor="text1"/>
                <w:sz w:val="21"/>
                <w:szCs w:val="21"/>
                <w14:textFill>
                  <w14:solidFill>
                    <w14:schemeClr w14:val="tx1"/>
                  </w14:solidFill>
                </w14:textFill>
              </w:rPr>
              <w:t xml:space="preserve">中央厨房      </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00A8"/>
            </w:r>
            <w:r>
              <w:rPr>
                <w:rFonts w:hint="eastAsia" w:ascii="仿宋_GB2312" w:hAnsi="仿宋_GB2312" w:eastAsia="仿宋_GB2312" w:cs="仿宋_GB2312"/>
                <w:color w:val="000000" w:themeColor="text1"/>
                <w:sz w:val="21"/>
                <w:szCs w:val="21"/>
                <w14:textFill>
                  <w14:solidFill>
                    <w14:schemeClr w14:val="tx1"/>
                  </w14:solidFill>
                </w14:textFill>
              </w:rPr>
              <w:t>集体用餐配送单位</w:t>
            </w:r>
          </w:p>
        </w:tc>
      </w:tr>
      <w:tr>
        <w:tblPrEx>
          <w:tblCellMar>
            <w:top w:w="0" w:type="dxa"/>
            <w:left w:w="0" w:type="dxa"/>
            <w:bottom w:w="0" w:type="dxa"/>
            <w:right w:w="0" w:type="dxa"/>
          </w:tblCellMar>
        </w:tblPrEx>
        <w:trPr>
          <w:trHeight w:val="321" w:hRule="atLeast"/>
          <w:jc w:val="center"/>
        </w:trPr>
        <w:tc>
          <w:tcPr>
            <w:tcW w:w="1018" w:type="dxa"/>
            <w:vMerge w:val="continue"/>
            <w:tcBorders>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食用农产品批发市场</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F0A8"/>
            </w: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      否</w:t>
            </w:r>
            <w:r>
              <w:rPr>
                <w:rFonts w:hint="eastAsia" w:ascii="仿宋_GB2312" w:hAnsi="仿宋_GB2312" w:eastAsia="仿宋_GB2312" w:cs="仿宋_GB2312"/>
                <w:color w:val="000000" w:themeColor="text1"/>
                <w:kern w:val="0"/>
                <w:sz w:val="21"/>
                <w:szCs w:val="21"/>
                <w14:textFill>
                  <w14:solidFill>
                    <w14:schemeClr w14:val="tx1"/>
                  </w14:solidFill>
                </w14:textFill>
              </w:rPr>
              <w:sym w:font="Wingdings" w:char="F0A8"/>
            </w:r>
          </w:p>
        </w:tc>
      </w:tr>
      <w:tr>
        <w:tblPrEx>
          <w:tblCellMar>
            <w:top w:w="0" w:type="dxa"/>
            <w:left w:w="0" w:type="dxa"/>
            <w:bottom w:w="0" w:type="dxa"/>
            <w:right w:w="0" w:type="dxa"/>
          </w:tblCellMar>
        </w:tblPrEx>
        <w:trPr>
          <w:trHeight w:val="321" w:hRule="atLeast"/>
          <w:jc w:val="center"/>
        </w:trPr>
        <w:tc>
          <w:tcPr>
            <w:tcW w:w="101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静态风险</w:t>
            </w: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静态风险因素量化分值</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187" w:hRule="atLeast"/>
          <w:jc w:val="center"/>
        </w:trPr>
        <w:tc>
          <w:tcPr>
            <w:tcW w:w="101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动态风险</w:t>
            </w: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动态风险因素量化分值</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321" w:hRule="atLeast"/>
          <w:jc w:val="center"/>
        </w:trPr>
        <w:tc>
          <w:tcPr>
            <w:tcW w:w="1018" w:type="dxa"/>
            <w:vMerge w:val="restart"/>
            <w:tcBorders>
              <w:top w:val="single" w:color="000000" w:sz="6" w:space="0"/>
              <w:left w:val="single" w:color="000000" w:sz="6" w:space="0"/>
              <w:right w:val="single" w:color="000000" w:sz="6" w:space="0"/>
            </w:tcBorders>
            <w:noWrap w:val="0"/>
            <w:vAlign w:val="center"/>
          </w:tcPr>
          <w:p>
            <w:pPr>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主体风险</w:t>
            </w: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核减分值</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321" w:hRule="atLeast"/>
          <w:jc w:val="center"/>
        </w:trPr>
        <w:tc>
          <w:tcPr>
            <w:tcW w:w="1018" w:type="dxa"/>
            <w:vMerge w:val="continue"/>
            <w:tcBorders>
              <w:left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风险等级得分</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（静态风险+动态风险-核减分值）</w:t>
            </w:r>
          </w:p>
        </w:tc>
      </w:tr>
      <w:tr>
        <w:tblPrEx>
          <w:tblCellMar>
            <w:top w:w="0" w:type="dxa"/>
            <w:left w:w="0" w:type="dxa"/>
            <w:bottom w:w="0" w:type="dxa"/>
            <w:right w:w="0" w:type="dxa"/>
          </w:tblCellMar>
        </w:tblPrEx>
        <w:trPr>
          <w:trHeight w:val="321" w:hRule="atLeast"/>
          <w:jc w:val="center"/>
        </w:trPr>
        <w:tc>
          <w:tcPr>
            <w:tcW w:w="1018" w:type="dxa"/>
            <w:vMerge w:val="continue"/>
            <w:tcBorders>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p>
        </w:tc>
        <w:tc>
          <w:tcPr>
            <w:tcW w:w="311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分值风险等级</w:t>
            </w:r>
          </w:p>
        </w:tc>
        <w:tc>
          <w:tcPr>
            <w:tcW w:w="6053"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6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         □A级  □B级  □C级  □D级</w:t>
            </w:r>
          </w:p>
        </w:tc>
      </w:tr>
      <w:tr>
        <w:tblPrEx>
          <w:tblCellMar>
            <w:top w:w="0" w:type="dxa"/>
            <w:left w:w="0" w:type="dxa"/>
            <w:bottom w:w="0" w:type="dxa"/>
            <w:right w:w="0" w:type="dxa"/>
          </w:tblCellMar>
        </w:tblPrEx>
        <w:trPr>
          <w:trHeight w:val="90" w:hRule="atLeast"/>
          <w:jc w:val="center"/>
        </w:trPr>
        <w:tc>
          <w:tcPr>
            <w:tcW w:w="1018"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主体</w:t>
            </w:r>
          </w:p>
          <w:p>
            <w:pPr>
              <w:widowControl/>
              <w:spacing w:line="34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风险</w:t>
            </w:r>
          </w:p>
          <w:p>
            <w:pPr>
              <w:widowControl/>
              <w:spacing w:line="3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等级</w:t>
            </w:r>
          </w:p>
        </w:tc>
        <w:tc>
          <w:tcPr>
            <w:tcW w:w="9164" w:type="dxa"/>
            <w:gridSpan w:val="3"/>
            <w:tcBorders>
              <w:top w:val="single" w:color="000000" w:sz="6" w:space="0"/>
              <w:left w:val="single" w:color="000000" w:sz="6" w:space="0"/>
              <w:right w:val="single" w:color="000000" w:sz="6" w:space="0"/>
            </w:tcBorders>
            <w:noWrap w:val="0"/>
            <w:vAlign w:val="center"/>
          </w:tcPr>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是否存在下列情形（1-7可调高等级项；8-11可调低等级项；12-15可核减分值项）：</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1．□违反食品安全法律法规，受到行政处罚的；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2．□有1次监督抽检不符合食品安全标准，且经查证未落实相关责任义务的；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3．□违反食品安全法律法规规定，造成不良社会影响的；</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4．□发生食品安全事故的；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5．□不按规定进行召回或者停止经营的；</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6．□拒绝、逃避、阻挠执法人员进行监督检查，或者拒不配合执法人员依法进行案件调查的；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7．□具有法律、法规、规章和</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省市场监管局</w:t>
            </w:r>
            <w:r>
              <w:rPr>
                <w:rFonts w:hint="eastAsia" w:ascii="仿宋_GB2312" w:hAnsi="仿宋_GB2312" w:eastAsia="仿宋_GB2312" w:cs="仿宋_GB2312"/>
                <w:color w:val="000000" w:themeColor="text1"/>
                <w:kern w:val="0"/>
                <w:sz w:val="21"/>
                <w:szCs w:val="21"/>
                <w14:textFill>
                  <w14:solidFill>
                    <w14:schemeClr w14:val="tx1"/>
                  </w14:solidFill>
                </w14:textFill>
              </w:rPr>
              <w:t>规定的其他可以上调风险等级的情形；（请在备注中说明具体情形）</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8．□连续3年食品安全监督管理记录没有违反可调高风险等级所列情形的；</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9．□获得危害分析与关键控制点体系、食品安全管理体系、食品防护计划等质量管理规范认证的；</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10．□获得</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级以上人民政府质量奖的；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11．□具有法律、法规、规章和</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省市场监管局</w:t>
            </w:r>
            <w:r>
              <w:rPr>
                <w:rFonts w:hint="eastAsia" w:ascii="仿宋_GB2312" w:hAnsi="仿宋_GB2312" w:eastAsia="仿宋_GB2312" w:cs="仿宋_GB2312"/>
                <w:color w:val="000000" w:themeColor="text1"/>
                <w:kern w:val="0"/>
                <w:sz w:val="21"/>
                <w:szCs w:val="21"/>
                <w14:textFill>
                  <w14:solidFill>
                    <w14:schemeClr w14:val="tx1"/>
                  </w14:solidFill>
                </w14:textFill>
              </w:rPr>
              <w:t>规定的其他可以下调风险等级的情形；（请在备注中说明具体情形）</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12．□取得</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省</w:t>
            </w:r>
            <w:r>
              <w:rPr>
                <w:rFonts w:hint="eastAsia" w:ascii="仿宋_GB2312" w:hAnsi="仿宋_GB2312" w:eastAsia="仿宋_GB2312" w:cs="仿宋_GB2312"/>
                <w:color w:val="000000" w:themeColor="text1"/>
                <w:kern w:val="0"/>
                <w:sz w:val="21"/>
                <w:szCs w:val="21"/>
                <w14:textFill>
                  <w14:solidFill>
                    <w14:schemeClr w14:val="tx1"/>
                  </w14:solidFill>
                </w14:textFill>
              </w:rPr>
              <w:t>级食品安全管理示范店称号的食品销售者；</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13．□取得放心肉菜示范超市称号的食品（食用农产品）销售者；</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14．□取得</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kern w:val="0"/>
                <w:sz w:val="21"/>
                <w:szCs w:val="21"/>
                <w14:textFill>
                  <w14:solidFill>
                    <w14:schemeClr w14:val="tx1"/>
                  </w14:solidFill>
                </w14:textFill>
              </w:rPr>
              <w:t>级食品安全管理示范店称号的食品销售者；</w:t>
            </w:r>
          </w:p>
          <w:p>
            <w:pPr>
              <w:spacing w:line="200" w:lineRule="exact"/>
              <w:ind w:firstLine="105" w:firstLineChars="50"/>
              <w:jc w:val="left"/>
              <w:rPr>
                <w:rFonts w:hint="eastAsia" w:ascii="仿宋_GB2312" w:hAnsi="仿宋_GB2312" w:eastAsia="仿宋_GB2312" w:cs="仿宋_GB2312"/>
                <w:b/>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15．□实现“互联网+明厨亮灶”的餐饮服务提供者。　</w:t>
            </w:r>
          </w:p>
          <w:p>
            <w:pPr>
              <w:spacing w:line="200" w:lineRule="exact"/>
              <w:ind w:firstLine="105" w:firstLineChars="5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建议  □ 上调  个风险等级   □ 不调整风险等级   □ 下调  个风险等级   </w:t>
            </w:r>
          </w:p>
        </w:tc>
      </w:tr>
      <w:tr>
        <w:tblPrEx>
          <w:tblCellMar>
            <w:top w:w="0" w:type="dxa"/>
            <w:left w:w="0" w:type="dxa"/>
            <w:bottom w:w="0" w:type="dxa"/>
            <w:right w:w="0" w:type="dxa"/>
          </w:tblCellMar>
        </w:tblPrEx>
        <w:trPr>
          <w:trHeight w:val="64" w:hRule="atLeast"/>
          <w:jc w:val="center"/>
        </w:trPr>
        <w:tc>
          <w:tcPr>
            <w:tcW w:w="101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4280"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本年度风险等级</w:t>
            </w:r>
          </w:p>
        </w:tc>
        <w:tc>
          <w:tcPr>
            <w:tcW w:w="488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64" w:hRule="atLeast"/>
          <w:jc w:val="center"/>
        </w:trPr>
        <w:tc>
          <w:tcPr>
            <w:tcW w:w="101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20" w:lineRule="exact"/>
              <w:jc w:val="center"/>
              <w:rPr>
                <w:rFonts w:hint="eastAsia" w:ascii="仿宋_GB2312" w:hAnsi="仿宋_GB2312" w:eastAsia="仿宋_GB2312" w:cs="仿宋_GB2312"/>
                <w:bCs/>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备注</w:t>
            </w:r>
          </w:p>
        </w:tc>
        <w:tc>
          <w:tcPr>
            <w:tcW w:w="9164"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61"/>
              <w:jc w:val="left"/>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p>
        </w:tc>
      </w:tr>
      <w:tr>
        <w:tblPrEx>
          <w:tblCellMar>
            <w:top w:w="0" w:type="dxa"/>
            <w:left w:w="0" w:type="dxa"/>
            <w:bottom w:w="0" w:type="dxa"/>
            <w:right w:w="0" w:type="dxa"/>
          </w:tblCellMar>
        </w:tblPrEx>
        <w:trPr>
          <w:trHeight w:val="694" w:hRule="atLeast"/>
          <w:jc w:val="center"/>
        </w:trPr>
        <w:tc>
          <w:tcPr>
            <w:tcW w:w="5298"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rPr>
                <w:rFonts w:hint="eastAsia" w:ascii="仿宋_GB2312" w:hAnsi="仿宋_GB2312" w:eastAsia="仿宋_GB2312" w:cs="仿宋_GB2312"/>
                <w:bCs/>
                <w:color w:val="000000" w:themeColor="text1"/>
                <w:kern w:val="0"/>
                <w:sz w:val="21"/>
                <w:szCs w:val="21"/>
                <w14:textFill>
                  <w14:solidFill>
                    <w14:schemeClr w14:val="tx1"/>
                  </w14:solidFill>
                </w14:textFill>
              </w:rPr>
            </w:pPr>
            <w:r>
              <w:rPr>
                <w:rFonts w:hint="eastAsia" w:ascii="仿宋_GB2312" w:hAnsi="仿宋_GB2312" w:eastAsia="仿宋_GB2312" w:cs="仿宋_GB2312"/>
                <w:bCs/>
                <w:color w:val="000000" w:themeColor="text1"/>
                <w:kern w:val="0"/>
                <w:sz w:val="21"/>
                <w:szCs w:val="21"/>
                <w14:textFill>
                  <w14:solidFill>
                    <w14:schemeClr w14:val="tx1"/>
                  </w14:solidFill>
                </w14:textFill>
              </w:rPr>
              <w:t>填表人签名：</w:t>
            </w:r>
          </w:p>
          <w:p>
            <w:pPr>
              <w:widowControl/>
              <w:spacing w:line="200" w:lineRule="exact"/>
              <w:ind w:firstLine="3422" w:firstLineChars="1630"/>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年  月  日</w:t>
            </w:r>
          </w:p>
        </w:tc>
        <w:tc>
          <w:tcPr>
            <w:tcW w:w="488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审核人签名：</w:t>
            </w:r>
          </w:p>
          <w:p>
            <w:pPr>
              <w:widowControl/>
              <w:spacing w:line="200" w:lineRule="exact"/>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 xml:space="preserve">                            年  月  日</w:t>
            </w:r>
          </w:p>
        </w:tc>
      </w:tr>
    </w:tbl>
    <w:p>
      <w:pPr>
        <w:rPr>
          <w:color w:val="000000" w:themeColor="text1"/>
          <w14:textFill>
            <w14:solidFill>
              <w14:schemeClr w14:val="tx1"/>
            </w14:solidFill>
          </w14:textFill>
        </w:rPr>
      </w:pPr>
    </w:p>
    <w:p>
      <w:pPr>
        <w:widowControl/>
        <w:shd w:val="clear" w:color="auto" w:fill="FFFFFF"/>
        <w:spacing w:line="400" w:lineRule="exact"/>
        <w:jc w:val="left"/>
        <w:rPr>
          <w:rFonts w:hint="default" w:ascii="方正小标宋简体" w:eastAsia="方正小标宋简体"/>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eastAsia="zh-CN"/>
          <w14:textFill>
            <w14:solidFill>
              <w14:schemeClr w14:val="tx1"/>
            </w14:solidFill>
          </w14:textFill>
        </w:rPr>
        <w:br w:type="page"/>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24</w:t>
      </w:r>
    </w:p>
    <w:p>
      <w:pPr>
        <w:widowControl/>
        <w:shd w:val="clear" w:color="auto" w:fill="FFFFFF"/>
        <w:spacing w:line="400" w:lineRule="exact"/>
        <w:jc w:val="center"/>
        <w:rPr>
          <w:rFonts w:hint="eastAsia" w:ascii="方正小标宋简体" w:eastAsia="方正小标宋简体"/>
          <w:color w:val="000000" w:themeColor="text1"/>
          <w:kern w:val="0"/>
          <w:sz w:val="32"/>
          <w:szCs w:val="32"/>
          <w:u w:val="single"/>
          <w14:textFill>
            <w14:solidFill>
              <w14:schemeClr w14:val="tx1"/>
            </w14:solidFill>
          </w14:textFill>
        </w:rPr>
      </w:pP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u w:val="single"/>
          <w14:textFill>
            <w14:solidFill>
              <w14:schemeClr w14:val="tx1"/>
            </w14:solidFill>
          </w14:textFill>
        </w:rPr>
        <w:t xml:space="preserve">             　　　　</w:t>
      </w:r>
      <w:r>
        <w:rPr>
          <w:rFonts w:hint="eastAsia" w:ascii="方正小标宋简体" w:eastAsia="方正小标宋简体"/>
          <w:color w:val="000000" w:themeColor="text1"/>
          <w:kern w:val="0"/>
          <w:sz w:val="32"/>
          <w:szCs w:val="32"/>
          <w:lang w:eastAsia="zh-CN"/>
          <w14:textFill>
            <w14:solidFill>
              <w14:schemeClr w14:val="tx1"/>
            </w14:solidFill>
          </w14:textFill>
        </w:rPr>
        <w:t>县（市、区）</w:t>
      </w:r>
      <w:r>
        <w:rPr>
          <w:rFonts w:hint="eastAsia" w:ascii="方正小标宋简体" w:eastAsia="方正小标宋简体"/>
          <w:color w:val="000000" w:themeColor="text1"/>
          <w:kern w:val="0"/>
          <w:sz w:val="32"/>
          <w:szCs w:val="32"/>
          <w14:textFill>
            <w14:solidFill>
              <w14:schemeClr w14:val="tx1"/>
            </w14:solidFill>
          </w14:textFill>
        </w:rPr>
        <w:t>市场监督管理局</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r>
        <w:rPr>
          <w:rFonts w:hint="eastAsia" w:ascii="方正小标宋简体" w:eastAsia="方正小标宋简体"/>
          <w:color w:val="000000" w:themeColor="text1"/>
          <w:kern w:val="0"/>
          <w:sz w:val="32"/>
          <w:szCs w:val="32"/>
          <w14:textFill>
            <w14:solidFill>
              <w14:schemeClr w14:val="tx1"/>
            </w14:solidFill>
          </w14:textFill>
        </w:rPr>
        <w:t>食品经营者日常监督检查结果记录表</w:t>
      </w:r>
    </w:p>
    <w:p>
      <w:pPr>
        <w:widowControl/>
        <w:shd w:val="clear" w:color="auto" w:fill="FFFFFF"/>
        <w:spacing w:line="340" w:lineRule="exact"/>
        <w:jc w:val="center"/>
        <w:rPr>
          <w:rFonts w:ascii="仿宋" w:hAnsi="仿宋" w:eastAsia="仿宋"/>
          <w:color w:val="000000" w:themeColor="text1"/>
          <w:kern w:val="0"/>
          <w:sz w:val="24"/>
          <w14:textFill>
            <w14:solidFill>
              <w14:schemeClr w14:val="tx1"/>
            </w14:solidFill>
          </w14:textFill>
        </w:rPr>
      </w:pPr>
      <w:r>
        <w:rPr>
          <w:rFonts w:ascii="宋体" w:hAnsi="宋体"/>
          <w:color w:val="000000" w:themeColor="text1"/>
          <w:kern w:val="0"/>
          <w:sz w:val="28"/>
          <w:szCs w:val="28"/>
          <w14:textFill>
            <w14:solidFill>
              <w14:schemeClr w14:val="tx1"/>
            </w14:solidFill>
          </w14:textFill>
        </w:rPr>
        <w:t xml:space="preserve">                              </w:t>
      </w:r>
      <w:r>
        <w:rPr>
          <w:rFonts w:ascii="仿宋" w:hAnsi="仿宋" w:eastAsia="仿宋"/>
          <w:color w:val="000000" w:themeColor="text1"/>
          <w:kern w:val="0"/>
          <w:sz w:val="24"/>
          <w14:textFill>
            <w14:solidFill>
              <w14:schemeClr w14:val="tx1"/>
            </w14:solidFill>
          </w14:textFill>
        </w:rPr>
        <w:t>编号：</w:t>
      </w:r>
    </w:p>
    <w:tbl>
      <w:tblPr>
        <w:tblStyle w:val="7"/>
        <w:tblW w:w="10167" w:type="dxa"/>
        <w:jc w:val="center"/>
        <w:tblLayout w:type="fixed"/>
        <w:tblCellMar>
          <w:top w:w="0" w:type="dxa"/>
          <w:left w:w="0" w:type="dxa"/>
          <w:bottom w:w="0" w:type="dxa"/>
          <w:right w:w="0" w:type="dxa"/>
        </w:tblCellMar>
      </w:tblPr>
      <w:tblGrid>
        <w:gridCol w:w="810"/>
        <w:gridCol w:w="927"/>
        <w:gridCol w:w="3087"/>
        <w:gridCol w:w="259"/>
        <w:gridCol w:w="992"/>
        <w:gridCol w:w="4092"/>
      </w:tblGrid>
      <w:tr>
        <w:tblPrEx>
          <w:tblCellMar>
            <w:top w:w="0" w:type="dxa"/>
            <w:left w:w="0" w:type="dxa"/>
            <w:bottom w:w="0" w:type="dxa"/>
            <w:right w:w="0" w:type="dxa"/>
          </w:tblCellMar>
        </w:tblPrEx>
        <w:trPr>
          <w:trHeight w:val="368" w:hRule="atLeast"/>
          <w:jc w:val="center"/>
        </w:trPr>
        <w:tc>
          <w:tcPr>
            <w:tcW w:w="17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名  称</w:t>
            </w:r>
          </w:p>
        </w:tc>
        <w:tc>
          <w:tcPr>
            <w:tcW w:w="3087" w:type="dxa"/>
            <w:tcBorders>
              <w:top w:val="single" w:color="000000" w:sz="6" w:space="0"/>
              <w:left w:val="single" w:color="000000" w:sz="6" w:space="0"/>
              <w:bottom w:val="single" w:color="000000" w:sz="6"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p>
        </w:tc>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地  址</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68" w:hRule="atLeast"/>
          <w:jc w:val="center"/>
        </w:trPr>
        <w:tc>
          <w:tcPr>
            <w:tcW w:w="17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联系人</w:t>
            </w:r>
          </w:p>
        </w:tc>
        <w:tc>
          <w:tcPr>
            <w:tcW w:w="3087" w:type="dxa"/>
            <w:tcBorders>
              <w:top w:val="single" w:color="000000" w:sz="6" w:space="0"/>
              <w:left w:val="single" w:color="000000" w:sz="6" w:space="0"/>
              <w:bottom w:val="single" w:color="000000" w:sz="6"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p>
        </w:tc>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联系电话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1543" w:hRule="atLeast"/>
          <w:jc w:val="center"/>
        </w:trPr>
        <w:tc>
          <w:tcPr>
            <w:tcW w:w="17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业态</w:t>
            </w:r>
          </w:p>
        </w:tc>
        <w:tc>
          <w:tcPr>
            <w:tcW w:w="8430"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□食品销售者</w:t>
            </w:r>
          </w:p>
          <w:p>
            <w:pPr>
              <w:widowControl/>
              <w:spacing w:line="24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食用农产品销售者</w:t>
            </w:r>
          </w:p>
          <w:p>
            <w:pPr>
              <w:widowControl/>
              <w:spacing w:line="24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 xml:space="preserve">集中交易市场开办者（□批发市场 </w:t>
            </w: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零售市场）</w:t>
            </w:r>
          </w:p>
          <w:p>
            <w:pPr>
              <w:widowControl/>
              <w:spacing w:line="24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网络食品交易第三方平台提供者</w:t>
            </w:r>
          </w:p>
          <w:p>
            <w:pPr>
              <w:widowControl/>
              <w:spacing w:line="24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lang w:eastAsia="zh-CN"/>
                <w14:textFill>
                  <w14:solidFill>
                    <w14:schemeClr w14:val="tx1"/>
                  </w14:solidFill>
                </w14:textFill>
              </w:rPr>
              <w:t>食品（食用农产品）</w:t>
            </w:r>
            <w:r>
              <w:rPr>
                <w:rFonts w:hint="eastAsia" w:ascii="仿宋_GB2312" w:hAnsi="仿宋_GB2312" w:eastAsia="仿宋_GB2312" w:cs="仿宋_GB2312"/>
                <w:color w:val="000000" w:themeColor="text1"/>
                <w:kern w:val="0"/>
                <w:szCs w:val="21"/>
                <w14:textFill>
                  <w14:solidFill>
                    <w14:schemeClr w14:val="tx1"/>
                  </w14:solidFill>
                </w14:textFill>
              </w:rPr>
              <w:t>贮存服务提供者</w:t>
            </w:r>
          </w:p>
          <w:p>
            <w:pPr>
              <w:widowControl/>
              <w:spacing w:line="24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□社会餐饮服务经营者</w:t>
            </w:r>
          </w:p>
          <w:p>
            <w:pPr>
              <w:widowControl/>
              <w:tabs>
                <w:tab w:val="left" w:pos="125"/>
              </w:tabs>
              <w:spacing w:line="24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中央厨房和集体用餐配送单位</w:t>
            </w:r>
          </w:p>
          <w:p>
            <w:pPr>
              <w:widowControl/>
              <w:tabs>
                <w:tab w:val="left" w:pos="125"/>
              </w:tabs>
              <w:spacing w:line="24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sym w:font="Wingdings 2" w:char="00A3"/>
            </w:r>
            <w:r>
              <w:rPr>
                <w:rFonts w:hint="eastAsia" w:ascii="仿宋" w:hAnsi="仿宋" w:eastAsia="仿宋"/>
                <w:color w:val="000000" w:themeColor="text1"/>
                <w:kern w:val="0"/>
                <w:szCs w:val="21"/>
                <w14:textFill>
                  <w14:solidFill>
                    <w14:schemeClr w14:val="tx1"/>
                  </w14:solidFill>
                </w14:textFill>
              </w:rPr>
              <w:t>单位食堂（</w:t>
            </w:r>
            <w:r>
              <w:rPr>
                <w:rFonts w:ascii="仿宋" w:hAnsi="仿宋" w:eastAsia="仿宋"/>
                <w:color w:val="000000" w:themeColor="text1"/>
                <w:kern w:val="0"/>
                <w:szCs w:val="21"/>
                <w14:textFill>
                  <w14:solidFill>
                    <w14:schemeClr w14:val="tx1"/>
                  </w14:solidFill>
                </w14:textFill>
              </w:rPr>
              <w:sym w:font="Wingdings 2" w:char="00A3"/>
            </w:r>
            <w:r>
              <w:rPr>
                <w:rFonts w:ascii="仿宋" w:hAnsi="仿宋" w:eastAsia="仿宋"/>
                <w:color w:val="000000" w:themeColor="text1"/>
                <w:kern w:val="0"/>
                <w:szCs w:val="21"/>
                <w14:textFill>
                  <w14:solidFill>
                    <w14:schemeClr w14:val="tx1"/>
                  </w14:solidFill>
                </w14:textFill>
              </w:rPr>
              <w:t>学校（含托幼机构）食堂□养老机构食堂</w:t>
            </w:r>
            <w:r>
              <w:rPr>
                <w:rFonts w:ascii="仿宋" w:hAnsi="仿宋" w:eastAsia="仿宋"/>
                <w:color w:val="000000" w:themeColor="text1"/>
                <w:kern w:val="0"/>
                <w:szCs w:val="21"/>
                <w14:textFill>
                  <w14:solidFill>
                    <w14:schemeClr w14:val="tx1"/>
                  </w14:solidFill>
                </w14:textFill>
              </w:rPr>
              <w:sym w:font="Wingdings 2" w:char="00A3"/>
            </w:r>
            <w:r>
              <w:rPr>
                <w:rFonts w:ascii="仿宋" w:hAnsi="仿宋" w:eastAsia="仿宋"/>
                <w:color w:val="000000" w:themeColor="text1"/>
                <w:kern w:val="0"/>
                <w:szCs w:val="21"/>
                <w14:textFill>
                  <w14:solidFill>
                    <w14:schemeClr w14:val="tx1"/>
                  </w14:solidFill>
                </w14:textFill>
              </w:rPr>
              <w:t xml:space="preserve"> 医疗机构食堂□工地食堂</w:t>
            </w:r>
            <w:r>
              <w:rPr>
                <w:rFonts w:hint="eastAsia" w:ascii="仿宋_GB2312" w:hAnsi="仿宋_GB2312" w:eastAsia="仿宋_GB2312" w:cs="仿宋_GB2312"/>
                <w:color w:val="000000" w:themeColor="text1"/>
                <w:sz w:val="21"/>
                <w:szCs w:val="21"/>
                <w14:textFill>
                  <w14:solidFill>
                    <w14:schemeClr w14:val="tx1"/>
                  </w14:solidFill>
                </w14:textFill>
              </w:rPr>
              <w:sym w:font="Wingdings 2" w:char="00A3"/>
            </w:r>
            <w:r>
              <w:rPr>
                <w:rFonts w:hint="eastAsia" w:ascii="仿宋_GB2312" w:hAnsi="仿宋_GB2312" w:eastAsia="仿宋_GB2312" w:cs="仿宋_GB2312"/>
                <w:color w:val="000000" w:themeColor="text1"/>
                <w:sz w:val="21"/>
                <w:szCs w:val="21"/>
                <w:lang w:eastAsia="zh-CN"/>
                <w14:textFill>
                  <w14:solidFill>
                    <w14:schemeClr w14:val="tx1"/>
                  </w14:solidFill>
                </w14:textFill>
              </w:rPr>
              <w:t>其他</w:t>
            </w:r>
            <w:r>
              <w:rPr>
                <w:rFonts w:hint="eastAsia" w:ascii="仿宋" w:hAnsi="仿宋" w:eastAsia="仿宋"/>
                <w:color w:val="000000" w:themeColor="text1"/>
                <w:kern w:val="0"/>
                <w:szCs w:val="21"/>
                <w14:textFill>
                  <w14:solidFill>
                    <w14:schemeClr w14:val="tx1"/>
                  </w14:solidFill>
                </w14:textFill>
              </w:rPr>
              <w:t>）</w:t>
            </w:r>
          </w:p>
        </w:tc>
      </w:tr>
      <w:tr>
        <w:tblPrEx>
          <w:tblCellMar>
            <w:top w:w="0" w:type="dxa"/>
            <w:left w:w="0" w:type="dxa"/>
            <w:bottom w:w="0" w:type="dxa"/>
            <w:right w:w="0" w:type="dxa"/>
          </w:tblCellMar>
        </w:tblPrEx>
        <w:trPr>
          <w:trHeight w:val="726" w:hRule="atLeast"/>
          <w:jc w:val="center"/>
        </w:trPr>
        <w:tc>
          <w:tcPr>
            <w:tcW w:w="173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许可（备案）证编号或社会信用代码</w:t>
            </w:r>
          </w:p>
        </w:tc>
        <w:tc>
          <w:tcPr>
            <w:tcW w:w="30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rPr>
                <w:rFonts w:ascii="仿宋" w:hAnsi="仿宋" w:eastAsia="仿宋"/>
                <w:color w:val="000000" w:themeColor="text1"/>
                <w:kern w:val="0"/>
                <w:szCs w:val="21"/>
                <w14:textFill>
                  <w14:solidFill>
                    <w14:schemeClr w14:val="tx1"/>
                  </w14:solidFill>
                </w14:textFill>
              </w:rPr>
            </w:pPr>
          </w:p>
        </w:tc>
        <w:tc>
          <w:tcPr>
            <w:tcW w:w="1251"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检查次数</w:t>
            </w:r>
          </w:p>
        </w:tc>
        <w:tc>
          <w:tcPr>
            <w:tcW w:w="409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本年度第</w:t>
            </w:r>
            <w:r>
              <w:rPr>
                <w:rFonts w:ascii="仿宋" w:hAnsi="仿宋" w:eastAsia="仿宋"/>
                <w:color w:val="000000" w:themeColor="text1"/>
                <w:kern w:val="0"/>
                <w:szCs w:val="21"/>
                <w:u w:val="single"/>
                <w14:textFill>
                  <w14:solidFill>
                    <w14:schemeClr w14:val="tx1"/>
                  </w14:solidFill>
                </w14:textFill>
              </w:rPr>
              <w:t xml:space="preserve">         </w:t>
            </w:r>
            <w:r>
              <w:rPr>
                <w:rFonts w:ascii="仿宋" w:hAnsi="仿宋" w:eastAsia="仿宋"/>
                <w:color w:val="000000" w:themeColor="text1"/>
                <w:kern w:val="0"/>
                <w:szCs w:val="21"/>
                <w14:textFill>
                  <w14:solidFill>
                    <w14:schemeClr w14:val="tx1"/>
                  </w14:solidFill>
                </w14:textFill>
              </w:rPr>
              <w:t>次检查</w:t>
            </w:r>
          </w:p>
        </w:tc>
      </w:tr>
      <w:tr>
        <w:tblPrEx>
          <w:tblCellMar>
            <w:top w:w="0" w:type="dxa"/>
            <w:left w:w="0" w:type="dxa"/>
            <w:bottom w:w="0" w:type="dxa"/>
            <w:right w:w="0" w:type="dxa"/>
          </w:tblCellMar>
        </w:tblPrEx>
        <w:trPr>
          <w:trHeight w:val="2145" w:hRule="atLeast"/>
          <w:jc w:val="center"/>
        </w:trPr>
        <w:tc>
          <w:tcPr>
            <w:tcW w:w="10167" w:type="dxa"/>
            <w:gridSpan w:val="6"/>
            <w:tcBorders>
              <w:top w:val="single" w:color="000000" w:sz="6" w:space="0"/>
              <w:left w:val="single" w:color="000000" w:sz="6" w:space="0"/>
              <w:right w:val="single" w:color="000000" w:sz="6" w:space="0"/>
            </w:tcBorders>
            <w:noWrap w:val="0"/>
            <w:vAlign w:val="center"/>
          </w:tcPr>
          <w:p>
            <w:pPr>
              <w:widowControl/>
              <w:spacing w:line="30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检查内容：</w:t>
            </w:r>
          </w:p>
          <w:p>
            <w:pPr>
              <w:widowControl/>
              <w:spacing w:line="30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　　</w:t>
            </w:r>
            <w:r>
              <w:rPr>
                <w:rFonts w:ascii="仿宋" w:hAnsi="仿宋" w:eastAsia="仿宋"/>
                <w:color w:val="000000" w:themeColor="text1"/>
                <w:kern w:val="0"/>
                <w:szCs w:val="21"/>
                <w:u w:val="single"/>
                <w14:textFill>
                  <w14:solidFill>
                    <w14:schemeClr w14:val="tx1"/>
                  </w14:solidFill>
                </w14:textFill>
              </w:rPr>
              <w:t>　　（市场监督管理部门全称）　　　</w:t>
            </w:r>
            <w:r>
              <w:rPr>
                <w:rFonts w:ascii="仿宋" w:hAnsi="仿宋" w:eastAsia="仿宋"/>
                <w:color w:val="000000" w:themeColor="text1"/>
                <w:kern w:val="0"/>
                <w:szCs w:val="21"/>
                <w14:textFill>
                  <w14:solidFill>
                    <w14:schemeClr w14:val="tx1"/>
                  </w14:solidFill>
                </w14:textFill>
              </w:rPr>
              <w:t>检查人员</w:t>
            </w:r>
            <w:r>
              <w:rPr>
                <w:rFonts w:ascii="仿宋" w:hAnsi="仿宋" w:eastAsia="仿宋"/>
                <w:color w:val="000000" w:themeColor="text1"/>
                <w:kern w:val="0"/>
                <w:szCs w:val="21"/>
                <w:u w:val="single"/>
                <w14:textFill>
                  <w14:solidFill>
                    <w14:schemeClr w14:val="tx1"/>
                  </w14:solidFill>
                </w14:textFill>
              </w:rPr>
              <w:t>　　　　　　　　　　　　　　</w:t>
            </w:r>
            <w:r>
              <w:rPr>
                <w:rFonts w:ascii="仿宋" w:hAnsi="仿宋" w:eastAsia="仿宋"/>
                <w:color w:val="000000" w:themeColor="text1"/>
                <w:kern w:val="0"/>
                <w:szCs w:val="21"/>
                <w14:textFill>
                  <w14:solidFill>
                    <w14:schemeClr w14:val="tx1"/>
                  </w14:solidFill>
                </w14:textFill>
              </w:rPr>
              <w:t>根据《中华人民共和国食品安全法》及其实施条例、《食品生产经营者日常监督检查管理办法》、《食用农产品市场销售质量安全监督管理办法》</w:t>
            </w:r>
            <w:r>
              <w:rPr>
                <w:rFonts w:hint="eastAsia" w:ascii="仿宋" w:hAnsi="仿宋" w:eastAsia="仿宋"/>
                <w:color w:val="000000" w:themeColor="text1"/>
                <w:kern w:val="0"/>
                <w:szCs w:val="21"/>
                <w14:textFill>
                  <w14:solidFill>
                    <w14:schemeClr w14:val="tx1"/>
                  </w14:solidFill>
                </w14:textFill>
              </w:rPr>
              <w:t>等</w:t>
            </w:r>
            <w:r>
              <w:rPr>
                <w:rFonts w:ascii="仿宋" w:hAnsi="仿宋" w:eastAsia="仿宋"/>
                <w:color w:val="000000" w:themeColor="text1"/>
                <w:kern w:val="0"/>
                <w:szCs w:val="21"/>
                <w14:textFill>
                  <w14:solidFill>
                    <w14:schemeClr w14:val="tx1"/>
                  </w14:solidFill>
                </w14:textFill>
              </w:rPr>
              <w:t>规定，于</w:t>
            </w:r>
            <w:r>
              <w:rPr>
                <w:rFonts w:ascii="仿宋" w:hAnsi="仿宋" w:eastAsia="仿宋"/>
                <w:color w:val="000000" w:themeColor="text1"/>
                <w:kern w:val="0"/>
                <w:szCs w:val="21"/>
                <w:u w:val="single"/>
                <w14:textFill>
                  <w14:solidFill>
                    <w14:schemeClr w14:val="tx1"/>
                  </w14:solidFill>
                </w14:textFill>
              </w:rPr>
              <w:t>　　　　</w:t>
            </w:r>
            <w:r>
              <w:rPr>
                <w:rFonts w:ascii="仿宋" w:hAnsi="仿宋" w:eastAsia="仿宋"/>
                <w:color w:val="000000" w:themeColor="text1"/>
                <w:kern w:val="0"/>
                <w:szCs w:val="21"/>
                <w14:textFill>
                  <w14:solidFill>
                    <w14:schemeClr w14:val="tx1"/>
                  </w14:solidFill>
                </w14:textFill>
              </w:rPr>
              <w:t>年</w:t>
            </w:r>
            <w:r>
              <w:rPr>
                <w:rFonts w:ascii="仿宋" w:hAnsi="仿宋" w:eastAsia="仿宋"/>
                <w:color w:val="000000" w:themeColor="text1"/>
                <w:kern w:val="0"/>
                <w:szCs w:val="21"/>
                <w:u w:val="single"/>
                <w14:textFill>
                  <w14:solidFill>
                    <w14:schemeClr w14:val="tx1"/>
                  </w14:solidFill>
                </w14:textFill>
              </w:rPr>
              <w:t>　　</w:t>
            </w:r>
            <w:r>
              <w:rPr>
                <w:rFonts w:ascii="仿宋" w:hAnsi="仿宋" w:eastAsia="仿宋"/>
                <w:color w:val="000000" w:themeColor="text1"/>
                <w:kern w:val="0"/>
                <w:szCs w:val="21"/>
                <w14:textFill>
                  <w14:solidFill>
                    <w14:schemeClr w14:val="tx1"/>
                  </w14:solidFill>
                </w14:textFill>
              </w:rPr>
              <w:t>月</w:t>
            </w:r>
            <w:r>
              <w:rPr>
                <w:rFonts w:ascii="仿宋" w:hAnsi="仿宋" w:eastAsia="仿宋"/>
                <w:color w:val="000000" w:themeColor="text1"/>
                <w:kern w:val="0"/>
                <w:szCs w:val="21"/>
                <w:u w:val="single"/>
                <w14:textFill>
                  <w14:solidFill>
                    <w14:schemeClr w14:val="tx1"/>
                  </w14:solidFill>
                </w14:textFill>
              </w:rPr>
              <w:t>　　</w:t>
            </w:r>
            <w:r>
              <w:rPr>
                <w:rFonts w:ascii="仿宋" w:hAnsi="仿宋" w:eastAsia="仿宋"/>
                <w:color w:val="000000" w:themeColor="text1"/>
                <w:kern w:val="0"/>
                <w:szCs w:val="21"/>
                <w14:textFill>
                  <w14:solidFill>
                    <w14:schemeClr w14:val="tx1"/>
                  </w14:solidFill>
                </w14:textFill>
              </w:rPr>
              <w:t>日对你单位进行了监督检查。本次监督检查按照</w:t>
            </w:r>
            <w:r>
              <w:rPr>
                <w:rFonts w:hint="eastAsia" w:ascii="仿宋" w:hAnsi="仿宋" w:eastAsia="仿宋"/>
                <w:color w:val="000000" w:themeColor="text1"/>
                <w:kern w:val="0"/>
                <w:szCs w:val="21"/>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w:t>
            </w:r>
            <w:r>
              <w:rPr>
                <w:rFonts w:ascii="仿宋" w:hAnsi="仿宋" w:eastAsia="仿宋"/>
                <w:b/>
                <w:color w:val="000000" w:themeColor="text1"/>
                <w:kern w:val="0"/>
                <w:szCs w:val="21"/>
                <w14:textFill>
                  <w14:solidFill>
                    <w14:schemeClr w14:val="tx1"/>
                  </w14:solidFill>
                </w14:textFill>
              </w:rPr>
              <w:t>食品销售者日常监督检查要点表》</w:t>
            </w:r>
            <w:r>
              <w:rPr>
                <w:rFonts w:hint="eastAsia" w:ascii="仿宋" w:hAnsi="仿宋" w:eastAsia="仿宋"/>
                <w:b/>
                <w:color w:val="000000" w:themeColor="text1"/>
                <w:kern w:val="0"/>
                <w:szCs w:val="21"/>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□《集中交易市场开办者日常监督检查要点表》</w:t>
            </w:r>
            <w:r>
              <w:rPr>
                <w:rFonts w:hint="eastAsia" w:ascii="仿宋" w:hAnsi="仿宋" w:eastAsia="仿宋"/>
                <w:b/>
                <w:color w:val="000000" w:themeColor="text1"/>
                <w:kern w:val="0"/>
                <w:sz w:val="20"/>
                <w:szCs w:val="20"/>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w:t>
            </w:r>
            <w:r>
              <w:rPr>
                <w:rFonts w:hint="eastAsia" w:ascii="仿宋" w:hAnsi="仿宋" w:eastAsia="仿宋"/>
                <w:b/>
                <w:color w:val="000000" w:themeColor="text1"/>
                <w:kern w:val="0"/>
                <w:sz w:val="20"/>
                <w:szCs w:val="20"/>
                <w14:textFill>
                  <w14:solidFill>
                    <w14:schemeClr w14:val="tx1"/>
                  </w14:solidFill>
                </w14:textFill>
              </w:rPr>
              <w:t>《</w:t>
            </w:r>
            <w:r>
              <w:rPr>
                <w:rFonts w:hint="eastAsia"/>
                <w:b/>
                <w:color w:val="000000" w:themeColor="text1"/>
                <w:szCs w:val="21"/>
                <w14:textFill>
                  <w14:solidFill>
                    <w14:schemeClr w14:val="tx1"/>
                  </w14:solidFill>
                </w14:textFill>
              </w:rPr>
              <w:t>网络食品交易第三方平台提供者日常监督检查要点表</w:t>
            </w:r>
            <w:r>
              <w:rPr>
                <w:rFonts w:hint="eastAsia" w:ascii="仿宋" w:hAnsi="仿宋" w:eastAsia="仿宋"/>
                <w:b/>
                <w:color w:val="000000" w:themeColor="text1"/>
                <w:kern w:val="0"/>
                <w:sz w:val="20"/>
                <w:szCs w:val="20"/>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□《食用农产品销售者日常监督检查要点表》</w:t>
            </w:r>
            <w:r>
              <w:rPr>
                <w:rFonts w:hint="eastAsia" w:ascii="仿宋" w:hAnsi="仿宋" w:eastAsia="仿宋"/>
                <w:b/>
                <w:color w:val="000000" w:themeColor="text1"/>
                <w:kern w:val="0"/>
                <w:sz w:val="20"/>
                <w:szCs w:val="20"/>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w:t>
            </w:r>
            <w:r>
              <w:rPr>
                <w:rFonts w:hint="eastAsia" w:ascii="仿宋" w:hAnsi="仿宋" w:eastAsia="仿宋"/>
                <w:b/>
                <w:color w:val="000000" w:themeColor="text1"/>
                <w:kern w:val="0"/>
                <w:sz w:val="20"/>
                <w:szCs w:val="20"/>
                <w:lang w:eastAsia="zh-CN"/>
                <w14:textFill>
                  <w14:solidFill>
                    <w14:schemeClr w14:val="tx1"/>
                  </w14:solidFill>
                </w14:textFill>
              </w:rPr>
              <w:t>食品（食用农产品）</w:t>
            </w:r>
            <w:r>
              <w:rPr>
                <w:rFonts w:ascii="仿宋" w:hAnsi="仿宋" w:eastAsia="仿宋"/>
                <w:b/>
                <w:color w:val="000000" w:themeColor="text1"/>
                <w:kern w:val="0"/>
                <w:sz w:val="20"/>
                <w:szCs w:val="20"/>
                <w14:textFill>
                  <w14:solidFill>
                    <w14:schemeClr w14:val="tx1"/>
                  </w14:solidFill>
                </w14:textFill>
              </w:rPr>
              <w:t>贮存服务提供者日常监督检查要点表》</w:t>
            </w:r>
            <w:r>
              <w:rPr>
                <w:rFonts w:hint="eastAsia" w:ascii="仿宋" w:hAnsi="仿宋" w:eastAsia="仿宋"/>
                <w:b/>
                <w:color w:val="000000" w:themeColor="text1"/>
                <w:kern w:val="0"/>
                <w:sz w:val="20"/>
                <w:szCs w:val="20"/>
                <w14:textFill>
                  <w14:solidFill>
                    <w14:schemeClr w14:val="tx1"/>
                  </w14:solidFill>
                </w14:textFill>
              </w:rPr>
              <w:t xml:space="preserve"> </w:t>
            </w:r>
            <w:r>
              <w:rPr>
                <w:rFonts w:ascii="仿宋" w:hAnsi="仿宋" w:eastAsia="仿宋"/>
                <w:b/>
                <w:color w:val="000000" w:themeColor="text1"/>
                <w:kern w:val="0"/>
                <w:sz w:val="20"/>
                <w:szCs w:val="20"/>
                <w14:textFill>
                  <w14:solidFill>
                    <w14:schemeClr w14:val="tx1"/>
                  </w14:solidFill>
                </w14:textFill>
              </w:rPr>
              <w:t>□</w:t>
            </w:r>
            <w:r>
              <w:rPr>
                <w:rFonts w:hint="eastAsia" w:ascii="仿宋" w:hAnsi="仿宋" w:eastAsia="仿宋"/>
                <w:b/>
                <w:color w:val="000000" w:themeColor="text1"/>
                <w:kern w:val="0"/>
                <w:sz w:val="20"/>
                <w:szCs w:val="20"/>
                <w14:textFill>
                  <w14:solidFill>
                    <w14:schemeClr w14:val="tx1"/>
                  </w14:solidFill>
                </w14:textFill>
              </w:rPr>
              <w:t xml:space="preserve">《社会餐饮服务经营者日常监督检查要点表》 </w:t>
            </w:r>
            <w:r>
              <w:rPr>
                <w:rFonts w:ascii="仿宋" w:hAnsi="仿宋" w:eastAsia="仿宋"/>
                <w:b/>
                <w:color w:val="000000" w:themeColor="text1"/>
                <w:kern w:val="0"/>
                <w:sz w:val="20"/>
                <w:szCs w:val="20"/>
                <w14:textFill>
                  <w14:solidFill>
                    <w14:schemeClr w14:val="tx1"/>
                  </w14:solidFill>
                </w14:textFill>
              </w:rPr>
              <w:t>□</w:t>
            </w:r>
            <w:r>
              <w:rPr>
                <w:rFonts w:hint="eastAsia" w:ascii="仿宋" w:hAnsi="仿宋" w:eastAsia="仿宋"/>
                <w:b/>
                <w:color w:val="000000" w:themeColor="text1"/>
                <w:kern w:val="0"/>
                <w:sz w:val="20"/>
                <w:szCs w:val="20"/>
                <w14:textFill>
                  <w14:solidFill>
                    <w14:schemeClr w14:val="tx1"/>
                  </w14:solidFill>
                </w14:textFill>
              </w:rPr>
              <w:t xml:space="preserve">《中央厨房和集体用餐配送单位日常监督检查要点表》 </w:t>
            </w:r>
            <w:r>
              <w:rPr>
                <w:rFonts w:ascii="仿宋" w:hAnsi="仿宋" w:eastAsia="仿宋"/>
                <w:b/>
                <w:color w:val="000000" w:themeColor="text1"/>
                <w:kern w:val="0"/>
                <w:sz w:val="20"/>
                <w:szCs w:val="20"/>
                <w14:textFill>
                  <w14:solidFill>
                    <w14:schemeClr w14:val="tx1"/>
                  </w14:solidFill>
                </w14:textFill>
              </w:rPr>
              <w:t>□</w:t>
            </w:r>
            <w:r>
              <w:rPr>
                <w:rFonts w:hint="eastAsia" w:ascii="仿宋" w:hAnsi="仿宋" w:eastAsia="仿宋"/>
                <w:b/>
                <w:color w:val="000000" w:themeColor="text1"/>
                <w:kern w:val="0"/>
                <w:sz w:val="20"/>
                <w:szCs w:val="20"/>
                <w14:textFill>
                  <w14:solidFill>
                    <w14:schemeClr w14:val="tx1"/>
                  </w14:solidFill>
                </w14:textFill>
              </w:rPr>
              <w:t>《单位食堂</w:t>
            </w:r>
            <w:r>
              <w:rPr>
                <w:rFonts w:ascii="仿宋" w:hAnsi="仿宋" w:eastAsia="仿宋"/>
                <w:b/>
                <w:color w:val="000000" w:themeColor="text1"/>
                <w:kern w:val="0"/>
                <w:sz w:val="20"/>
                <w:szCs w:val="20"/>
                <w14:textFill>
                  <w14:solidFill>
                    <w14:schemeClr w14:val="tx1"/>
                  </w14:solidFill>
                </w14:textFill>
              </w:rPr>
              <w:t>日常监督检查要点表</w:t>
            </w:r>
            <w:r>
              <w:rPr>
                <w:rFonts w:hint="eastAsia" w:ascii="仿宋" w:hAnsi="仿宋" w:eastAsia="仿宋"/>
                <w:b/>
                <w:color w:val="000000" w:themeColor="text1"/>
                <w:kern w:val="0"/>
                <w:sz w:val="20"/>
                <w:szCs w:val="20"/>
                <w14:textFill>
                  <w14:solidFill>
                    <w14:schemeClr w14:val="tx1"/>
                  </w14:solidFill>
                </w14:textFill>
              </w:rPr>
              <w:t>》</w:t>
            </w:r>
            <w:r>
              <w:rPr>
                <w:rFonts w:ascii="仿宋" w:hAnsi="仿宋" w:eastAsia="仿宋"/>
                <w:color w:val="000000" w:themeColor="text1"/>
                <w:kern w:val="0"/>
                <w:szCs w:val="21"/>
                <w14:textFill>
                  <w14:solidFill>
                    <w14:schemeClr w14:val="tx1"/>
                  </w14:solidFill>
                </w14:textFill>
              </w:rPr>
              <w:t>开展，检查了（　　　）项内容：其中：</w:t>
            </w:r>
          </w:p>
          <w:p>
            <w:pPr>
              <w:widowControl/>
              <w:spacing w:line="300" w:lineRule="exact"/>
              <w:ind w:firstLine="420"/>
              <w:rPr>
                <w:rFonts w:ascii="仿宋" w:hAnsi="仿宋" w:eastAsia="仿宋"/>
                <w:bCs/>
                <w:color w:val="000000" w:themeColor="text1"/>
                <w:kern w:val="0"/>
                <w:szCs w:val="21"/>
                <w14:textFill>
                  <w14:solidFill>
                    <w14:schemeClr w14:val="tx1"/>
                  </w14:solidFill>
                </w14:textFill>
              </w:rPr>
            </w:pPr>
            <w:r>
              <w:rPr>
                <w:rFonts w:ascii="仿宋" w:hAnsi="仿宋" w:eastAsia="仿宋"/>
                <w:bCs/>
                <w:color w:val="000000" w:themeColor="text1"/>
                <w:kern w:val="0"/>
                <w:szCs w:val="21"/>
                <w14:textFill>
                  <w14:solidFill>
                    <w14:schemeClr w14:val="tx1"/>
                  </w14:solidFill>
                </w14:textFill>
              </w:rPr>
              <w:t>重点项（　　）项，项目序号分别是（　　　　　　　　　　　　　　　　　　　　　　），</w:t>
            </w:r>
          </w:p>
          <w:p>
            <w:pPr>
              <w:widowControl/>
              <w:spacing w:line="300" w:lineRule="exact"/>
              <w:ind w:firstLine="420"/>
              <w:rPr>
                <w:rFonts w:ascii="仿宋" w:hAnsi="仿宋" w:eastAsia="仿宋"/>
                <w:bCs/>
                <w:color w:val="000000" w:themeColor="text1"/>
                <w:kern w:val="0"/>
                <w:szCs w:val="21"/>
                <w14:textFill>
                  <w14:solidFill>
                    <w14:schemeClr w14:val="tx1"/>
                  </w14:solidFill>
                </w14:textFill>
              </w:rPr>
            </w:pPr>
            <w:r>
              <w:rPr>
                <w:rFonts w:ascii="仿宋" w:hAnsi="仿宋" w:eastAsia="仿宋"/>
                <w:bCs/>
                <w:color w:val="000000" w:themeColor="text1"/>
                <w:kern w:val="0"/>
                <w:szCs w:val="21"/>
                <w14:textFill>
                  <w14:solidFill>
                    <w14:schemeClr w14:val="tx1"/>
                  </w14:solidFill>
                </w14:textFill>
              </w:rPr>
              <w:t>发现问题（　　）项，项目序号分别是（　　　　　　　　　　　　　　　　　　　　　）；</w:t>
            </w:r>
          </w:p>
          <w:p>
            <w:pPr>
              <w:widowControl/>
              <w:spacing w:line="300" w:lineRule="exact"/>
              <w:ind w:firstLine="420"/>
              <w:rPr>
                <w:rFonts w:ascii="仿宋" w:hAnsi="仿宋" w:eastAsia="仿宋"/>
                <w:color w:val="000000" w:themeColor="text1"/>
                <w:kern w:val="0"/>
                <w:szCs w:val="21"/>
                <w14:textFill>
                  <w14:solidFill>
                    <w14:schemeClr w14:val="tx1"/>
                  </w14:solidFill>
                </w14:textFill>
              </w:rPr>
            </w:pPr>
            <w:r>
              <w:rPr>
                <w:rFonts w:ascii="仿宋" w:hAnsi="仿宋" w:eastAsia="仿宋"/>
                <w:bCs/>
                <w:color w:val="000000" w:themeColor="text1"/>
                <w:kern w:val="0"/>
                <w:szCs w:val="21"/>
                <w14:textFill>
                  <w14:solidFill>
                    <w14:schemeClr w14:val="tx1"/>
                  </w14:solidFill>
                </w14:textFill>
              </w:rPr>
              <w:t>一般项（　　）项，项目序号分别是（　　　　　　　　　　　　　　　　　　　　　　），</w:t>
            </w:r>
          </w:p>
          <w:p>
            <w:pPr>
              <w:spacing w:line="300" w:lineRule="exact"/>
              <w:ind w:firstLine="420"/>
              <w:rPr>
                <w:rFonts w:ascii="仿宋" w:hAnsi="仿宋" w:eastAsia="仿宋"/>
                <w:color w:val="000000" w:themeColor="text1"/>
                <w:kern w:val="0"/>
                <w:szCs w:val="21"/>
                <w14:textFill>
                  <w14:solidFill>
                    <w14:schemeClr w14:val="tx1"/>
                  </w14:solidFill>
                </w14:textFill>
              </w:rPr>
            </w:pPr>
            <w:r>
              <w:rPr>
                <w:rFonts w:ascii="仿宋" w:hAnsi="仿宋" w:eastAsia="仿宋"/>
                <w:bCs/>
                <w:color w:val="000000" w:themeColor="text1"/>
                <w:kern w:val="0"/>
                <w:szCs w:val="21"/>
                <w14:textFill>
                  <w14:solidFill>
                    <w14:schemeClr w14:val="tx1"/>
                  </w14:solidFill>
                </w14:textFill>
              </w:rPr>
              <w:t>发现问题（　　）项，项目序号分别是（　　　　　　　　　　　　　　　　　　　　　）</w:t>
            </w:r>
            <w:r>
              <w:rPr>
                <w:rFonts w:ascii="仿宋" w:hAnsi="仿宋" w:eastAsia="仿宋"/>
                <w:color w:val="000000" w:themeColor="text1"/>
                <w:kern w:val="0"/>
                <w:szCs w:val="21"/>
                <w14:textFill>
                  <w14:solidFill>
                    <w14:schemeClr w14:val="tx1"/>
                  </w14:solidFill>
                </w14:textFill>
              </w:rPr>
              <w:t>。</w:t>
            </w:r>
          </w:p>
        </w:tc>
      </w:tr>
      <w:tr>
        <w:tblPrEx>
          <w:tblCellMar>
            <w:top w:w="0" w:type="dxa"/>
            <w:left w:w="0" w:type="dxa"/>
            <w:bottom w:w="0" w:type="dxa"/>
            <w:right w:w="0" w:type="dxa"/>
          </w:tblCellMar>
        </w:tblPrEx>
        <w:trPr>
          <w:trHeight w:val="1299" w:hRule="atLeast"/>
          <w:jc w:val="center"/>
        </w:trPr>
        <w:tc>
          <w:tcPr>
            <w:tcW w:w="10167" w:type="dxa"/>
            <w:gridSpan w:val="6"/>
            <w:tcBorders>
              <w:top w:val="single" w:color="000000" w:sz="6" w:space="0"/>
              <w:left w:val="single" w:color="000000" w:sz="6" w:space="0"/>
              <w:right w:val="single" w:color="000000" w:sz="6" w:space="0"/>
            </w:tcBorders>
            <w:noWrap w:val="0"/>
            <w:vAlign w:val="top"/>
          </w:tcPr>
          <w:p>
            <w:pPr>
              <w:spacing w:line="20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检查结果：</w:t>
            </w:r>
          </w:p>
          <w:p>
            <w:pPr>
              <w:spacing w:line="20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□符合　　　□基本符合　　　□不符合</w:t>
            </w:r>
          </w:p>
          <w:p>
            <w:pPr>
              <w:spacing w:line="20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处理结果：</w:t>
            </w:r>
          </w:p>
          <w:p>
            <w:pPr>
              <w:spacing w:line="20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□通过　　　□</w:t>
            </w:r>
            <w:r>
              <w:rPr>
                <w:rFonts w:hint="eastAsia" w:ascii="仿宋" w:hAnsi="仿宋" w:eastAsia="仿宋"/>
                <w:color w:val="000000" w:themeColor="text1"/>
                <w:kern w:val="0"/>
                <w:sz w:val="20"/>
                <w:szCs w:val="20"/>
                <w14:textFill>
                  <w14:solidFill>
                    <w14:schemeClr w14:val="tx1"/>
                  </w14:solidFill>
                </w14:textFill>
              </w:rPr>
              <w:t>责令改正</w:t>
            </w:r>
            <w:r>
              <w:rPr>
                <w:rFonts w:ascii="仿宋" w:hAnsi="仿宋" w:eastAsia="仿宋"/>
                <w:color w:val="000000" w:themeColor="text1"/>
                <w:kern w:val="0"/>
                <w:sz w:val="20"/>
                <w:szCs w:val="20"/>
                <w14:textFill>
                  <w14:solidFill>
                    <w14:schemeClr w14:val="tx1"/>
                  </w14:solidFill>
                </w14:textFill>
              </w:rPr>
              <w:t>　　　□</w:t>
            </w:r>
            <w:r>
              <w:rPr>
                <w:rFonts w:hint="eastAsia" w:ascii="仿宋" w:hAnsi="仿宋" w:eastAsia="仿宋"/>
                <w:color w:val="000000" w:themeColor="text1"/>
                <w:kern w:val="0"/>
                <w:sz w:val="20"/>
                <w:szCs w:val="20"/>
                <w14:textFill>
                  <w14:solidFill>
                    <w14:schemeClr w14:val="tx1"/>
                  </w14:solidFill>
                </w14:textFill>
              </w:rPr>
              <w:t>立案查处</w:t>
            </w:r>
          </w:p>
          <w:p>
            <w:pPr>
              <w:spacing w:line="200" w:lineRule="exac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说明（可附页）：</w:t>
            </w:r>
          </w:p>
        </w:tc>
      </w:tr>
      <w:tr>
        <w:tblPrEx>
          <w:tblCellMar>
            <w:top w:w="0" w:type="dxa"/>
            <w:left w:w="0" w:type="dxa"/>
            <w:bottom w:w="0" w:type="dxa"/>
            <w:right w:w="0" w:type="dxa"/>
          </w:tblCellMar>
        </w:tblPrEx>
        <w:trPr>
          <w:trHeight w:val="690" w:hRule="atLeast"/>
          <w:jc w:val="center"/>
        </w:trPr>
        <w:tc>
          <w:tcPr>
            <w:tcW w:w="5083"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rPr>
                <w:rFonts w:ascii="仿宋" w:hAnsi="仿宋" w:eastAsia="仿宋"/>
                <w:bCs/>
                <w:color w:val="000000" w:themeColor="text1"/>
                <w:kern w:val="0"/>
                <w:szCs w:val="21"/>
                <w14:textFill>
                  <w14:solidFill>
                    <w14:schemeClr w14:val="tx1"/>
                  </w14:solidFill>
                </w14:textFill>
              </w:rPr>
            </w:pPr>
            <w:r>
              <w:rPr>
                <w:rFonts w:ascii="仿宋" w:hAnsi="仿宋" w:eastAsia="仿宋"/>
                <w:bCs/>
                <w:color w:val="000000" w:themeColor="text1"/>
                <w:kern w:val="0"/>
                <w:szCs w:val="21"/>
                <w14:textFill>
                  <w14:solidFill>
                    <w14:schemeClr w14:val="tx1"/>
                  </w14:solidFill>
                </w14:textFill>
              </w:rPr>
              <w:t>执法人员（签名）：</w:t>
            </w:r>
          </w:p>
          <w:p>
            <w:pPr>
              <w:widowControl/>
              <w:spacing w:line="200" w:lineRule="exact"/>
              <w:rPr>
                <w:rFonts w:ascii="仿宋" w:hAnsi="仿宋" w:eastAsia="仿宋"/>
                <w:bCs/>
                <w:color w:val="000000" w:themeColor="text1"/>
                <w:kern w:val="0"/>
                <w:szCs w:val="21"/>
                <w14:textFill>
                  <w14:solidFill>
                    <w14:schemeClr w14:val="tx1"/>
                  </w14:solidFill>
                </w14:textFill>
              </w:rPr>
            </w:pPr>
          </w:p>
          <w:p>
            <w:pPr>
              <w:widowControl/>
              <w:spacing w:line="200" w:lineRule="exact"/>
              <w:ind w:firstLine="3422" w:firstLineChars="1630"/>
              <w:jc w:val="center"/>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年  月  日</w:t>
            </w:r>
          </w:p>
        </w:tc>
        <w:tc>
          <w:tcPr>
            <w:tcW w:w="508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0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被检查单位意见：</w:t>
            </w:r>
          </w:p>
          <w:p>
            <w:pPr>
              <w:widowControl/>
              <w:spacing w:line="20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法定代表人或负责人：</w:t>
            </w:r>
          </w:p>
          <w:p>
            <w:pPr>
              <w:widowControl/>
              <w:spacing w:line="20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 xml:space="preserve">                            　　　 年  月  日</w:t>
            </w:r>
          </w:p>
        </w:tc>
      </w:tr>
      <w:tr>
        <w:tblPrEx>
          <w:tblCellMar>
            <w:top w:w="0" w:type="dxa"/>
            <w:left w:w="0" w:type="dxa"/>
            <w:bottom w:w="0" w:type="dxa"/>
            <w:right w:w="0" w:type="dxa"/>
          </w:tblCellMar>
        </w:tblPrEx>
        <w:trPr>
          <w:trHeight w:val="1053" w:hRule="atLeast"/>
          <w:jc w:val="center"/>
        </w:trPr>
        <w:tc>
          <w:tcPr>
            <w:tcW w:w="81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00" w:lineRule="exact"/>
              <w:jc w:val="center"/>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备</w:t>
            </w:r>
          </w:p>
          <w:p>
            <w:pPr>
              <w:widowControl/>
              <w:spacing w:line="200" w:lineRule="exact"/>
              <w:jc w:val="center"/>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注</w:t>
            </w:r>
          </w:p>
        </w:tc>
        <w:tc>
          <w:tcPr>
            <w:tcW w:w="9357" w:type="dxa"/>
            <w:gridSpan w:val="5"/>
            <w:tcBorders>
              <w:top w:val="single" w:color="000000" w:sz="6" w:space="0"/>
              <w:left w:val="single" w:color="auto" w:sz="4" w:space="0"/>
              <w:bottom w:val="single" w:color="000000" w:sz="6" w:space="0"/>
              <w:right w:val="single" w:color="000000" w:sz="6" w:space="0"/>
            </w:tcBorders>
            <w:noWrap w:val="0"/>
            <w:vAlign w:val="center"/>
          </w:tcPr>
          <w:p>
            <w:pPr>
              <w:widowControl/>
              <w:spacing w:line="220" w:lineRule="exact"/>
              <w:ind w:firstLine="420" w:firstLineChars="200"/>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被检查单位为食品经营者的填写许可证编号，其他业态类型的填写社会信用代码；日常监督检查结果为不符合，如发现涉及食品安全违法行为的，应依法进行立案调查处理；如涉及移送情形的，应依法移送相关有权处理部门。结果处理应使用规范的法律文书；文中各类检查要点表与其风险分级动态评级表为同一张表。</w:t>
            </w:r>
          </w:p>
        </w:tc>
      </w:tr>
    </w:tbl>
    <w:p>
      <w:pPr>
        <w:rPr>
          <w:rFonts w:hint="default"/>
          <w:color w:val="000000" w:themeColor="text1"/>
          <w:lang w:val="en" w:eastAsia="zh-CN"/>
          <w14:textFill>
            <w14:solidFill>
              <w14:schemeClr w14:val="tx1"/>
            </w14:solidFill>
          </w14:textFill>
        </w:rPr>
      </w:pPr>
    </w:p>
    <w:sectPr>
      <w:pgSz w:w="11906" w:h="16838"/>
      <w:pgMar w:top="1327" w:right="1179" w:bottom="1213" w:left="1519" w:header="720"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Segoe UI"/>
    <w:panose1 w:val="020F0502020204030204"/>
    <w:charset w:val="00"/>
    <w:family w:val="swiss"/>
    <w:pitch w:val="default"/>
    <w:sig w:usb0="00000000" w:usb1="00000000" w:usb2="00000001" w:usb3="00000000" w:csb0="0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00"/>
    <w:family w:val="modern"/>
    <w:pitch w:val="default"/>
    <w:sig w:usb0="00000000" w:usb1="00000000" w:usb2="00000016" w:usb3="00000000" w:csb0="00040001" w:csb1="00000000"/>
  </w:font>
  <w:font w:name="幼圆">
    <w:altName w:val="仿宋"/>
    <w:panose1 w:val="02010509060101010101"/>
    <w:charset w:val="00"/>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东文宋体">
    <w:altName w:val="方正书宋_GBK"/>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sz w:val="24"/>
                              <w:szCs w:val="24"/>
                              <w:lang w:eastAsia="zh-CN"/>
                            </w:rPr>
                          </w:pPr>
                          <w:r>
                            <w:rPr>
                              <w:rFonts w:hint="eastAsia"/>
                              <w:sz w:val="24"/>
                              <w:szCs w:val="24"/>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7B5ED"/>
    <w:rsid w:val="17BB8288"/>
    <w:rsid w:val="19C70470"/>
    <w:rsid w:val="27DAD029"/>
    <w:rsid w:val="2F6FCE11"/>
    <w:rsid w:val="2FBA02C5"/>
    <w:rsid w:val="2FFD8366"/>
    <w:rsid w:val="32E7FF59"/>
    <w:rsid w:val="3BEB5864"/>
    <w:rsid w:val="3CEFF0EA"/>
    <w:rsid w:val="3EFFA17C"/>
    <w:rsid w:val="3F774675"/>
    <w:rsid w:val="3F9F7B6F"/>
    <w:rsid w:val="3FE26D6D"/>
    <w:rsid w:val="3FF552F8"/>
    <w:rsid w:val="3FFB8512"/>
    <w:rsid w:val="3FFF2476"/>
    <w:rsid w:val="3FFF73D0"/>
    <w:rsid w:val="45FEA4F5"/>
    <w:rsid w:val="47DFF5F8"/>
    <w:rsid w:val="4D5F747B"/>
    <w:rsid w:val="4DFCDE88"/>
    <w:rsid w:val="4FAE0DB2"/>
    <w:rsid w:val="50AF1F75"/>
    <w:rsid w:val="5DF1B6B9"/>
    <w:rsid w:val="5EDEDCCC"/>
    <w:rsid w:val="5F4F8545"/>
    <w:rsid w:val="60C2F85E"/>
    <w:rsid w:val="63BBBC38"/>
    <w:rsid w:val="65BF79BD"/>
    <w:rsid w:val="65FF43CF"/>
    <w:rsid w:val="66DFE4DE"/>
    <w:rsid w:val="67D556FD"/>
    <w:rsid w:val="6CDFF639"/>
    <w:rsid w:val="6CF704E0"/>
    <w:rsid w:val="6CFFACE8"/>
    <w:rsid w:val="71B56427"/>
    <w:rsid w:val="77DA7D03"/>
    <w:rsid w:val="77E4F026"/>
    <w:rsid w:val="77F1FD15"/>
    <w:rsid w:val="77F7FBC0"/>
    <w:rsid w:val="79EB0A6C"/>
    <w:rsid w:val="79EBAD9F"/>
    <w:rsid w:val="7ABD1C0B"/>
    <w:rsid w:val="7AFE018F"/>
    <w:rsid w:val="7AFFDDF7"/>
    <w:rsid w:val="7B3F04A4"/>
    <w:rsid w:val="7BBF64CF"/>
    <w:rsid w:val="7BEF973D"/>
    <w:rsid w:val="7BF996F5"/>
    <w:rsid w:val="7BFB3EA3"/>
    <w:rsid w:val="7D85F4A2"/>
    <w:rsid w:val="7D9E8785"/>
    <w:rsid w:val="7DA6D1FF"/>
    <w:rsid w:val="7DFF7F48"/>
    <w:rsid w:val="7EE42559"/>
    <w:rsid w:val="7EFB9603"/>
    <w:rsid w:val="7EFECA3E"/>
    <w:rsid w:val="7F1B826D"/>
    <w:rsid w:val="7F1F04D7"/>
    <w:rsid w:val="7F3B6787"/>
    <w:rsid w:val="7FBF4554"/>
    <w:rsid w:val="7FF9DEFF"/>
    <w:rsid w:val="7FFB3767"/>
    <w:rsid w:val="7FFFA48D"/>
    <w:rsid w:val="9793461C"/>
    <w:rsid w:val="9DD317A1"/>
    <w:rsid w:val="9FA38264"/>
    <w:rsid w:val="B01DA297"/>
    <w:rsid w:val="BED3B328"/>
    <w:rsid w:val="BF7B05AC"/>
    <w:rsid w:val="BFAF8F89"/>
    <w:rsid w:val="BFBE5C45"/>
    <w:rsid w:val="D34BD34B"/>
    <w:rsid w:val="D77BF76C"/>
    <w:rsid w:val="DAFAC839"/>
    <w:rsid w:val="DDAFF7CD"/>
    <w:rsid w:val="DE7CDD70"/>
    <w:rsid w:val="DF3614FA"/>
    <w:rsid w:val="DFDEEBCF"/>
    <w:rsid w:val="DFED2F57"/>
    <w:rsid w:val="DFFB2C7A"/>
    <w:rsid w:val="DFFF8370"/>
    <w:rsid w:val="E5F602E2"/>
    <w:rsid w:val="E7F7E35F"/>
    <w:rsid w:val="EBDA55B4"/>
    <w:rsid w:val="EBF508DD"/>
    <w:rsid w:val="EDFCDBF7"/>
    <w:rsid w:val="EDFF307D"/>
    <w:rsid w:val="EFF7E885"/>
    <w:rsid w:val="EFFE9C86"/>
    <w:rsid w:val="EFFF5D5F"/>
    <w:rsid w:val="F1E727C7"/>
    <w:rsid w:val="F3BDE3EA"/>
    <w:rsid w:val="F3D31CF2"/>
    <w:rsid w:val="F7B6DC85"/>
    <w:rsid w:val="F7F38042"/>
    <w:rsid w:val="FA51B077"/>
    <w:rsid w:val="FBB76D48"/>
    <w:rsid w:val="FD7F8391"/>
    <w:rsid w:val="FDFB8B9F"/>
    <w:rsid w:val="FE9AE53A"/>
    <w:rsid w:val="FEB79EF5"/>
    <w:rsid w:val="FF794E48"/>
    <w:rsid w:val="FF9317AF"/>
    <w:rsid w:val="FFA34385"/>
    <w:rsid w:val="FFAAECFE"/>
    <w:rsid w:val="FFBB818B"/>
    <w:rsid w:val="FFEF6CD3"/>
    <w:rsid w:val="FFEFDD68"/>
    <w:rsid w:val="FFFDB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2"/>
    <w:qFormat/>
    <w:uiPriority w:val="0"/>
  </w:style>
  <w:style w:type="character" w:styleId="9">
    <w:name w:val="Hyperlink"/>
    <w:basedOn w:val="8"/>
    <w:qFormat/>
    <w:uiPriority w:val="0"/>
    <w:rPr>
      <w:color w:val="0000FF"/>
      <w:u w:val="single"/>
    </w:rPr>
  </w:style>
  <w:style w:type="character" w:customStyle="1" w:styleId="10">
    <w:name w:val="默认段落字体1"/>
    <w:qFormat/>
    <w:uiPriority w:val="0"/>
  </w:style>
  <w:style w:type="paragraph" w:customStyle="1" w:styleId="11">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54</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2018-12-11T09:47:00Z</dcterms:created>
  <dc:creator>uos</dc:creator>
  <cp:lastModifiedBy>uos</cp:lastModifiedBy>
  <cp:lastPrinted>2021-11-25T23:11:00Z</cp:lastPrinted>
  <dcterms:modified xsi:type="dcterms:W3CDTF">2021-12-06T11:48:09Z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