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sz w:val="44"/>
          <w:szCs w:val="44"/>
        </w:rPr>
        <w:t>重庆市永川区市场监督管理局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ascii="方正小标宋_GBK" w:eastAsia="方正小标宋_GBK"/>
          <w:snapToGrid w:val="0"/>
          <w:sz w:val="44"/>
          <w:szCs w:val="44"/>
        </w:rPr>
        <w:t>关于不合格食品核查处置情况的通告</w:t>
      </w:r>
    </w:p>
    <w:p>
      <w:pPr>
        <w:spacing w:line="560" w:lineRule="exact"/>
        <w:ind w:firstLine="640" w:firstLineChars="200"/>
      </w:pPr>
      <w:bookmarkStart w:id="0" w:name="_GoBack"/>
      <w:bookmarkEnd w:id="0"/>
    </w:p>
    <w:p>
      <w:pPr>
        <w:spacing w:line="560" w:lineRule="exact"/>
        <w:ind w:firstLine="640" w:firstLineChars="200"/>
      </w:pPr>
      <w:r>
        <w:rPr>
          <w:rFonts w:hint="eastAsia"/>
          <w:snapToGrid w:val="0"/>
        </w:rPr>
        <w:t>根据《食品安全抽样检验管理办法》的规定，</w:t>
      </w:r>
      <w:r>
        <w:t>现将不合格食品核查处置情况通告如下</w:t>
      </w:r>
      <w:r>
        <w:rPr>
          <w:snapToGrid w:val="0"/>
        </w:rPr>
        <w:t>：</w:t>
      </w:r>
    </w:p>
    <w:p>
      <w:pPr>
        <w:spacing w:line="560" w:lineRule="exact"/>
        <w:ind w:firstLine="640" w:firstLineChars="200"/>
        <w:rPr>
          <w:snapToGrid w:val="0"/>
        </w:rPr>
      </w:pPr>
      <w:r>
        <w:rPr>
          <w:rFonts w:hint="eastAsia" w:ascii="方正黑体_GBK" w:hAnsi="方正黑体_GBK" w:eastAsia="方正黑体_GBK" w:cs="方正黑体_GBK"/>
          <w:snapToGrid w:val="0"/>
        </w:rPr>
        <w:t>一、重庆市</w:t>
      </w:r>
      <w:r>
        <w:rPr>
          <w:rFonts w:ascii="方正黑体_GBK" w:hAnsi="方正黑体_GBK" w:eastAsia="方正黑体_GBK" w:cs="方正黑体_GBK"/>
          <w:snapToGrid w:val="0"/>
        </w:rPr>
        <w:t>永川区渝露食品厂</w:t>
      </w:r>
      <w:r>
        <w:rPr>
          <w:rFonts w:hint="eastAsia" w:ascii="方正黑体_GBK" w:hAnsi="方正黑体_GBK" w:eastAsia="方正黑体_GBK" w:cs="方正黑体_GBK"/>
          <w:snapToGrid w:val="0"/>
        </w:rPr>
        <w:t>生产的包装饮用水</w:t>
      </w:r>
    </w:p>
    <w:p>
      <w:pPr>
        <w:spacing w:line="560" w:lineRule="exact"/>
        <w:ind w:firstLine="640" w:firstLineChars="200"/>
        <w:rPr>
          <w:snapToGrid w:val="0"/>
        </w:rPr>
      </w:pPr>
      <w:r>
        <w:rPr>
          <w:rFonts w:hint="eastAsia" w:ascii="方正楷体_GBK" w:hAnsi="方正楷体_GBK" w:eastAsia="方正楷体_GBK" w:cs="方正楷体_GBK"/>
          <w:snapToGrid w:val="0"/>
        </w:rPr>
        <w:t>（一）抽检基本情况。渝竹源</w:t>
      </w:r>
      <w:r>
        <w:rPr>
          <w:rFonts w:hint="eastAsia"/>
          <w:snapToGrid w:val="0"/>
        </w:rPr>
        <w:t>包装饮用水，商标：渝露，规格型号：</w:t>
      </w:r>
      <w:r>
        <w:rPr>
          <w:snapToGrid w:val="0"/>
        </w:rPr>
        <w:t>18.9L/</w:t>
      </w:r>
      <w:r>
        <w:rPr>
          <w:rFonts w:hint="eastAsia"/>
          <w:snapToGrid w:val="0"/>
        </w:rPr>
        <w:t>桶，生产日期为2021-</w:t>
      </w:r>
      <w:r>
        <w:rPr>
          <w:snapToGrid w:val="0"/>
        </w:rPr>
        <w:t>07-14</w:t>
      </w:r>
      <w:r>
        <w:rPr>
          <w:rFonts w:hint="eastAsia"/>
          <w:snapToGrid w:val="0"/>
        </w:rPr>
        <w:t>；</w:t>
      </w:r>
      <w:r>
        <w:rPr>
          <w:snapToGrid w:val="0"/>
        </w:rPr>
        <w:t>渝露山泉包装饮用水，商标：渝露，生产日期为</w:t>
      </w:r>
      <w:r>
        <w:rPr>
          <w:rFonts w:hint="eastAsia"/>
          <w:snapToGrid w:val="0"/>
        </w:rPr>
        <w:t xml:space="preserve">2021-07-14；检验结论均为：经抽样检验，铜绿假单胞菌项目不符合GB </w:t>
      </w:r>
      <w:r>
        <w:rPr>
          <w:snapToGrid w:val="0"/>
        </w:rPr>
        <w:t>19298-2014</w:t>
      </w:r>
      <w:r>
        <w:rPr>
          <w:rFonts w:hint="eastAsia"/>
          <w:snapToGrid w:val="0"/>
        </w:rPr>
        <w:t>《食品安全国家标准 包装饮用水》要求，检验结论为不合格。</w:t>
      </w:r>
    </w:p>
    <w:p>
      <w:pPr>
        <w:spacing w:line="560" w:lineRule="exact"/>
        <w:ind w:firstLine="640" w:firstLineChars="200"/>
        <w:rPr>
          <w:snapToGrid w:val="0"/>
        </w:rPr>
      </w:pPr>
      <w:r>
        <w:rPr>
          <w:rFonts w:hint="eastAsia" w:ascii="方正楷体_GBK" w:hAnsi="方正楷体_GBK" w:eastAsia="方正楷体_GBK" w:cs="方正楷体_GBK"/>
        </w:rPr>
        <w:t>（二）对</w:t>
      </w:r>
      <w:r>
        <w:rPr>
          <w:rFonts w:hint="eastAsia" w:ascii="方正楷体_GBK" w:hAnsi="方正楷体_GBK" w:eastAsia="方正楷体_GBK" w:cs="方正楷体_GBK"/>
          <w:snapToGrid w:val="0"/>
        </w:rPr>
        <w:t>企业违法违规行为依法处罚情况。</w:t>
      </w:r>
      <w:r>
        <w:rPr>
          <w:rFonts w:hint="eastAsia"/>
          <w:snapToGrid w:val="0"/>
        </w:rPr>
        <w:t>我</w:t>
      </w:r>
      <w:r>
        <w:rPr>
          <w:snapToGrid w:val="0"/>
        </w:rPr>
        <w:t>局</w:t>
      </w:r>
      <w:r>
        <w:rPr>
          <w:rFonts w:hint="eastAsia"/>
          <w:snapToGrid w:val="0"/>
        </w:rPr>
        <w:t>将</w:t>
      </w:r>
      <w:r>
        <w:rPr>
          <w:snapToGrid w:val="0"/>
        </w:rPr>
        <w:t>检验报告和检验结果通知书送达给重庆市永川区渝</w:t>
      </w:r>
      <w:r>
        <w:rPr>
          <w:rFonts w:hint="eastAsia"/>
          <w:snapToGrid w:val="0"/>
        </w:rPr>
        <w:t>露</w:t>
      </w:r>
      <w:r>
        <w:rPr>
          <w:snapToGrid w:val="0"/>
        </w:rPr>
        <w:t>食品厂后，</w:t>
      </w:r>
      <w:r>
        <w:rPr>
          <w:rFonts w:hint="eastAsia"/>
          <w:snapToGrid w:val="0"/>
        </w:rPr>
        <w:t>其在</w:t>
      </w:r>
      <w:r>
        <w:rPr>
          <w:snapToGrid w:val="0"/>
        </w:rPr>
        <w:t>规定的</w:t>
      </w:r>
      <w:r>
        <w:rPr>
          <w:rFonts w:hint="eastAsia"/>
          <w:snapToGrid w:val="0"/>
        </w:rPr>
        <w:t>时间</w:t>
      </w:r>
      <w:r>
        <w:rPr>
          <w:snapToGrid w:val="0"/>
        </w:rPr>
        <w:t>内未提出异议</w:t>
      </w:r>
      <w:r>
        <w:rPr>
          <w:rFonts w:hint="eastAsia"/>
          <w:snapToGrid w:val="0"/>
        </w:rPr>
        <w:t>。</w:t>
      </w:r>
      <w:r>
        <w:rPr>
          <w:snapToGrid w:val="0"/>
        </w:rPr>
        <w:t>为此我局对</w:t>
      </w:r>
      <w:r>
        <w:rPr>
          <w:rFonts w:hint="eastAsia" w:ascii="方正仿宋_GBK" w:hAnsi="方正黑体_GBK" w:cs="方正黑体_GBK"/>
          <w:snapToGrid w:val="0"/>
        </w:rPr>
        <w:t>重庆市永川区渝露食品厂</w:t>
      </w:r>
      <w:r>
        <w:rPr>
          <w:rFonts w:hint="eastAsia"/>
          <w:snapToGrid w:val="0"/>
        </w:rPr>
        <w:t>生产</w:t>
      </w:r>
      <w:r>
        <w:rPr>
          <w:snapToGrid w:val="0"/>
        </w:rPr>
        <w:t>其他不符合食品安全标准食品</w:t>
      </w:r>
      <w:r>
        <w:rPr>
          <w:rFonts w:hint="eastAsia"/>
          <w:snapToGrid w:val="0"/>
        </w:rPr>
        <w:t>的</w:t>
      </w:r>
      <w:r>
        <w:rPr>
          <w:snapToGrid w:val="0"/>
        </w:rPr>
        <w:t>行为</w:t>
      </w:r>
      <w:r>
        <w:rPr>
          <w:rFonts w:hint="eastAsia"/>
          <w:snapToGrid w:val="0"/>
        </w:rPr>
        <w:t>进行</w:t>
      </w:r>
      <w:r>
        <w:rPr>
          <w:snapToGrid w:val="0"/>
        </w:rPr>
        <w:t>了立案调查</w:t>
      </w:r>
      <w:r>
        <w:rPr>
          <w:rFonts w:hint="eastAsia"/>
          <w:snapToGrid w:val="0"/>
        </w:rPr>
        <w:t>。经查该厂上述行为违反</w:t>
      </w:r>
      <w:r>
        <w:rPr>
          <w:snapToGrid w:val="0"/>
        </w:rPr>
        <w:t>了</w:t>
      </w:r>
      <w:r>
        <w:rPr>
          <w:rFonts w:hint="eastAsia"/>
          <w:snapToGrid w:val="0"/>
        </w:rPr>
        <w:t>《中华人民共和国食品安全法》第三十四条第（十三）项的</w:t>
      </w:r>
      <w:r>
        <w:rPr>
          <w:snapToGrid w:val="0"/>
        </w:rPr>
        <w:t>规定</w:t>
      </w:r>
      <w:r>
        <w:rPr>
          <w:rFonts w:hint="eastAsia"/>
          <w:snapToGrid w:val="0"/>
        </w:rPr>
        <w:t>，依据《中华人民共和国</w:t>
      </w:r>
      <w:r>
        <w:rPr>
          <w:snapToGrid w:val="0"/>
        </w:rPr>
        <w:t>食品安全法</w:t>
      </w:r>
      <w:r>
        <w:rPr>
          <w:rFonts w:hint="eastAsia"/>
          <w:snapToGrid w:val="0"/>
        </w:rPr>
        <w:t>》第一百二十四</w:t>
      </w:r>
      <w:r>
        <w:rPr>
          <w:snapToGrid w:val="0"/>
        </w:rPr>
        <w:t>条第一款</w:t>
      </w:r>
      <w:r>
        <w:rPr>
          <w:rFonts w:hint="eastAsia"/>
          <w:snapToGrid w:val="0"/>
        </w:rPr>
        <w:t>和第二款的</w:t>
      </w:r>
      <w:r>
        <w:rPr>
          <w:snapToGrid w:val="0"/>
        </w:rPr>
        <w:t>规定</w:t>
      </w:r>
      <w:r>
        <w:rPr>
          <w:rFonts w:hint="eastAsia"/>
          <w:snapToGrid w:val="0"/>
        </w:rPr>
        <w:t>，给予该公司以下行政</w:t>
      </w:r>
      <w:r>
        <w:rPr>
          <w:snapToGrid w:val="0"/>
        </w:rPr>
        <w:t>处罚：</w:t>
      </w:r>
      <w:r>
        <w:rPr>
          <w:rFonts w:hint="eastAsia"/>
          <w:snapToGrid w:val="0"/>
        </w:rPr>
        <w:t>1、</w:t>
      </w:r>
      <w:r>
        <w:rPr>
          <w:snapToGrid w:val="0"/>
        </w:rPr>
        <w:t>没收违法所</w:t>
      </w:r>
      <w:r>
        <w:rPr>
          <w:rFonts w:hint="eastAsia"/>
          <w:snapToGrid w:val="0"/>
        </w:rPr>
        <w:t>得</w:t>
      </w:r>
      <w:r>
        <w:rPr>
          <w:snapToGrid w:val="0"/>
        </w:rPr>
        <w:t>，</w:t>
      </w:r>
      <w:r>
        <w:rPr>
          <w:rFonts w:hint="eastAsia"/>
          <w:snapToGrid w:val="0"/>
        </w:rPr>
        <w:t>2、罚款。</w:t>
      </w:r>
    </w:p>
    <w:p>
      <w:pPr>
        <w:spacing w:line="560" w:lineRule="exact"/>
        <w:ind w:firstLine="640" w:firstLineChars="200"/>
        <w:rPr>
          <w:rFonts w:hint="eastAsia" w:ascii="方正仿宋_GBK"/>
          <w:snapToGrid w:val="0"/>
        </w:rPr>
      </w:pPr>
      <w:r>
        <w:rPr>
          <w:rFonts w:hint="eastAsia" w:ascii="方正楷体_GBK" w:hAnsi="方正楷体_GBK" w:eastAsia="方正楷体_GBK" w:cs="方正楷体_GBK"/>
          <w:snapToGrid w:val="0"/>
        </w:rPr>
        <w:t>（三）原因排查及企业整改情况。</w:t>
      </w:r>
      <w:r>
        <w:rPr>
          <w:rFonts w:hint="eastAsia" w:ascii="方正仿宋_GBK"/>
          <w:snapToGrid w:val="0"/>
        </w:rPr>
        <w:t>因灌装机故障，清洗消毒效果未达到预期，企业已自查整改并</w:t>
      </w:r>
      <w:r>
        <w:rPr>
          <w:rFonts w:ascii="方正仿宋_GBK"/>
          <w:snapToGrid w:val="0"/>
        </w:rPr>
        <w:t>停止了生产经营</w:t>
      </w:r>
      <w:r>
        <w:rPr>
          <w:rFonts w:hint="eastAsia" w:ascii="方正仿宋_GBK"/>
          <w:snapToGrid w:val="0"/>
        </w:rPr>
        <w:t>活动。经我</w:t>
      </w:r>
      <w:r>
        <w:rPr>
          <w:rFonts w:ascii="方正仿宋_GBK"/>
          <w:snapToGrid w:val="0"/>
        </w:rPr>
        <w:t>局</w:t>
      </w:r>
      <w:r>
        <w:rPr>
          <w:rFonts w:hint="eastAsia" w:ascii="方正仿宋_GBK"/>
          <w:snapToGrid w:val="0"/>
        </w:rPr>
        <w:t>现场</w:t>
      </w:r>
      <w:r>
        <w:rPr>
          <w:rFonts w:ascii="方正仿宋_GBK"/>
          <w:snapToGrid w:val="0"/>
        </w:rPr>
        <w:t>核查证实其</w:t>
      </w:r>
      <w:r>
        <w:rPr>
          <w:rFonts w:hint="eastAsia" w:ascii="方正仿宋_GBK" w:hAnsi="方正黑体_GBK" w:cs="方正黑体_GBK"/>
          <w:snapToGrid w:val="0"/>
        </w:rPr>
        <w:t>已停止生产活动</w:t>
      </w:r>
      <w:r>
        <w:rPr>
          <w:rFonts w:hint="eastAsia" w:ascii="方正仿宋_GBK"/>
          <w:snapToGrid w:val="0"/>
        </w:rPr>
        <w:t>。</w:t>
      </w:r>
    </w:p>
    <w:p>
      <w:pPr>
        <w:rPr>
          <w:snapToGrid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50"/>
    <w:rsid w:val="00025242"/>
    <w:rsid w:val="00052462"/>
    <w:rsid w:val="000713FC"/>
    <w:rsid w:val="000A0D1B"/>
    <w:rsid w:val="000E6EC9"/>
    <w:rsid w:val="00106452"/>
    <w:rsid w:val="001255C6"/>
    <w:rsid w:val="00126E5C"/>
    <w:rsid w:val="001849FE"/>
    <w:rsid w:val="001B71CD"/>
    <w:rsid w:val="001D55E9"/>
    <w:rsid w:val="001D5CC9"/>
    <w:rsid w:val="001E1982"/>
    <w:rsid w:val="001E27F6"/>
    <w:rsid w:val="001F0E5F"/>
    <w:rsid w:val="002552E4"/>
    <w:rsid w:val="002666D2"/>
    <w:rsid w:val="00284634"/>
    <w:rsid w:val="00284A67"/>
    <w:rsid w:val="00286C62"/>
    <w:rsid w:val="002B0475"/>
    <w:rsid w:val="002B0792"/>
    <w:rsid w:val="002F5F2B"/>
    <w:rsid w:val="00320430"/>
    <w:rsid w:val="0037005B"/>
    <w:rsid w:val="003874F3"/>
    <w:rsid w:val="003A00D2"/>
    <w:rsid w:val="004255C0"/>
    <w:rsid w:val="00430FF6"/>
    <w:rsid w:val="00461BA2"/>
    <w:rsid w:val="00470647"/>
    <w:rsid w:val="00473653"/>
    <w:rsid w:val="004A768C"/>
    <w:rsid w:val="004E1688"/>
    <w:rsid w:val="00511183"/>
    <w:rsid w:val="005206DD"/>
    <w:rsid w:val="0054089C"/>
    <w:rsid w:val="00541A54"/>
    <w:rsid w:val="005619C4"/>
    <w:rsid w:val="00577481"/>
    <w:rsid w:val="005E1117"/>
    <w:rsid w:val="005F2DDD"/>
    <w:rsid w:val="005F4833"/>
    <w:rsid w:val="00673D36"/>
    <w:rsid w:val="00676908"/>
    <w:rsid w:val="00697239"/>
    <w:rsid w:val="006A6F61"/>
    <w:rsid w:val="006B7DE6"/>
    <w:rsid w:val="006D0813"/>
    <w:rsid w:val="006D1F62"/>
    <w:rsid w:val="006D289A"/>
    <w:rsid w:val="006F408F"/>
    <w:rsid w:val="00736350"/>
    <w:rsid w:val="0076060D"/>
    <w:rsid w:val="007634BE"/>
    <w:rsid w:val="007A32A2"/>
    <w:rsid w:val="007B2382"/>
    <w:rsid w:val="007D06A7"/>
    <w:rsid w:val="007E3D56"/>
    <w:rsid w:val="008021F6"/>
    <w:rsid w:val="008068AD"/>
    <w:rsid w:val="008A0674"/>
    <w:rsid w:val="008C7E97"/>
    <w:rsid w:val="008D3BAD"/>
    <w:rsid w:val="00906865"/>
    <w:rsid w:val="00915C64"/>
    <w:rsid w:val="009323EB"/>
    <w:rsid w:val="009350EF"/>
    <w:rsid w:val="00943814"/>
    <w:rsid w:val="0098451B"/>
    <w:rsid w:val="00995C9B"/>
    <w:rsid w:val="009B59BE"/>
    <w:rsid w:val="009B6ED4"/>
    <w:rsid w:val="00A203C1"/>
    <w:rsid w:val="00A76C5C"/>
    <w:rsid w:val="00A806AC"/>
    <w:rsid w:val="00A85DDB"/>
    <w:rsid w:val="00A86034"/>
    <w:rsid w:val="00A96B5F"/>
    <w:rsid w:val="00A96D97"/>
    <w:rsid w:val="00AB5761"/>
    <w:rsid w:val="00AC42C5"/>
    <w:rsid w:val="00AC442D"/>
    <w:rsid w:val="00B41162"/>
    <w:rsid w:val="00B42AD7"/>
    <w:rsid w:val="00B6290C"/>
    <w:rsid w:val="00B745E0"/>
    <w:rsid w:val="00BC686A"/>
    <w:rsid w:val="00BF688C"/>
    <w:rsid w:val="00C1612A"/>
    <w:rsid w:val="00C45B34"/>
    <w:rsid w:val="00C85108"/>
    <w:rsid w:val="00CA242E"/>
    <w:rsid w:val="00CA4141"/>
    <w:rsid w:val="00CE42B1"/>
    <w:rsid w:val="00CF3D12"/>
    <w:rsid w:val="00D330BE"/>
    <w:rsid w:val="00D6257D"/>
    <w:rsid w:val="00D73A9D"/>
    <w:rsid w:val="00DE3CD9"/>
    <w:rsid w:val="00E53EAF"/>
    <w:rsid w:val="00E62FBF"/>
    <w:rsid w:val="00EA7833"/>
    <w:rsid w:val="00ED04F2"/>
    <w:rsid w:val="00EE20D1"/>
    <w:rsid w:val="00EF7B10"/>
    <w:rsid w:val="00F16F6E"/>
    <w:rsid w:val="00F56802"/>
    <w:rsid w:val="00F61D87"/>
    <w:rsid w:val="00FB09A7"/>
    <w:rsid w:val="00FD78F8"/>
    <w:rsid w:val="19BD1722"/>
    <w:rsid w:val="1C6A6ED6"/>
    <w:rsid w:val="28537F33"/>
    <w:rsid w:val="2F8177F2"/>
    <w:rsid w:val="449E2D40"/>
    <w:rsid w:val="5B7E66E2"/>
    <w:rsid w:val="5E0E6550"/>
    <w:rsid w:val="5FDB0A58"/>
    <w:rsid w:val="76E04275"/>
    <w:rsid w:val="79004EEA"/>
    <w:rsid w:val="D4BED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156</Words>
  <Characters>892</Characters>
  <Lines>7</Lines>
  <Paragraphs>2</Paragraphs>
  <TotalTime>43</TotalTime>
  <ScaleCrop>false</ScaleCrop>
  <LinksUpToDate>false</LinksUpToDate>
  <CharactersWithSpaces>1046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2021-07-27T16:56:00Z</dcterms:created>
  <dc:creator>Micorosoft</dc:creator>
  <cp:lastModifiedBy>scjgj</cp:lastModifiedBy>
  <cp:lastPrinted>2021-08-04T17:21:00Z</cp:lastPrinted>
  <dcterms:modified xsi:type="dcterms:W3CDTF">2021-10-29T17:02:55Z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1B2BD1725F2F44DFB52FF75BCDB8EAD4</vt:lpwstr>
  </property>
  <property fmtid="{D5CDD505-2E9C-101B-9397-08002B2CF9AE}" pid="4" name="KSOSaveFontToCloudKey">
    <vt:lpwstr>302326265_btnclosed</vt:lpwstr>
  </property>
</Properties>
</file>