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212EC">
      <w:pPr>
        <w:tabs>
          <w:tab w:val="left" w:pos="7200"/>
          <w:tab w:val="left" w:pos="7380"/>
          <w:tab w:val="left" w:pos="756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FFE58CB">
      <w:pPr>
        <w:snapToGrid w:val="0"/>
        <w:jc w:val="center"/>
        <w:rPr>
          <w:rFonts w:hint="eastAsia" w:ascii="Times New Roman" w:hAnsi="Times New Roman" w:eastAsia="仿宋_GB2312" w:cs="Times New Roman"/>
          <w:sz w:val="28"/>
          <w:szCs w:val="28"/>
          <w:lang w:val="en" w:eastAsia="zh-CN"/>
        </w:rPr>
      </w:pPr>
    </w:p>
    <w:p w14:paraId="7D9BE9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eastAsia="zh-CN"/>
        </w:rPr>
      </w:pPr>
      <w:r>
        <w:rPr>
          <w:rFonts w:hint="eastAsia" w:ascii="Times New Roman" w:hAnsi="Times New Roman" w:eastAsia="方正小标宋简体" w:cs="Times New Roman"/>
          <w:sz w:val="44"/>
          <w:szCs w:val="44"/>
          <w:lang w:val="en" w:eastAsia="zh-CN"/>
        </w:rPr>
        <w:t>蔻</w:t>
      </w:r>
      <w:r>
        <w:rPr>
          <w:rFonts w:hint="default" w:ascii="Times New Roman" w:hAnsi="Times New Roman" w:eastAsia="方正小标宋简体" w:cs="Times New Roman"/>
          <w:sz w:val="44"/>
          <w:szCs w:val="44"/>
          <w:lang w:val="en" w:eastAsia="zh-CN"/>
        </w:rPr>
        <w:t>丝芙国际贸易（深圳）有限公司</w:t>
      </w:r>
    </w:p>
    <w:p w14:paraId="238EBD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hint="default" w:ascii="Times New Roman" w:hAnsi="Times New Roman" w:eastAsia="方正小标宋简体" w:cs="Times New Roman"/>
          <w:sz w:val="44"/>
          <w:szCs w:val="44"/>
          <w:lang w:val="en" w:eastAsia="zh-CN"/>
        </w:rPr>
        <w:t>飞行检查结果</w:t>
      </w:r>
    </w:p>
    <w:p w14:paraId="4DDADCA1">
      <w:pPr>
        <w:snapToGrid w:val="0"/>
        <w:jc w:val="center"/>
        <w:rPr>
          <w:rFonts w:hint="eastAsia" w:ascii="Times New Roman" w:hAnsi="Times New Roman" w:eastAsia="仿宋_GB2312" w:cs="Times New Roman"/>
          <w:sz w:val="28"/>
          <w:szCs w:val="28"/>
          <w:lang w:val="en" w:eastAsia="zh-CN"/>
        </w:rPr>
      </w:pPr>
    </w:p>
    <w:tbl>
      <w:tblPr>
        <w:tblStyle w:val="3"/>
        <w:tblW w:w="9433" w:type="dxa"/>
        <w:jc w:val="center"/>
        <w:tblLayout w:type="fixed"/>
        <w:tblCellMar>
          <w:top w:w="0" w:type="dxa"/>
          <w:left w:w="0" w:type="dxa"/>
          <w:bottom w:w="0" w:type="dxa"/>
          <w:right w:w="0" w:type="dxa"/>
        </w:tblCellMar>
      </w:tblPr>
      <w:tblGrid>
        <w:gridCol w:w="1685"/>
        <w:gridCol w:w="2152"/>
        <w:gridCol w:w="2385"/>
        <w:gridCol w:w="3211"/>
      </w:tblGrid>
      <w:tr w14:paraId="0AEEB2B9">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025240">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E39D88D">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蔻丝芙国际贸易（深圳）有限公司</w:t>
            </w:r>
          </w:p>
        </w:tc>
      </w:tr>
      <w:tr w14:paraId="56CBBA0A">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E6527">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E9AABA8">
            <w:pPr>
              <w:snapToGrid w:val="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2B70D5C">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2EB36DD">
            <w:pPr>
              <w:spacing w:line="48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lang w:val="en-US" w:eastAsia="zh-CN"/>
              </w:rPr>
              <w:t>1440300087709193M</w:t>
            </w:r>
          </w:p>
        </w:tc>
      </w:tr>
      <w:tr w14:paraId="01AD6D2C">
        <w:tblPrEx>
          <w:tblCellMar>
            <w:top w:w="0" w:type="dxa"/>
            <w:left w:w="0" w:type="dxa"/>
            <w:bottom w:w="0" w:type="dxa"/>
            <w:right w:w="0" w:type="dxa"/>
          </w:tblCellMar>
        </w:tblPrEx>
        <w:trPr>
          <w:trHeight w:val="567"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97A8F1">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46C04AA">
            <w:pPr>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深圳市宝安区西乡街道盐田社区银田工业区B2栋G317</w:t>
            </w:r>
          </w:p>
        </w:tc>
      </w:tr>
      <w:tr w14:paraId="54DD95C1">
        <w:tblPrEx>
          <w:tblCellMar>
            <w:top w:w="0" w:type="dxa"/>
            <w:left w:w="0" w:type="dxa"/>
            <w:bottom w:w="0" w:type="dxa"/>
            <w:right w:w="0" w:type="dxa"/>
          </w:tblCellMar>
        </w:tblPrEx>
        <w:trPr>
          <w:trHeight w:val="563"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FF1D07">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93D4DCD">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3E92BABD">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B672B">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A638566">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4B3C3F5D">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2EBDD0B7">
        <w:tblPrEx>
          <w:tblCellMar>
            <w:top w:w="0" w:type="dxa"/>
            <w:left w:w="0" w:type="dxa"/>
            <w:bottom w:w="0" w:type="dxa"/>
            <w:right w:w="0" w:type="dxa"/>
          </w:tblCellMar>
        </w:tblPrEx>
        <w:trPr>
          <w:trHeight w:val="543"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219BA9">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58B0269B">
        <w:tblPrEx>
          <w:tblCellMar>
            <w:top w:w="0" w:type="dxa"/>
            <w:left w:w="0" w:type="dxa"/>
            <w:bottom w:w="0" w:type="dxa"/>
            <w:right w:w="0" w:type="dxa"/>
          </w:tblCellMar>
        </w:tblPrEx>
        <w:trPr>
          <w:trHeight w:val="171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EE2C64">
            <w:pPr>
              <w:pStyle w:val="2"/>
              <w:spacing w:line="400" w:lineRule="exact"/>
              <w:ind w:firstLine="560" w:firstLineChars="200"/>
              <w:jc w:val="both"/>
              <w:rPr>
                <w:rFonts w:hint="eastAsia" w:ascii="Times New Roman" w:hAnsi="Times New Roman" w:eastAsia="仿宋_GB2312" w:cs="Times New Roman"/>
                <w:sz w:val="28"/>
                <w:szCs w:val="28"/>
                <w:highlight w:val="none"/>
                <w:lang w:val="en" w:eastAsia="zh-CN"/>
              </w:rPr>
            </w:pPr>
            <w:r>
              <w:rPr>
                <w:rFonts w:hint="eastAsia" w:ascii="Times New Roman" w:hAnsi="Times New Roman" w:eastAsia="仿宋_GB2312" w:cs="Times New Roman"/>
                <w:sz w:val="28"/>
                <w:szCs w:val="28"/>
                <w:highlight w:val="none"/>
                <w:lang w:val="en"/>
              </w:rPr>
              <w:t>该企业</w:t>
            </w:r>
            <w:r>
              <w:rPr>
                <w:rFonts w:hint="eastAsia" w:ascii="Times New Roman" w:hAnsi="Times New Roman" w:eastAsia="仿宋_GB2312" w:cs="Times New Roman"/>
                <w:sz w:val="28"/>
                <w:szCs w:val="28"/>
                <w:highlight w:val="none"/>
                <w:lang w:val="en" w:eastAsia="zh-CN"/>
              </w:rPr>
              <w:t>在机构与人员方面存在质量安全负责人未有效履职等问题；在质量保证与控制方面存在未按要求执行质量管理体系自查制度、留样管理制度等问题；在生产过程管理方面存在未按要求执行产品放行管理制度等问题；在委托生产管理方面存在未按要求对受托生产企业生产活动进行监督等问题；在产品销售管理方面存在未按规定执行产品销售记录制度等问题。</w:t>
            </w:r>
          </w:p>
        </w:tc>
      </w:tr>
      <w:tr w14:paraId="20BFA182">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91114">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082AC7AD">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F3FE2C">
            <w:pPr>
              <w:pStyle w:val="2"/>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国家药监局要求广东省药品监督管理局对该企业涉嫌违法的行为依法立案调查，并评估相关产品安全风险，必要时依法采取紧急控制措施。有关查处结果及时报告国家药监局。</w:t>
            </w:r>
          </w:p>
          <w:p w14:paraId="17589412">
            <w:pPr>
              <w:pStyle w:val="2"/>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广东省</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广东省</w:t>
            </w:r>
            <w:r>
              <w:rPr>
                <w:rFonts w:hint="eastAsia" w:ascii="Times New Roman" w:hAnsi="Times New Roman" w:eastAsia="仿宋_GB2312" w:cs="Times New Roman"/>
                <w:sz w:val="28"/>
                <w:szCs w:val="28"/>
                <w:lang w:eastAsia="zh-CN"/>
              </w:rPr>
              <w:t>药品监督管理局检查确认前不得恢复经营。有关整改情况及时报告国家药监局。</w:t>
            </w:r>
          </w:p>
        </w:tc>
      </w:tr>
      <w:tr w14:paraId="7A9C8F1A">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CD0AD">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4B456852">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3B51214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64FF"/>
    <w:rsid w:val="6E62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2025-08-20T08:18:00Z</dcterms:created>
  <dc:creator>新祺</dc:creator>
  <cp:lastModifiedBy>新祺</cp:lastModifiedBy>
  <dcterms:modified xsi:type="dcterms:W3CDTF">2025-08-20T08:18:16Z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3BAC6DF6E4E34ACEAD7ACD8DFABD13EF_11</vt:lpwstr>
  </property>
  <property fmtid="{D5CDD505-2E9C-101B-9397-08002B2CF9AE}" pid="4" name="KSOTemplateDocerSaveRecord">
    <vt:lpwstr>eyJoZGlkIjoiNzUzMjcxYjI3MDRjMDIwZmVmYTgzNGM3MjE3OGJkMDMiLCJ1c2VySWQiOiIyNzgyMDExNzcifQ==</vt:lpwstr>
  </property>
</Properties>
</file>