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b w:val="0"/>
          <w:bCs w:val="0"/>
          <w:sz w:val="44"/>
          <w:szCs w:val="44"/>
          <w:highlight w:val="none"/>
        </w:rPr>
      </w:pP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jc w:val="center"/>
        <w:textAlignment w:val="auto"/>
        <w:rPr>
          <w:rFonts w:hint="eastAsia" w:ascii="方正小标宋简体" w:hAnsi="仿宋" w:eastAsia="方正小标宋_GBK" w:cs="仿宋"/>
          <w:b w:val="0"/>
          <w:bCs w:val="0"/>
          <w:sz w:val="44"/>
          <w:szCs w:val="44"/>
          <w:highlight w:val="none"/>
          <w:lang w:eastAsia="zh-CN"/>
        </w:rPr>
      </w:pPr>
      <w:r>
        <w:rPr>
          <w:rFonts w:hint="eastAsia" w:ascii="方正小标宋_GBK" w:hAnsi="方正小标宋_GBK" w:eastAsia="方正小标宋_GBK" w:cs="方正小标宋_GBK"/>
          <w:b w:val="0"/>
          <w:bCs w:val="0"/>
          <w:sz w:val="44"/>
          <w:szCs w:val="44"/>
          <w:highlight w:val="none"/>
        </w:rPr>
        <w:t>关于</w:t>
      </w:r>
      <w:r>
        <w:rPr>
          <w:rFonts w:hint="eastAsia" w:ascii="方正小标宋_GBK" w:hAnsi="方正小标宋_GBK" w:eastAsia="方正小标宋_GBK" w:cs="方正小标宋_GBK"/>
          <w:b w:val="0"/>
          <w:bCs w:val="0"/>
          <w:sz w:val="44"/>
          <w:szCs w:val="44"/>
          <w:highlight w:val="none"/>
          <w:lang w:eastAsia="zh-CN"/>
        </w:rPr>
        <w:t>抽检</w:t>
      </w:r>
      <w:r>
        <w:rPr>
          <w:rFonts w:hint="eastAsia" w:ascii="方正小标宋_GBK" w:hAnsi="方正小标宋_GBK" w:eastAsia="方正小标宋_GBK" w:cs="方正小标宋_GBK"/>
          <w:b w:val="0"/>
          <w:bCs w:val="0"/>
          <w:sz w:val="44"/>
          <w:szCs w:val="44"/>
          <w:highlight w:val="none"/>
          <w:lang w:val="en-US" w:eastAsia="zh-CN"/>
        </w:rPr>
        <w:t>不合格</w:t>
      </w:r>
      <w:r>
        <w:rPr>
          <w:rFonts w:hint="eastAsia" w:ascii="方正小标宋_GBK" w:hAnsi="方正小标宋_GBK" w:eastAsia="方正小标宋_GBK" w:cs="方正小标宋_GBK"/>
          <w:b w:val="0"/>
          <w:bCs w:val="0"/>
          <w:sz w:val="44"/>
          <w:szCs w:val="44"/>
          <w:highlight w:val="none"/>
          <w:lang w:eastAsia="zh-CN"/>
        </w:rPr>
        <w:t>项目</w:t>
      </w:r>
      <w:r>
        <w:rPr>
          <w:rFonts w:hint="eastAsia" w:ascii="方正小标宋_GBK" w:hAnsi="方正小标宋_GBK" w:eastAsia="方正小标宋_GBK" w:cs="方正小标宋_GBK"/>
          <w:b w:val="0"/>
          <w:bCs w:val="0"/>
          <w:sz w:val="44"/>
          <w:szCs w:val="44"/>
          <w:highlight w:val="none"/>
        </w:rPr>
        <w:t>的</w:t>
      </w:r>
      <w:r>
        <w:rPr>
          <w:rFonts w:hint="eastAsia" w:ascii="方正小标宋_GBK" w:hAnsi="方正小标宋_GBK" w:eastAsia="方正小标宋_GBK" w:cs="方正小标宋_GBK"/>
          <w:b w:val="0"/>
          <w:bCs w:val="0"/>
          <w:sz w:val="44"/>
          <w:szCs w:val="44"/>
          <w:highlight w:val="none"/>
          <w:lang w:val="en-US" w:eastAsia="zh-CN"/>
        </w:rPr>
        <w:t>解读</w:t>
      </w:r>
    </w:p>
    <w:p>
      <w:pPr>
        <w:jc w:val="both"/>
        <w:rPr>
          <w:rFonts w:hint="default" w:ascii="宋体" w:hAnsi="宋体" w:eastAsia="宋体" w:cs="宋体"/>
          <w:b/>
          <w:bCs/>
          <w:i w:val="0"/>
          <w:iCs w:val="0"/>
          <w:color w:val="000000"/>
          <w:kern w:val="0"/>
          <w:sz w:val="32"/>
          <w:szCs w:val="32"/>
          <w:u w:val="none"/>
          <w:lang w:val="en-US" w:eastAsia="zh-CN" w:bidi="ar"/>
        </w:rPr>
      </w:pPr>
    </w:p>
    <w:p>
      <w:pPr>
        <w:jc w:val="center"/>
        <w:rPr>
          <w:rFonts w:hint="default" w:ascii="宋体" w:hAnsi="宋体" w:eastAsia="宋体" w:cs="宋体"/>
          <w:b/>
          <w:bCs/>
          <w:i w:val="0"/>
          <w:iCs w:val="0"/>
          <w:color w:val="000000"/>
          <w:kern w:val="0"/>
          <w:sz w:val="24"/>
          <w:szCs w:val="24"/>
          <w:u w:val="none"/>
          <w:vertAlign w:val="baseline"/>
          <w:lang w:val="en-US" w:eastAsia="zh-CN" w:bidi="ar"/>
        </w:rPr>
      </w:pPr>
      <w:r>
        <w:rPr>
          <w:rFonts w:hint="eastAsia" w:ascii="宋体" w:hAnsi="宋体" w:eastAsia="宋体" w:cs="宋体"/>
          <w:b/>
          <w:bCs/>
          <w:i w:val="0"/>
          <w:iCs w:val="0"/>
          <w:color w:val="000000"/>
          <w:kern w:val="0"/>
          <w:sz w:val="28"/>
          <w:szCs w:val="28"/>
          <w:u w:val="none"/>
          <w:lang w:val="en-US" w:eastAsia="zh-CN" w:bidi="ar"/>
        </w:rPr>
        <w:t>不合格样品信息汇总表</w:t>
      </w:r>
    </w:p>
    <w:p>
      <w:pPr>
        <w:pStyle w:val="3"/>
        <w:rPr>
          <w:rFonts w:hint="default"/>
          <w:lang w:val="en-US" w:eastAsia="zh-CN"/>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783"/>
        <w:gridCol w:w="1677"/>
        <w:gridCol w:w="2005"/>
        <w:gridCol w:w="1131"/>
        <w:gridCol w:w="1255"/>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 w:type="pct"/>
            <w:vAlign w:val="center"/>
          </w:tcPr>
          <w:p>
            <w:pPr>
              <w:jc w:val="center"/>
              <w:rPr>
                <w:rFonts w:hint="eastAsia" w:ascii="宋体" w:hAnsi="宋体" w:eastAsia="宋体" w:cs="宋体"/>
                <w:i w:val="0"/>
                <w:iCs w:val="0"/>
                <w:color w:val="000000" w:themeColor="text1"/>
                <w:kern w:val="0"/>
                <w:sz w:val="20"/>
                <w:szCs w:val="20"/>
                <w:u w:val="none"/>
                <w:vertAlign w:val="baseli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vertAlign w:val="baseline"/>
                <w:lang w:val="en-US" w:eastAsia="zh-CN" w:bidi="ar"/>
                <w14:textFill>
                  <w14:solidFill>
                    <w14:schemeClr w14:val="tx1"/>
                  </w14:solidFill>
                </w14:textFill>
              </w:rPr>
              <w:t>序号</w:t>
            </w:r>
          </w:p>
        </w:tc>
        <w:tc>
          <w:tcPr>
            <w:tcW w:w="459"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themeColor="text1"/>
                <w:kern w:val="0"/>
                <w:sz w:val="20"/>
                <w:szCs w:val="20"/>
                <w:u w:val="none"/>
                <w:vertAlign w:val="baseli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vertAlign w:val="baseline"/>
                <w:lang w:val="en-US" w:eastAsia="zh-CN" w:bidi="ar"/>
                <w14:textFill>
                  <w14:solidFill>
                    <w14:schemeClr w14:val="tx1"/>
                  </w14:solidFill>
                </w14:textFill>
              </w:rPr>
              <w:t>样品名称</w:t>
            </w:r>
          </w:p>
        </w:tc>
        <w:tc>
          <w:tcPr>
            <w:tcW w:w="983" w:type="pct"/>
            <w:vAlign w:val="center"/>
          </w:tcPr>
          <w:p>
            <w:pPr>
              <w:jc w:val="center"/>
              <w:rPr>
                <w:rFonts w:hint="eastAsia" w:ascii="宋体" w:hAnsi="宋体" w:eastAsia="宋体" w:cs="宋体"/>
                <w:i w:val="0"/>
                <w:iCs w:val="0"/>
                <w:color w:val="000000" w:themeColor="text1"/>
                <w:kern w:val="0"/>
                <w:sz w:val="20"/>
                <w:szCs w:val="20"/>
                <w:u w:val="none"/>
                <w:vertAlign w:val="baseli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vertAlign w:val="baseline"/>
                <w:lang w:val="en-US" w:eastAsia="zh-CN" w:bidi="ar"/>
                <w14:textFill>
                  <w14:solidFill>
                    <w14:schemeClr w14:val="tx1"/>
                  </w14:solidFill>
                </w14:textFill>
              </w:rPr>
              <w:t>被抽样单位名称</w:t>
            </w:r>
          </w:p>
        </w:tc>
        <w:tc>
          <w:tcPr>
            <w:tcW w:w="1176" w:type="pct"/>
            <w:vAlign w:val="center"/>
          </w:tcPr>
          <w:p>
            <w:pPr>
              <w:jc w:val="center"/>
              <w:rPr>
                <w:rFonts w:hint="eastAsia" w:ascii="宋体" w:hAnsi="宋体" w:eastAsia="宋体" w:cs="宋体"/>
                <w:i w:val="0"/>
                <w:iCs w:val="0"/>
                <w:color w:val="000000" w:themeColor="text1"/>
                <w:kern w:val="0"/>
                <w:sz w:val="20"/>
                <w:szCs w:val="20"/>
                <w:u w:val="none"/>
                <w:vertAlign w:val="baseli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vertAlign w:val="baseline"/>
                <w:lang w:val="en-US" w:eastAsia="zh-CN" w:bidi="ar"/>
                <w14:textFill>
                  <w14:solidFill>
                    <w14:schemeClr w14:val="tx1"/>
                  </w14:solidFill>
                </w14:textFill>
              </w:rPr>
              <w:t>被抽样单位地址</w:t>
            </w:r>
          </w:p>
        </w:tc>
        <w:tc>
          <w:tcPr>
            <w:tcW w:w="663" w:type="pct"/>
            <w:vAlign w:val="center"/>
          </w:tcPr>
          <w:p>
            <w:pPr>
              <w:jc w:val="center"/>
              <w:rPr>
                <w:rFonts w:hint="eastAsia" w:ascii="宋体" w:hAnsi="宋体" w:eastAsia="宋体" w:cs="宋体"/>
                <w:i w:val="0"/>
                <w:iCs w:val="0"/>
                <w:color w:val="000000" w:themeColor="text1"/>
                <w:kern w:val="0"/>
                <w:sz w:val="20"/>
                <w:szCs w:val="20"/>
                <w:u w:val="none"/>
                <w:vertAlign w:val="baseli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vertAlign w:val="baseline"/>
                <w:lang w:val="en-US" w:eastAsia="zh-CN" w:bidi="ar"/>
                <w14:textFill>
                  <w14:solidFill>
                    <w14:schemeClr w14:val="tx1"/>
                  </w14:solidFill>
                </w14:textFill>
              </w:rPr>
              <w:t>检验项目</w:t>
            </w:r>
          </w:p>
        </w:tc>
        <w:tc>
          <w:tcPr>
            <w:tcW w:w="736" w:type="pct"/>
            <w:vAlign w:val="center"/>
          </w:tcPr>
          <w:p>
            <w:pPr>
              <w:jc w:val="center"/>
              <w:rPr>
                <w:rFonts w:hint="eastAsia" w:ascii="宋体" w:hAnsi="宋体" w:eastAsia="宋体" w:cs="宋体"/>
                <w:i w:val="0"/>
                <w:iCs w:val="0"/>
                <w:color w:val="000000" w:themeColor="text1"/>
                <w:kern w:val="0"/>
                <w:sz w:val="20"/>
                <w:szCs w:val="20"/>
                <w:u w:val="none"/>
                <w:vertAlign w:val="baseli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vertAlign w:val="baseline"/>
                <w:lang w:val="en-US" w:eastAsia="zh-CN" w:bidi="ar"/>
                <w14:textFill>
                  <w14:solidFill>
                    <w14:schemeClr w14:val="tx1"/>
                  </w14:solidFill>
                </w14:textFill>
              </w:rPr>
              <w:t>检测结果</w:t>
            </w:r>
          </w:p>
        </w:tc>
        <w:tc>
          <w:tcPr>
            <w:tcW w:w="684" w:type="pct"/>
            <w:vAlign w:val="center"/>
          </w:tcPr>
          <w:p>
            <w:pPr>
              <w:jc w:val="center"/>
              <w:rPr>
                <w:rFonts w:hint="eastAsia" w:ascii="宋体" w:hAnsi="宋体" w:eastAsia="宋体" w:cs="宋体"/>
                <w:i w:val="0"/>
                <w:iCs w:val="0"/>
                <w:color w:val="000000" w:themeColor="text1"/>
                <w:kern w:val="0"/>
                <w:sz w:val="20"/>
                <w:szCs w:val="20"/>
                <w:u w:val="none"/>
                <w:vertAlign w:val="baseli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vertAlign w:val="baseline"/>
                <w:lang w:val="en-US" w:eastAsia="zh-CN" w:bidi="ar"/>
                <w14:textFill>
                  <w14:solidFill>
                    <w14:schemeClr w14:val="tx1"/>
                  </w14:solidFill>
                </w14:textFill>
              </w:rPr>
              <w:t>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 w:type="pct"/>
            <w:vAlign w:val="center"/>
          </w:tcPr>
          <w:p>
            <w:pPr>
              <w:jc w:val="center"/>
              <w:rPr>
                <w:rFonts w:hint="eastAsia" w:ascii="宋体" w:hAnsi="宋体" w:eastAsia="宋体" w:cs="宋体"/>
                <w:i w:val="0"/>
                <w:iCs w:val="0"/>
                <w:color w:val="000000" w:themeColor="text1"/>
                <w:kern w:val="0"/>
                <w:sz w:val="20"/>
                <w:szCs w:val="20"/>
                <w:u w:val="none"/>
                <w:vertAlign w:val="baseli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vertAlign w:val="baseline"/>
                <w:lang w:val="en-US" w:eastAsia="zh-CN" w:bidi="ar"/>
                <w14:textFill>
                  <w14:solidFill>
                    <w14:schemeClr w14:val="tx1"/>
                  </w14:solidFill>
                </w14:textFill>
              </w:rPr>
              <w:t>1</w:t>
            </w:r>
          </w:p>
        </w:tc>
        <w:tc>
          <w:tcPr>
            <w:tcW w:w="459" w:type="pct"/>
            <w:vAlign w:val="center"/>
          </w:tcPr>
          <w:p>
            <w:pPr>
              <w:keepNext w:val="0"/>
              <w:keepLines w:val="0"/>
              <w:widowControl/>
              <w:suppressLineNumbers w:val="0"/>
              <w:jc w:val="center"/>
              <w:rPr>
                <w:rFonts w:hint="eastAsia" w:ascii="宋体" w:hAnsi="宋体" w:eastAsia="宋体" w:cs="宋体"/>
                <w:i w:val="0"/>
                <w:iCs w:val="0"/>
                <w:color w:val="000000" w:themeColor="text1"/>
                <w:kern w:val="0"/>
                <w:sz w:val="20"/>
                <w:szCs w:val="20"/>
                <w:u w:val="none"/>
                <w:vertAlign w:val="baseline"/>
                <w:lang w:val="en-US" w:eastAsia="zh-CN" w:bidi="ar"/>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玉竹百合代用茶</w:t>
            </w:r>
          </w:p>
        </w:tc>
        <w:tc>
          <w:tcPr>
            <w:tcW w:w="983" w:type="pct"/>
            <w:vAlign w:val="center"/>
          </w:tcPr>
          <w:p>
            <w:pPr>
              <w:keepNext w:val="0"/>
              <w:keepLines w:val="0"/>
              <w:widowControl/>
              <w:suppressLineNumbers w:val="0"/>
              <w:jc w:val="center"/>
              <w:rPr>
                <w:rFonts w:hint="eastAsia" w:ascii="宋体" w:hAnsi="宋体" w:eastAsia="宋体" w:cs="宋体"/>
                <w:i w:val="0"/>
                <w:iCs w:val="0"/>
                <w:color w:val="000000" w:themeColor="text1"/>
                <w:kern w:val="0"/>
                <w:sz w:val="20"/>
                <w:szCs w:val="20"/>
                <w:u w:val="none"/>
                <w:vertAlign w:val="baseli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sz w:val="20"/>
                <w:szCs w:val="20"/>
                <w:shd w:val="clear" w:fill="FFFFFF"/>
                <w14:textFill>
                  <w14:solidFill>
                    <w14:schemeClr w14:val="tx1"/>
                  </w14:solidFill>
                </w14:textFill>
              </w:rPr>
              <w:t>惠州市安宏健康管理有限公司</w:t>
            </w:r>
          </w:p>
        </w:tc>
        <w:tc>
          <w:tcPr>
            <w:tcW w:w="1176" w:type="pct"/>
            <w:vAlign w:val="center"/>
          </w:tcPr>
          <w:p>
            <w:pPr>
              <w:jc w:val="center"/>
              <w:rPr>
                <w:rFonts w:hint="eastAsia" w:ascii="宋体" w:hAnsi="宋体" w:eastAsia="宋体" w:cs="宋体"/>
                <w:i w:val="0"/>
                <w:iCs w:val="0"/>
                <w:color w:val="000000" w:themeColor="text1"/>
                <w:kern w:val="0"/>
                <w:sz w:val="20"/>
                <w:szCs w:val="20"/>
                <w:u w:val="none"/>
                <w:vertAlign w:val="baseli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sz w:val="20"/>
                <w:szCs w:val="20"/>
                <w:shd w:val="clear" w:fill="FFFFFF"/>
                <w14:textFill>
                  <w14:solidFill>
                    <w14:schemeClr w14:val="tx1"/>
                  </w14:solidFill>
                </w14:textFill>
              </w:rPr>
              <w:t>惠州大亚湾西区板樟岭西侧龙山五路25号联益科技园A1栋307</w:t>
            </w:r>
          </w:p>
        </w:tc>
        <w:tc>
          <w:tcPr>
            <w:tcW w:w="663" w:type="pct"/>
            <w:vAlign w:val="center"/>
          </w:tcPr>
          <w:p>
            <w:pPr>
              <w:keepNext w:val="0"/>
              <w:keepLines w:val="0"/>
              <w:widowControl/>
              <w:suppressLineNumbers w:val="0"/>
              <w:jc w:val="cente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铅(以 Pb 计)</w:t>
            </w:r>
          </w:p>
        </w:tc>
        <w:tc>
          <w:tcPr>
            <w:tcW w:w="736" w:type="pct"/>
            <w:vAlign w:val="center"/>
          </w:tcPr>
          <w:p>
            <w:pPr>
              <w:keepNext w:val="0"/>
              <w:keepLines w:val="0"/>
              <w:widowControl/>
              <w:suppressLineNumbers w:val="0"/>
              <w:jc w:val="center"/>
              <w:rPr>
                <w:rFonts w:hint="eastAsia" w:ascii="宋体" w:hAnsi="宋体" w:eastAsia="宋体" w:cs="宋体"/>
                <w:i w:val="0"/>
                <w:iCs w:val="0"/>
                <w:color w:val="000000" w:themeColor="text1"/>
                <w:kern w:val="0"/>
                <w:sz w:val="20"/>
                <w:szCs w:val="20"/>
                <w:u w:val="none"/>
                <w:vertAlign w:val="baseline"/>
                <w:lang w:val="en-US" w:eastAsia="zh-CN" w:bidi="ar"/>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96.9mg/kg</w:t>
            </w:r>
          </w:p>
        </w:tc>
        <w:tc>
          <w:tcPr>
            <w:tcW w:w="684" w:type="pct"/>
            <w:vAlign w:val="center"/>
          </w:tcPr>
          <w:p>
            <w:pPr>
              <w:keepNext w:val="0"/>
              <w:keepLines w:val="0"/>
              <w:widowControl/>
              <w:suppressLineNumbers w:val="0"/>
              <w:jc w:val="center"/>
              <w:rPr>
                <w:rFonts w:hint="eastAsia" w:ascii="宋体" w:hAnsi="宋体" w:eastAsia="宋体" w:cs="宋体"/>
                <w:i w:val="0"/>
                <w:iCs w:val="0"/>
                <w:color w:val="000000" w:themeColor="text1"/>
                <w:kern w:val="0"/>
                <w:sz w:val="20"/>
                <w:szCs w:val="20"/>
                <w:u w:val="none"/>
                <w:vertAlign w:val="baseline"/>
                <w:lang w:val="en-US" w:eastAsia="zh-CN" w:bidi="ar"/>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≤2.5mg/kg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 w:type="pct"/>
            <w:vAlign w:val="center"/>
          </w:tcPr>
          <w:p>
            <w:pPr>
              <w:jc w:val="center"/>
              <w:rPr>
                <w:rFonts w:hint="eastAsia" w:ascii="宋体" w:hAnsi="宋体" w:eastAsia="宋体" w:cs="宋体"/>
                <w:i w:val="0"/>
                <w:iCs w:val="0"/>
                <w:color w:val="000000" w:themeColor="text1"/>
                <w:kern w:val="0"/>
                <w:sz w:val="20"/>
                <w:szCs w:val="20"/>
                <w:u w:val="none"/>
                <w:vertAlign w:val="baseli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vertAlign w:val="baseline"/>
                <w:lang w:val="en-US" w:eastAsia="zh-CN" w:bidi="ar"/>
                <w14:textFill>
                  <w14:solidFill>
                    <w14:schemeClr w14:val="tx1"/>
                  </w14:solidFill>
                </w14:textFill>
              </w:rPr>
              <w:t>2</w:t>
            </w:r>
          </w:p>
        </w:tc>
        <w:tc>
          <w:tcPr>
            <w:tcW w:w="459" w:type="pct"/>
            <w:vAlign w:val="center"/>
          </w:tcPr>
          <w:p>
            <w:pPr>
              <w:keepNext w:val="0"/>
              <w:keepLines w:val="0"/>
              <w:widowControl/>
              <w:suppressLineNumbers w:val="0"/>
              <w:jc w:val="center"/>
              <w:rPr>
                <w:rFonts w:hint="eastAsia" w:ascii="宋体" w:hAnsi="宋体" w:eastAsia="宋体" w:cs="宋体"/>
                <w:i w:val="0"/>
                <w:iCs w:val="0"/>
                <w:color w:val="000000" w:themeColor="text1"/>
                <w:kern w:val="0"/>
                <w:sz w:val="20"/>
                <w:szCs w:val="20"/>
                <w:u w:val="none"/>
                <w:vertAlign w:val="baseli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sz w:val="20"/>
                <w:szCs w:val="20"/>
                <w:shd w:val="clear" w:fill="FFFFFF"/>
                <w14:textFill>
                  <w14:solidFill>
                    <w14:schemeClr w14:val="tx1"/>
                  </w14:solidFill>
                </w14:textFill>
              </w:rPr>
              <w:t>江上明珠 包装饮用水</w:t>
            </w:r>
          </w:p>
        </w:tc>
        <w:tc>
          <w:tcPr>
            <w:tcW w:w="983" w:type="pct"/>
            <w:vAlign w:val="center"/>
          </w:tcPr>
          <w:p>
            <w:pPr>
              <w:keepNext w:val="0"/>
              <w:keepLines w:val="0"/>
              <w:widowControl/>
              <w:suppressLineNumbers w:val="0"/>
              <w:jc w:val="center"/>
              <w:rPr>
                <w:rFonts w:hint="eastAsia" w:ascii="宋体" w:hAnsi="宋体" w:eastAsia="宋体" w:cs="宋体"/>
                <w:i w:val="0"/>
                <w:iCs w:val="0"/>
                <w:color w:val="000000" w:themeColor="text1"/>
                <w:kern w:val="0"/>
                <w:sz w:val="20"/>
                <w:szCs w:val="20"/>
                <w:u w:val="none"/>
                <w:vertAlign w:val="baseli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sz w:val="20"/>
                <w:szCs w:val="20"/>
                <w:shd w:val="clear" w:fill="FFFFFF"/>
                <w14:textFill>
                  <w14:solidFill>
                    <w14:schemeClr w14:val="tx1"/>
                  </w14:solidFill>
                </w14:textFill>
              </w:rPr>
              <w:t>惠州大亚湾爱尚水业店</w:t>
            </w:r>
          </w:p>
        </w:tc>
        <w:tc>
          <w:tcPr>
            <w:tcW w:w="1176" w:type="pct"/>
            <w:vAlign w:val="center"/>
          </w:tcPr>
          <w:p>
            <w:pPr>
              <w:jc w:val="center"/>
              <w:rPr>
                <w:rFonts w:hint="eastAsia" w:ascii="宋体" w:hAnsi="宋体" w:eastAsia="宋体" w:cs="宋体"/>
                <w:i w:val="0"/>
                <w:iCs w:val="0"/>
                <w:color w:val="000000" w:themeColor="text1"/>
                <w:kern w:val="0"/>
                <w:sz w:val="20"/>
                <w:szCs w:val="20"/>
                <w:u w:val="none"/>
                <w:vertAlign w:val="baseli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sz w:val="20"/>
                <w:szCs w:val="20"/>
                <w:shd w:val="clear" w:fill="FFFFFF"/>
                <w14:textFill>
                  <w14:solidFill>
                    <w14:schemeClr w14:val="tx1"/>
                  </w14:solidFill>
                </w14:textFill>
              </w:rPr>
              <w:t>惠州大亚湾霞涌育才路6号</w:t>
            </w:r>
          </w:p>
        </w:tc>
        <w:tc>
          <w:tcPr>
            <w:tcW w:w="663" w:type="pct"/>
            <w:vAlign w:val="center"/>
          </w:tcPr>
          <w:p>
            <w:pPr>
              <w:keepNext w:val="0"/>
              <w:keepLines w:val="0"/>
              <w:widowControl/>
              <w:suppressLineNumbers w:val="0"/>
              <w:jc w:val="cente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铜绿假单胞菌</w:t>
            </w:r>
          </w:p>
        </w:tc>
        <w:tc>
          <w:tcPr>
            <w:tcW w:w="736" w:type="pct"/>
            <w:vAlign w:val="center"/>
          </w:tcPr>
          <w:p>
            <w:pPr>
              <w:keepNext w:val="0"/>
              <w:keepLines w:val="0"/>
              <w:widowControl/>
              <w:suppressLineNumbers w:val="0"/>
              <w:jc w:val="both"/>
              <w:rPr>
                <w:rFonts w:hint="eastAsia" w:ascii="宋体" w:hAnsi="宋体" w:eastAsia="宋体" w:cs="宋体"/>
                <w:i w:val="0"/>
                <w:iCs w:val="0"/>
                <w:color w:val="000000" w:themeColor="text1"/>
                <w:kern w:val="0"/>
                <w:sz w:val="20"/>
                <w:szCs w:val="20"/>
                <w:u w:val="none"/>
                <w:vertAlign w:val="baseline"/>
                <w:lang w:val="en-US" w:eastAsia="zh-CN" w:bidi="ar"/>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未检出,未检出,未检出,61,未检 出</w:t>
            </w:r>
            <w:r>
              <w:rPr>
                <w:rFonts w:hint="eastAsia" w:ascii="宋体" w:hAnsi="宋体" w:eastAsia="宋体" w:cs="宋体"/>
                <w:color w:val="000000" w:themeColor="text1"/>
                <w:sz w:val="20"/>
                <w:szCs w:val="20"/>
                <w:lang w:val="en-US" w:eastAsia="zh-CN"/>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CFU/250m L</w:t>
            </w:r>
          </w:p>
        </w:tc>
        <w:tc>
          <w:tcPr>
            <w:tcW w:w="684" w:type="pct"/>
            <w:vAlign w:val="center"/>
          </w:tcPr>
          <w:p>
            <w:pPr>
              <w:keepNext w:val="0"/>
              <w:keepLines w:val="0"/>
              <w:widowControl/>
              <w:suppressLineNumbers w:val="0"/>
              <w:jc w:val="center"/>
              <w:rPr>
                <w:rFonts w:hint="eastAsia" w:ascii="宋体" w:hAnsi="宋体" w:eastAsia="宋体" w:cs="宋体"/>
                <w:i w:val="0"/>
                <w:iCs w:val="0"/>
                <w:color w:val="000000" w:themeColor="text1"/>
                <w:kern w:val="0"/>
                <w:sz w:val="20"/>
                <w:szCs w:val="20"/>
                <w:u w:val="none"/>
                <w:vertAlign w:val="baseline"/>
                <w:lang w:val="en-US" w:eastAsia="zh-CN" w:bidi="ar"/>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n=5,c=0,m=0</w:t>
            </w:r>
            <w:r>
              <w:rPr>
                <w:rFonts w:hint="eastAsia" w:ascii="宋体" w:hAnsi="宋体" w:eastAsia="宋体" w:cs="宋体"/>
                <w:color w:val="000000" w:themeColor="text1"/>
                <w:sz w:val="20"/>
                <w:szCs w:val="20"/>
                <w:lang w:val="en-US" w:eastAsia="zh-CN"/>
                <w14:textFill>
                  <w14:solidFill>
                    <w14:schemeClr w14:val="tx1"/>
                  </w14:solidFill>
                </w14:textFill>
              </w:rPr>
              <w:t xml:space="preserve"> </w:t>
            </w:r>
            <w:r>
              <w:rPr>
                <w:rFonts w:hint="eastAsia" w:ascii="宋体" w:hAnsi="宋体" w:eastAsia="宋体" w:cs="宋体"/>
                <w:color w:val="000000" w:themeColor="text1"/>
                <w:sz w:val="20"/>
                <w:szCs w:val="20"/>
                <w14:textFill>
                  <w14:solidFill>
                    <w14:schemeClr w14:val="tx1"/>
                  </w14:solidFill>
                </w14:textFill>
              </w:rPr>
              <w:t>CFU/250m 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 w:type="pct"/>
            <w:vAlign w:val="center"/>
          </w:tcPr>
          <w:p>
            <w:pPr>
              <w:jc w:val="center"/>
              <w:rPr>
                <w:rFonts w:hint="eastAsia" w:ascii="宋体" w:hAnsi="宋体" w:eastAsia="宋体" w:cs="宋体"/>
                <w:i w:val="0"/>
                <w:iCs w:val="0"/>
                <w:color w:val="000000" w:themeColor="text1"/>
                <w:kern w:val="0"/>
                <w:sz w:val="20"/>
                <w:szCs w:val="20"/>
                <w:u w:val="none"/>
                <w:vertAlign w:val="baseli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vertAlign w:val="baseline"/>
                <w:lang w:val="en-US" w:eastAsia="zh-CN" w:bidi="ar"/>
                <w14:textFill>
                  <w14:solidFill>
                    <w14:schemeClr w14:val="tx1"/>
                  </w14:solidFill>
                </w14:textFill>
              </w:rPr>
              <w:t>3</w:t>
            </w:r>
          </w:p>
        </w:tc>
        <w:tc>
          <w:tcPr>
            <w:tcW w:w="459" w:type="pct"/>
            <w:vAlign w:val="center"/>
          </w:tcPr>
          <w:p>
            <w:pPr>
              <w:keepNext w:val="0"/>
              <w:keepLines w:val="0"/>
              <w:widowControl/>
              <w:suppressLineNumbers w:val="0"/>
              <w:jc w:val="center"/>
              <w:rPr>
                <w:rFonts w:hint="eastAsia" w:ascii="宋体" w:hAnsi="宋体" w:eastAsia="宋体" w:cs="宋体"/>
                <w:i w:val="0"/>
                <w:iCs w:val="0"/>
                <w:caps w:val="0"/>
                <w:color w:val="000000" w:themeColor="text1"/>
                <w:spacing w:val="0"/>
                <w:sz w:val="20"/>
                <w:szCs w:val="20"/>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0"/>
                <w:szCs w:val="20"/>
                <w:shd w:val="clear" w:fill="FFFFFF"/>
                <w14:textFill>
                  <w14:solidFill>
                    <w14:schemeClr w14:val="tx1"/>
                  </w14:solidFill>
                </w14:textFill>
              </w:rPr>
              <w:t>肉丸</w:t>
            </w:r>
          </w:p>
        </w:tc>
        <w:tc>
          <w:tcPr>
            <w:tcW w:w="983" w:type="pct"/>
            <w:vAlign w:val="center"/>
          </w:tcPr>
          <w:p>
            <w:pPr>
              <w:keepNext w:val="0"/>
              <w:keepLines w:val="0"/>
              <w:widowControl/>
              <w:suppressLineNumbers w:val="0"/>
              <w:jc w:val="center"/>
              <w:rPr>
                <w:rFonts w:hint="eastAsia" w:ascii="宋体" w:hAnsi="宋体" w:eastAsia="宋体" w:cs="宋体"/>
                <w:i w:val="0"/>
                <w:iCs w:val="0"/>
                <w:caps w:val="0"/>
                <w:color w:val="000000" w:themeColor="text1"/>
                <w:spacing w:val="0"/>
                <w:sz w:val="20"/>
                <w:szCs w:val="20"/>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0"/>
                <w:szCs w:val="20"/>
                <w:shd w:val="clear" w:fill="FFFFFF"/>
                <w14:textFill>
                  <w14:solidFill>
                    <w14:schemeClr w14:val="tx1"/>
                  </w14:solidFill>
                </w14:textFill>
              </w:rPr>
              <w:t>惠州大亚湾快乐时光奶茶店</w:t>
            </w:r>
          </w:p>
        </w:tc>
        <w:tc>
          <w:tcPr>
            <w:tcW w:w="1176" w:type="pct"/>
            <w:vAlign w:val="center"/>
          </w:tcPr>
          <w:p>
            <w:pPr>
              <w:jc w:val="center"/>
              <w:rPr>
                <w:rFonts w:hint="eastAsia" w:ascii="宋体" w:hAnsi="宋体" w:eastAsia="宋体" w:cs="宋体"/>
                <w:i w:val="0"/>
                <w:iCs w:val="0"/>
                <w:caps w:val="0"/>
                <w:color w:val="000000" w:themeColor="text1"/>
                <w:spacing w:val="0"/>
                <w:sz w:val="20"/>
                <w:szCs w:val="20"/>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0"/>
                <w:szCs w:val="20"/>
                <w:shd w:val="clear" w:fill="FFFFFF"/>
                <w14:textFill>
                  <w14:solidFill>
                    <w14:schemeClr w14:val="tx1"/>
                  </w14:solidFill>
                </w14:textFill>
              </w:rPr>
              <w:t>惠州大亚湾霞涌镇岭南村三巷一号</w:t>
            </w:r>
          </w:p>
        </w:tc>
        <w:tc>
          <w:tcPr>
            <w:tcW w:w="663" w:type="pct"/>
            <w:vAlign w:val="center"/>
          </w:tcPr>
          <w:p>
            <w:pPr>
              <w:keepNext w:val="0"/>
              <w:keepLines w:val="0"/>
              <w:widowControl/>
              <w:suppressLineNumbers w:val="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脱氢乙酸及其钠盐(以脱氢乙酸计)</w:t>
            </w:r>
          </w:p>
        </w:tc>
        <w:tc>
          <w:tcPr>
            <w:tcW w:w="736" w:type="pct"/>
            <w:vAlign w:val="center"/>
          </w:tcPr>
          <w:p>
            <w:pPr>
              <w:keepNext w:val="0"/>
              <w:keepLines w:val="0"/>
              <w:widowControl/>
              <w:suppressLineNumbers w:val="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2.68g/kg</w:t>
            </w:r>
          </w:p>
        </w:tc>
        <w:tc>
          <w:tcPr>
            <w:tcW w:w="684" w:type="pct"/>
            <w:vAlign w:val="center"/>
          </w:tcPr>
          <w:p>
            <w:pPr>
              <w:keepNext w:val="0"/>
              <w:keepLines w:val="0"/>
              <w:widowControl/>
              <w:suppressLineNumbers w:val="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不得使用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 w:type="pct"/>
            <w:vAlign w:val="center"/>
          </w:tcPr>
          <w:p>
            <w:pPr>
              <w:jc w:val="center"/>
              <w:rPr>
                <w:rFonts w:hint="eastAsia" w:ascii="宋体" w:hAnsi="宋体" w:eastAsia="宋体" w:cs="宋体"/>
                <w:i w:val="0"/>
                <w:iCs w:val="0"/>
                <w:color w:val="000000" w:themeColor="text1"/>
                <w:kern w:val="0"/>
                <w:sz w:val="20"/>
                <w:szCs w:val="20"/>
                <w:u w:val="none"/>
                <w:vertAlign w:val="baseli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vertAlign w:val="baseline"/>
                <w:lang w:val="en-US" w:eastAsia="zh-CN" w:bidi="ar"/>
                <w14:textFill>
                  <w14:solidFill>
                    <w14:schemeClr w14:val="tx1"/>
                  </w14:solidFill>
                </w14:textFill>
              </w:rPr>
              <w:t>4</w:t>
            </w:r>
          </w:p>
        </w:tc>
        <w:tc>
          <w:tcPr>
            <w:tcW w:w="459" w:type="pct"/>
            <w:vAlign w:val="center"/>
          </w:tcPr>
          <w:p>
            <w:pPr>
              <w:keepNext w:val="0"/>
              <w:keepLines w:val="0"/>
              <w:widowControl/>
              <w:suppressLineNumbers w:val="0"/>
              <w:jc w:val="center"/>
              <w:rPr>
                <w:rFonts w:hint="eastAsia" w:ascii="宋体" w:hAnsi="宋体" w:eastAsia="宋体" w:cs="宋体"/>
                <w:i w:val="0"/>
                <w:iCs w:val="0"/>
                <w:color w:val="000000" w:themeColor="text1"/>
                <w:kern w:val="0"/>
                <w:sz w:val="20"/>
                <w:szCs w:val="20"/>
                <w:u w:val="none"/>
                <w:vertAlign w:val="baseli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sz w:val="20"/>
                <w:szCs w:val="20"/>
                <w:shd w:val="clear" w:fill="FFFFFF"/>
                <w14:textFill>
                  <w14:solidFill>
                    <w14:schemeClr w14:val="tx1"/>
                  </w14:solidFill>
                </w14:textFill>
              </w:rPr>
              <w:t>盐焗鸡（自制）</w:t>
            </w:r>
          </w:p>
        </w:tc>
        <w:tc>
          <w:tcPr>
            <w:tcW w:w="983" w:type="pct"/>
            <w:vAlign w:val="center"/>
          </w:tcPr>
          <w:p>
            <w:pPr>
              <w:keepNext w:val="0"/>
              <w:keepLines w:val="0"/>
              <w:widowControl/>
              <w:suppressLineNumbers w:val="0"/>
              <w:jc w:val="center"/>
              <w:rPr>
                <w:rFonts w:hint="eastAsia" w:ascii="宋体" w:hAnsi="宋体" w:eastAsia="宋体" w:cs="宋体"/>
                <w:i w:val="0"/>
                <w:iCs w:val="0"/>
                <w:color w:val="000000" w:themeColor="text1"/>
                <w:kern w:val="0"/>
                <w:sz w:val="20"/>
                <w:szCs w:val="20"/>
                <w:u w:val="none"/>
                <w:vertAlign w:val="baseli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sz w:val="20"/>
                <w:szCs w:val="20"/>
                <w:shd w:val="clear" w:fill="FFFFFF"/>
                <w14:textFill>
                  <w14:solidFill>
                    <w14:schemeClr w14:val="tx1"/>
                  </w14:solidFill>
                </w14:textFill>
              </w:rPr>
              <w:t>惠州大亚湾安记烧味店</w:t>
            </w:r>
          </w:p>
        </w:tc>
        <w:tc>
          <w:tcPr>
            <w:tcW w:w="1176" w:type="pct"/>
            <w:vAlign w:val="center"/>
          </w:tcPr>
          <w:p>
            <w:pPr>
              <w:jc w:val="center"/>
              <w:rPr>
                <w:rFonts w:hint="eastAsia" w:ascii="宋体" w:hAnsi="宋体" w:eastAsia="宋体" w:cs="宋体"/>
                <w:i w:val="0"/>
                <w:iCs w:val="0"/>
                <w:color w:val="000000" w:themeColor="text1"/>
                <w:kern w:val="0"/>
                <w:sz w:val="20"/>
                <w:szCs w:val="20"/>
                <w:u w:val="none"/>
                <w:vertAlign w:val="baseli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sz w:val="20"/>
                <w:szCs w:val="20"/>
                <w:shd w:val="clear" w:fill="FFFFFF"/>
                <w14:textFill>
                  <w14:solidFill>
                    <w14:schemeClr w14:val="tx1"/>
                  </w14:solidFill>
                </w14:textFill>
              </w:rPr>
              <w:t>惠州大亚湾霞涌新市场</w:t>
            </w:r>
          </w:p>
        </w:tc>
        <w:tc>
          <w:tcPr>
            <w:tcW w:w="663" w:type="pct"/>
            <w:vAlign w:val="center"/>
          </w:tcPr>
          <w:p>
            <w:pPr>
              <w:keepNext w:val="0"/>
              <w:keepLines w:val="0"/>
              <w:widowControl/>
              <w:suppressLineNumbers w:val="0"/>
              <w:jc w:val="cente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柠檬黄</w:t>
            </w:r>
          </w:p>
        </w:tc>
        <w:tc>
          <w:tcPr>
            <w:tcW w:w="736" w:type="pct"/>
            <w:vAlign w:val="center"/>
          </w:tcPr>
          <w:p>
            <w:pPr>
              <w:keepNext w:val="0"/>
              <w:keepLines w:val="0"/>
              <w:widowControl/>
              <w:suppressLineNumbers w:val="0"/>
              <w:jc w:val="center"/>
              <w:rPr>
                <w:rFonts w:hint="eastAsia" w:ascii="宋体" w:hAnsi="宋体" w:eastAsia="宋体" w:cs="宋体"/>
                <w:i w:val="0"/>
                <w:iCs w:val="0"/>
                <w:color w:val="000000" w:themeColor="text1"/>
                <w:kern w:val="0"/>
                <w:sz w:val="20"/>
                <w:szCs w:val="20"/>
                <w:u w:val="none"/>
                <w:vertAlign w:val="baseline"/>
                <w:lang w:val="en-US" w:eastAsia="zh-CN" w:bidi="ar"/>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0.0265g/kg</w:t>
            </w:r>
          </w:p>
        </w:tc>
        <w:tc>
          <w:tcPr>
            <w:tcW w:w="684" w:type="pct"/>
            <w:vAlign w:val="center"/>
          </w:tcPr>
          <w:p>
            <w:pPr>
              <w:keepNext w:val="0"/>
              <w:keepLines w:val="0"/>
              <w:widowControl/>
              <w:suppressLineNumbers w:val="0"/>
              <w:jc w:val="center"/>
              <w:rPr>
                <w:rFonts w:hint="eastAsia" w:ascii="宋体" w:hAnsi="宋体" w:eastAsia="宋体" w:cs="宋体"/>
                <w:i w:val="0"/>
                <w:iCs w:val="0"/>
                <w:color w:val="000000" w:themeColor="text1"/>
                <w:kern w:val="0"/>
                <w:sz w:val="20"/>
                <w:szCs w:val="20"/>
                <w:u w:val="none"/>
                <w:vertAlign w:val="baseline"/>
                <w:lang w:val="en-US" w:eastAsia="zh-CN" w:bidi="ar"/>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不得使用</w:t>
            </w:r>
          </w:p>
        </w:tc>
      </w:tr>
    </w:tbl>
    <w:p>
      <w:pPr>
        <w:keepNext w:val="0"/>
        <w:keepLines w:val="0"/>
        <w:widowControl/>
        <w:suppressLineNumbers w:val="0"/>
        <w:jc w:val="left"/>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p>
      <w:pPr>
        <w:ind w:firstLine="1440" w:firstLineChars="600"/>
        <w:rPr>
          <w:rFonts w:hint="default" w:ascii="宋体" w:hAnsi="宋体" w:eastAsia="宋体" w:cs="宋体"/>
          <w:color w:val="000000" w:themeColor="text1"/>
          <w:kern w:val="0"/>
          <w:sz w:val="24"/>
          <w:szCs w:val="24"/>
          <w:lang w:val="en-US" w:eastAsia="zh-CN" w:bidi="ar"/>
          <w14:textFill>
            <w14:solidFill>
              <w14:schemeClr w14:val="tx1"/>
            </w14:solidFill>
          </w14:textFill>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3" w:firstLineChars="200"/>
        <w:jc w:val="left"/>
        <w:textAlignment w:val="auto"/>
        <w:rPr>
          <w:rFonts w:hint="eastAsia" w:asciiTheme="majorEastAsia" w:hAnsiTheme="majorEastAsia" w:eastAsiaTheme="majorEastAsia" w:cstheme="majorEastAsia"/>
          <w:b/>
          <w:bCs/>
          <w:color w:val="auto"/>
          <w:kern w:val="2"/>
          <w:sz w:val="32"/>
          <w:szCs w:val="32"/>
          <w:lang w:val="en-US" w:eastAsia="zh-CN" w:bidi="ar-SA"/>
        </w:rPr>
      </w:pPr>
      <w:r>
        <w:rPr>
          <w:rFonts w:hint="eastAsia" w:asciiTheme="majorEastAsia" w:hAnsiTheme="majorEastAsia" w:eastAsiaTheme="majorEastAsia" w:cstheme="majorEastAsia"/>
          <w:b/>
          <w:bCs/>
          <w:color w:val="auto"/>
          <w:kern w:val="2"/>
          <w:sz w:val="32"/>
          <w:szCs w:val="32"/>
          <w:lang w:val="en-US" w:eastAsia="zh-CN" w:bidi="ar-SA"/>
        </w:rPr>
        <w:t>一、铅</w:t>
      </w:r>
    </w:p>
    <w:p>
      <w:pPr>
        <w:numPr>
          <w:ilvl w:val="0"/>
          <w:numId w:val="0"/>
        </w:numPr>
        <w:spacing w:line="600" w:lineRule="exact"/>
        <w:ind w:firstLine="640" w:firstLineChars="200"/>
        <w:rPr>
          <w:rFonts w:hint="eastAsia" w:ascii="仿宋_GB2312" w:hAnsi="微软雅黑" w:eastAsia="仿宋_GB2312" w:cs="仿宋_GB2312"/>
          <w:i w:val="0"/>
          <w:caps w:val="0"/>
          <w:color w:val="000000"/>
          <w:spacing w:val="0"/>
          <w:kern w:val="0"/>
          <w:sz w:val="32"/>
          <w:szCs w:val="32"/>
          <w:lang w:val="en-US" w:eastAsia="zh-CN" w:bidi="ar"/>
        </w:rPr>
      </w:pPr>
      <w:r>
        <w:rPr>
          <w:rFonts w:hint="eastAsia" w:ascii="仿宋_GB2312" w:hAnsi="微软雅黑" w:eastAsia="仿宋_GB2312" w:cs="仿宋_GB2312"/>
          <w:i w:val="0"/>
          <w:caps w:val="0"/>
          <w:color w:val="000000"/>
          <w:spacing w:val="0"/>
          <w:kern w:val="0"/>
          <w:sz w:val="32"/>
          <w:szCs w:val="32"/>
          <w:lang w:val="en-US" w:eastAsia="zh-CN" w:bidi="ar"/>
        </w:rPr>
        <w:t xml:space="preserve">铅是常见重金属污染物，是一种严重危害人体健康的重金属元素，人体中理想的含铅量为零。人体多通过摄取食物、饮用自来水等方式把铅带入人体，进入人体的铅90%储存在骨骼，10%随血液循环流动而分布到全身各组织和器官。铅是蓄积性的重金属，只有当人体中铅含量达到一定程度时，才会引发身体的不适，在长期摄入铅后，会对机体的血液系统、神经系统产生损害，尤其对儿童生长和智力发育的影响较大。职业性铅中毒多为慢性中毒，可影响神经、造血、消化、泌尿、生殖和发育、心血管、内分泌、免疫、骨骼等各类器官。 </w:t>
      </w:r>
    </w:p>
    <w:p>
      <w:pPr>
        <w:spacing w:line="600" w:lineRule="exact"/>
        <w:ind w:firstLine="640" w:firstLineChars="200"/>
        <w:rPr>
          <w:rFonts w:hint="eastAsia" w:ascii="仿宋_GB2312" w:hAnsi="微软雅黑" w:eastAsia="仿宋_GB2312" w:cs="仿宋_GB2312"/>
          <w:i w:val="0"/>
          <w:caps w:val="0"/>
          <w:color w:val="000000"/>
          <w:spacing w:val="0"/>
          <w:kern w:val="0"/>
          <w:sz w:val="32"/>
          <w:szCs w:val="32"/>
          <w:lang w:val="en-US" w:eastAsia="zh-CN" w:bidi="ar"/>
        </w:rPr>
      </w:pPr>
      <w:r>
        <w:rPr>
          <w:rFonts w:hint="eastAsia" w:ascii="仿宋_GB2312" w:hAnsi="微软雅黑" w:eastAsia="仿宋_GB2312" w:cs="仿宋_GB2312"/>
          <w:i w:val="0"/>
          <w:caps w:val="0"/>
          <w:color w:val="000000"/>
          <w:spacing w:val="0"/>
          <w:kern w:val="0"/>
          <w:sz w:val="32"/>
          <w:szCs w:val="32"/>
          <w:lang w:val="en-US" w:eastAsia="zh-CN" w:bidi="ar"/>
        </w:rPr>
        <w:t xml:space="preserve">联合国粮食及农业组织和世界卫生组织食品添加剂联合专家委员会（JECFA）1999 年建议其暂定每周耐受摄入量（PTWI）为0.025mg/kg bw，但 2011 年被撤回，理由是基于流行病学研究，这一剂量会使儿童的智商降低至少 3 点，而成年人的收缩压升高约3mmHg （0.4kPa），因此该 PTWI 不再被认为具有健康保护作用。由于缺乏证据，JECFA 尚未建立新的被认为对健康有益的 PTWI。 </w:t>
      </w:r>
    </w:p>
    <w:p>
      <w:pPr>
        <w:spacing w:line="600" w:lineRule="exact"/>
        <w:ind w:firstLine="640" w:firstLineChars="200"/>
        <w:rPr>
          <w:rFonts w:hint="eastAsia" w:ascii="仿宋_GB2312" w:hAnsi="微软雅黑" w:eastAsia="仿宋_GB2312" w:cs="仿宋_GB2312"/>
          <w:i w:val="0"/>
          <w:caps w:val="0"/>
          <w:color w:val="000000"/>
          <w:spacing w:val="0"/>
          <w:kern w:val="0"/>
          <w:sz w:val="32"/>
          <w:szCs w:val="32"/>
          <w:lang w:val="en-US" w:eastAsia="zh-CN" w:bidi="ar"/>
        </w:rPr>
      </w:pPr>
      <w:r>
        <w:rPr>
          <w:rFonts w:hint="eastAsia" w:ascii="仿宋_GB2312" w:hAnsi="微软雅黑" w:eastAsia="仿宋_GB2312" w:cs="仿宋_GB2312"/>
          <w:i w:val="0"/>
          <w:caps w:val="0"/>
          <w:color w:val="000000"/>
          <w:spacing w:val="0"/>
          <w:kern w:val="0"/>
          <w:sz w:val="32"/>
          <w:szCs w:val="32"/>
          <w:lang w:val="en-US" w:eastAsia="zh-CN" w:bidi="ar"/>
        </w:rPr>
        <w:t>铅的污染来源分为直接污染和间接污染。直接污染是指食品在生产过程中直接接触铅或者由于生产工艺的原因直接加入含铅的原料，涉及</w:t>
      </w:r>
      <w:bookmarkStart w:id="0" w:name="_GoBack"/>
      <w:bookmarkEnd w:id="0"/>
      <w:r>
        <w:rPr>
          <w:rFonts w:hint="eastAsia" w:ascii="仿宋_GB2312" w:hAnsi="微软雅黑" w:eastAsia="仿宋_GB2312" w:cs="仿宋_GB2312"/>
          <w:i w:val="0"/>
          <w:caps w:val="0"/>
          <w:color w:val="000000"/>
          <w:spacing w:val="0"/>
          <w:kern w:val="0"/>
          <w:sz w:val="32"/>
          <w:szCs w:val="32"/>
          <w:lang w:val="en-US" w:eastAsia="zh-CN" w:bidi="ar"/>
        </w:rPr>
        <w:t xml:space="preserve">食品制作工艺及盛装食品的器皿：马口铁、陶瓷和搪瓷等材料制成的食品容器常含有较多的铅；含铅罐头食品、皮蛋及爆米花等食品的生产也易存在这种情况。间接污染是指食品原材料在生长、生产过程中通过土壤、空气、水等途径导致铅污染，例如含铅的废水废渣排放污染水体和土壤后，进而污染食物；含铅农药的使用也可造成农作物的铅污染。 </w:t>
      </w:r>
    </w:p>
    <w:p>
      <w:pPr>
        <w:spacing w:line="600" w:lineRule="exact"/>
        <w:ind w:firstLine="640" w:firstLineChars="200"/>
        <w:rPr>
          <w:rFonts w:hint="default" w:ascii="仿宋_GB2312" w:hAnsi="微软雅黑" w:eastAsia="仿宋_GB2312" w:cs="仿宋_GB2312"/>
          <w:i w:val="0"/>
          <w:caps w:val="0"/>
          <w:color w:val="000000"/>
          <w:spacing w:val="0"/>
          <w:kern w:val="0"/>
          <w:sz w:val="32"/>
          <w:szCs w:val="32"/>
          <w:lang w:val="en-US" w:eastAsia="zh-CN" w:bidi="ar"/>
        </w:rPr>
      </w:pPr>
      <w:r>
        <w:rPr>
          <w:rFonts w:hint="eastAsia" w:ascii="仿宋_GB2312" w:hAnsi="微软雅黑" w:eastAsia="仿宋_GB2312" w:cs="仿宋_GB2312"/>
          <w:i w:val="0"/>
          <w:caps w:val="0"/>
          <w:color w:val="000000"/>
          <w:spacing w:val="0"/>
          <w:kern w:val="0"/>
          <w:sz w:val="32"/>
          <w:szCs w:val="32"/>
          <w:lang w:val="en-US" w:eastAsia="zh-CN" w:bidi="ar"/>
        </w:rPr>
        <w:t>根据《食品安全国家标准 食品中污染物限量》（GB 2762-2017）、《食品安全国家标准 保健食品》（GB 16740-2014）、《食品安全国家标准 食品添加剂 明胶》（GB6783-2013）、《食品安全国家标准 复配食品添加剂通则》（GB 26687-2011）及其第 1号修改单中的规定。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3" w:firstLineChars="200"/>
        <w:jc w:val="left"/>
        <w:textAlignment w:val="auto"/>
        <w:rPr>
          <w:rFonts w:hint="eastAsia" w:asciiTheme="majorEastAsia" w:hAnsiTheme="majorEastAsia" w:eastAsiaTheme="majorEastAsia" w:cstheme="majorEastAsia"/>
          <w:b/>
          <w:bCs/>
          <w:color w:val="auto"/>
          <w:kern w:val="2"/>
          <w:sz w:val="32"/>
          <w:szCs w:val="32"/>
          <w:lang w:val="en-US" w:eastAsia="zh-CN" w:bidi="ar-SA"/>
        </w:rPr>
      </w:pPr>
      <w:r>
        <w:rPr>
          <w:rFonts w:hint="eastAsia" w:asciiTheme="majorEastAsia" w:hAnsiTheme="majorEastAsia" w:eastAsiaTheme="majorEastAsia" w:cstheme="majorEastAsia"/>
          <w:b/>
          <w:bCs/>
          <w:color w:val="auto"/>
          <w:kern w:val="2"/>
          <w:sz w:val="32"/>
          <w:szCs w:val="32"/>
          <w:lang w:val="en-US" w:eastAsia="zh-CN" w:bidi="ar-SA"/>
        </w:rPr>
        <w:t>二、铜绿假单胞菌</w:t>
      </w:r>
    </w:p>
    <w:p>
      <w:pPr>
        <w:numPr>
          <w:ilvl w:val="0"/>
          <w:numId w:val="0"/>
        </w:numPr>
        <w:spacing w:line="600" w:lineRule="exact"/>
        <w:ind w:firstLine="640" w:firstLineChars="200"/>
        <w:rPr>
          <w:rFonts w:hint="eastAsia" w:ascii="仿宋_GB2312" w:hAnsi="微软雅黑" w:eastAsia="仿宋_GB2312" w:cs="仿宋_GB2312"/>
          <w:i w:val="0"/>
          <w:caps w:val="0"/>
          <w:color w:val="000000"/>
          <w:spacing w:val="0"/>
          <w:kern w:val="0"/>
          <w:sz w:val="32"/>
          <w:szCs w:val="32"/>
          <w:lang w:val="en-US" w:eastAsia="zh-CN" w:bidi="ar"/>
        </w:rPr>
      </w:pPr>
      <w:r>
        <w:rPr>
          <w:rFonts w:hint="eastAsia" w:ascii="仿宋_GB2312" w:hAnsi="微软雅黑" w:eastAsia="仿宋_GB2312" w:cs="仿宋_GB2312"/>
          <w:i w:val="0"/>
          <w:caps w:val="0"/>
          <w:color w:val="000000"/>
          <w:spacing w:val="0"/>
          <w:kern w:val="0"/>
          <w:sz w:val="32"/>
          <w:szCs w:val="32"/>
          <w:lang w:val="en-US" w:eastAsia="zh-CN" w:bidi="ar"/>
        </w:rPr>
        <w:t xml:space="preserve">铜绿假单胞菌（Pseudomonas aeruginosa）是革兰氏阴性无芽孢杆菌，需氧，多具有分解蛋白质、碳水化合物和脂肪的能力，是重要的食品腐败性细菌。广泛分布于水、空气、正常人的皮肤、呼吸道和肠道等，易在潮湿的环境存活，对消毒剂、紫外线等具有较强的抵抗力。 </w:t>
      </w:r>
    </w:p>
    <w:p>
      <w:pPr>
        <w:spacing w:line="600" w:lineRule="exact"/>
        <w:ind w:firstLine="640" w:firstLineChars="200"/>
        <w:rPr>
          <w:rFonts w:hint="eastAsia" w:ascii="仿宋_GB2312" w:hAnsi="微软雅黑" w:eastAsia="仿宋_GB2312" w:cs="仿宋_GB2312"/>
          <w:i w:val="0"/>
          <w:caps w:val="0"/>
          <w:color w:val="000000"/>
          <w:spacing w:val="0"/>
          <w:kern w:val="0"/>
          <w:sz w:val="32"/>
          <w:szCs w:val="32"/>
          <w:lang w:val="en-US" w:eastAsia="zh-CN" w:bidi="ar"/>
        </w:rPr>
      </w:pPr>
      <w:r>
        <w:rPr>
          <w:rFonts w:hint="eastAsia" w:ascii="仿宋_GB2312" w:hAnsi="微软雅黑" w:eastAsia="仿宋_GB2312" w:cs="仿宋_GB2312"/>
          <w:i w:val="0"/>
          <w:caps w:val="0"/>
          <w:color w:val="000000"/>
          <w:spacing w:val="0"/>
          <w:kern w:val="0"/>
          <w:sz w:val="32"/>
          <w:szCs w:val="32"/>
          <w:lang w:val="en-US" w:eastAsia="zh-CN" w:bidi="ar"/>
        </w:rPr>
        <w:t xml:space="preserve">铜绿假单胞菌是一种条件致病菌，对于免疫力较弱的人群健康风险较大。天然矿泉水中铜绿假单胞菌超标可能是源水防护不当，水体受到污染；生产过程中卫生控制不严格，如从业人员未经消毒的手直接与矿泉水或容器内壁接触；或者是包装材料清洗消毒有缺陷所致。 </w:t>
      </w:r>
    </w:p>
    <w:p>
      <w:pPr>
        <w:spacing w:line="600" w:lineRule="exact"/>
        <w:ind w:firstLine="640" w:firstLineChars="200"/>
        <w:rPr>
          <w:rFonts w:hint="eastAsia" w:ascii="仿宋_GB2312" w:hAnsi="微软雅黑" w:eastAsia="仿宋_GB2312" w:cs="仿宋_GB2312"/>
          <w:i w:val="0"/>
          <w:caps w:val="0"/>
          <w:color w:val="000000"/>
          <w:spacing w:val="0"/>
          <w:kern w:val="0"/>
          <w:sz w:val="32"/>
          <w:szCs w:val="32"/>
          <w:lang w:val="en-US" w:eastAsia="zh-CN" w:bidi="ar"/>
        </w:rPr>
      </w:pPr>
      <w:r>
        <w:rPr>
          <w:rFonts w:hint="eastAsia" w:ascii="仿宋_GB2312" w:hAnsi="微软雅黑" w:eastAsia="仿宋_GB2312" w:cs="仿宋_GB2312"/>
          <w:i w:val="0"/>
          <w:caps w:val="0"/>
          <w:color w:val="000000"/>
          <w:spacing w:val="0"/>
          <w:kern w:val="0"/>
          <w:sz w:val="32"/>
          <w:szCs w:val="32"/>
          <w:lang w:val="en-US" w:eastAsia="zh-CN" w:bidi="ar"/>
        </w:rPr>
        <w:t>我国《食品安全国家标准 包装饮用水》（GB 19298-2014）和《食品安全国家标准 饮用天然矿泉水》（GB 8537-2018）对铜绿假单胞菌限量进行了规定。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3" w:firstLineChars="200"/>
        <w:jc w:val="left"/>
        <w:textAlignment w:val="auto"/>
        <w:rPr>
          <w:rFonts w:hint="eastAsia" w:asciiTheme="majorEastAsia" w:hAnsiTheme="majorEastAsia" w:eastAsiaTheme="majorEastAsia" w:cstheme="majorEastAsia"/>
          <w:b/>
          <w:bCs/>
          <w:color w:val="auto"/>
          <w:kern w:val="2"/>
          <w:sz w:val="32"/>
          <w:szCs w:val="32"/>
          <w:lang w:val="en-US" w:eastAsia="zh-CN" w:bidi="ar-SA"/>
        </w:rPr>
      </w:pPr>
      <w:r>
        <w:rPr>
          <w:rFonts w:hint="eastAsia" w:asciiTheme="majorEastAsia" w:hAnsiTheme="majorEastAsia" w:eastAsiaTheme="majorEastAsia" w:cstheme="majorEastAsia"/>
          <w:b/>
          <w:bCs/>
          <w:color w:val="auto"/>
          <w:kern w:val="2"/>
          <w:sz w:val="32"/>
          <w:szCs w:val="32"/>
          <w:lang w:val="en-US" w:eastAsia="zh-CN" w:bidi="ar-SA"/>
        </w:rPr>
        <w:t>三、脱氢乙酸</w:t>
      </w:r>
    </w:p>
    <w:p>
      <w:pPr>
        <w:spacing w:line="600" w:lineRule="exact"/>
        <w:ind w:firstLine="640" w:firstLineChars="200"/>
        <w:rPr>
          <w:rFonts w:hint="eastAsia" w:ascii="仿宋_GB2312" w:hAnsi="微软雅黑" w:eastAsia="仿宋_GB2312" w:cs="仿宋_GB2312"/>
          <w:i w:val="0"/>
          <w:caps w:val="0"/>
          <w:color w:val="000000"/>
          <w:spacing w:val="0"/>
          <w:kern w:val="0"/>
          <w:sz w:val="32"/>
          <w:szCs w:val="32"/>
          <w:lang w:val="en-US" w:eastAsia="zh-CN" w:bidi="ar"/>
        </w:rPr>
      </w:pPr>
      <w:r>
        <w:rPr>
          <w:rFonts w:hint="eastAsia" w:ascii="仿宋_GB2312" w:hAnsi="微软雅黑" w:eastAsia="仿宋_GB2312" w:cs="仿宋_GB2312"/>
          <w:i w:val="0"/>
          <w:caps w:val="0"/>
          <w:color w:val="000000"/>
          <w:spacing w:val="0"/>
          <w:kern w:val="0"/>
          <w:sz w:val="32"/>
          <w:szCs w:val="32"/>
          <w:lang w:val="en-US" w:eastAsia="zh-CN" w:bidi="ar"/>
        </w:rPr>
        <w:t xml:space="preserve">脱氢乙酸（dehydroacetic acid）及其钠盐作为一种广谱食品防腐剂，对霉菌和酵母菌的抑制能力强，为苯甲酸钠的 2~10 倍，在高剂量使用时能抑制细菌。 </w:t>
      </w:r>
    </w:p>
    <w:p>
      <w:pPr>
        <w:spacing w:line="600" w:lineRule="exact"/>
        <w:ind w:firstLine="640" w:firstLineChars="200"/>
        <w:rPr>
          <w:rFonts w:hint="eastAsia" w:ascii="仿宋_GB2312" w:hAnsi="微软雅黑" w:eastAsia="仿宋_GB2312" w:cs="仿宋_GB2312"/>
          <w:i w:val="0"/>
          <w:caps w:val="0"/>
          <w:color w:val="000000"/>
          <w:spacing w:val="0"/>
          <w:kern w:val="0"/>
          <w:sz w:val="32"/>
          <w:szCs w:val="32"/>
          <w:lang w:val="en-US" w:eastAsia="zh-CN" w:bidi="ar"/>
        </w:rPr>
      </w:pPr>
      <w:r>
        <w:rPr>
          <w:rFonts w:hint="eastAsia" w:ascii="仿宋_GB2312" w:hAnsi="微软雅黑" w:eastAsia="仿宋_GB2312" w:cs="仿宋_GB2312"/>
          <w:i w:val="0"/>
          <w:caps w:val="0"/>
          <w:color w:val="000000"/>
          <w:spacing w:val="0"/>
          <w:kern w:val="0"/>
          <w:sz w:val="32"/>
          <w:szCs w:val="32"/>
          <w:lang w:val="en-US" w:eastAsia="zh-CN" w:bidi="ar"/>
        </w:rPr>
        <w:t xml:space="preserve">脱氢乙酸毒性较低，按标准规定的范围和使用量使用是安全的。脱氢乙酸及其钠盐能被人体完全吸收，并能抑制人体内多种氧化酶，长期过量摄入脱氢乙酸及其钠盐会危害人体健康。 </w:t>
      </w:r>
    </w:p>
    <w:p>
      <w:pPr>
        <w:spacing w:line="600" w:lineRule="exact"/>
        <w:ind w:firstLine="640" w:firstLineChars="200"/>
        <w:rPr>
          <w:rFonts w:hint="eastAsia" w:ascii="仿宋_GB2312" w:hAnsi="微软雅黑" w:eastAsia="仿宋_GB2312" w:cs="仿宋_GB2312"/>
          <w:i w:val="0"/>
          <w:caps w:val="0"/>
          <w:color w:val="000000"/>
          <w:spacing w:val="0"/>
          <w:kern w:val="0"/>
          <w:sz w:val="32"/>
          <w:szCs w:val="32"/>
          <w:lang w:val="en-US" w:eastAsia="zh-CN" w:bidi="ar"/>
        </w:rPr>
      </w:pPr>
      <w:r>
        <w:rPr>
          <w:rFonts w:hint="eastAsia" w:ascii="仿宋_GB2312" w:hAnsi="微软雅黑" w:eastAsia="仿宋_GB2312" w:cs="仿宋_GB2312"/>
          <w:i w:val="0"/>
          <w:caps w:val="0"/>
          <w:color w:val="000000"/>
          <w:spacing w:val="0"/>
          <w:kern w:val="0"/>
          <w:sz w:val="32"/>
          <w:szCs w:val="32"/>
          <w:lang w:val="en-US" w:eastAsia="zh-CN" w:bidi="ar"/>
        </w:rPr>
        <w:t>脱氢乙酸超标的原因可能是个别生产经营企业为防止食品腐败变质，超量使用了该添加剂，或者其使用的复配添加剂中该添加剂含量较高；也可能是在添加过程中未计量或计量不准。使用应遵循《食品安全国家标准 食品添加剂使用标准》（GB 2760-2014）的规定。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3" w:firstLineChars="200"/>
        <w:jc w:val="left"/>
        <w:textAlignment w:val="auto"/>
        <w:rPr>
          <w:rFonts w:hint="eastAsia" w:asciiTheme="majorEastAsia" w:hAnsiTheme="majorEastAsia" w:eastAsiaTheme="majorEastAsia" w:cstheme="majorEastAsia"/>
          <w:b/>
          <w:bCs/>
          <w:color w:val="auto"/>
          <w:kern w:val="2"/>
          <w:sz w:val="32"/>
          <w:szCs w:val="32"/>
          <w:lang w:val="en-US" w:eastAsia="zh-CN" w:bidi="ar-SA"/>
        </w:rPr>
      </w:pPr>
      <w:r>
        <w:rPr>
          <w:rFonts w:hint="eastAsia" w:asciiTheme="majorEastAsia" w:hAnsiTheme="majorEastAsia" w:eastAsiaTheme="majorEastAsia" w:cstheme="majorEastAsia"/>
          <w:b/>
          <w:bCs/>
          <w:color w:val="auto"/>
          <w:kern w:val="2"/>
          <w:sz w:val="32"/>
          <w:szCs w:val="32"/>
          <w:lang w:val="en-US" w:eastAsia="zh-CN" w:bidi="ar-SA"/>
        </w:rPr>
        <w:t>四、柠檬黄</w:t>
      </w:r>
    </w:p>
    <w:p>
      <w:pPr>
        <w:spacing w:line="600" w:lineRule="exact"/>
        <w:ind w:firstLine="640" w:firstLineChars="200"/>
        <w:rPr>
          <w:rFonts w:hint="eastAsia" w:ascii="仿宋_GB2312" w:hAnsi="微软雅黑" w:eastAsia="仿宋_GB2312" w:cs="仿宋_GB2312"/>
          <w:i w:val="0"/>
          <w:caps w:val="0"/>
          <w:color w:val="000000"/>
          <w:spacing w:val="0"/>
          <w:kern w:val="0"/>
          <w:sz w:val="32"/>
          <w:szCs w:val="32"/>
          <w:lang w:val="en-US" w:eastAsia="zh-CN" w:bidi="ar"/>
        </w:rPr>
      </w:pPr>
      <w:r>
        <w:rPr>
          <w:rFonts w:hint="eastAsia" w:ascii="仿宋_GB2312" w:hAnsi="微软雅黑" w:eastAsia="仿宋_GB2312" w:cs="仿宋_GB2312"/>
          <w:i w:val="0"/>
          <w:caps w:val="0"/>
          <w:color w:val="000000"/>
          <w:spacing w:val="0"/>
          <w:kern w:val="0"/>
          <w:sz w:val="32"/>
          <w:szCs w:val="32"/>
          <w:lang w:val="en-US" w:eastAsia="zh-CN" w:bidi="ar"/>
        </w:rPr>
        <w:t xml:space="preserve">柠檬黄（tartrazine），橙黄或亮橙色的粉末或颗粒，是一种合成着色剂，常用于饮料类配制酒、糖果、风味发酵乳、腌渍蔬菜、果冻、膨化食品等制品。 </w:t>
      </w:r>
    </w:p>
    <w:p>
      <w:pPr>
        <w:spacing w:line="600" w:lineRule="exact"/>
        <w:ind w:firstLine="640" w:firstLineChars="200"/>
        <w:rPr>
          <w:rFonts w:hint="eastAsia" w:ascii="仿宋_GB2312" w:hAnsi="微软雅黑" w:eastAsia="仿宋_GB2312" w:cs="仿宋_GB2312"/>
          <w:i w:val="0"/>
          <w:caps w:val="0"/>
          <w:color w:val="000000"/>
          <w:spacing w:val="0"/>
          <w:kern w:val="0"/>
          <w:sz w:val="32"/>
          <w:szCs w:val="32"/>
          <w:lang w:val="en-US" w:eastAsia="zh-CN" w:bidi="ar"/>
        </w:rPr>
      </w:pPr>
      <w:r>
        <w:rPr>
          <w:rFonts w:hint="eastAsia" w:ascii="仿宋_GB2312" w:hAnsi="微软雅黑" w:eastAsia="仿宋_GB2312" w:cs="仿宋_GB2312"/>
          <w:i w:val="0"/>
          <w:caps w:val="0"/>
          <w:color w:val="000000"/>
          <w:spacing w:val="0"/>
          <w:kern w:val="0"/>
          <w:sz w:val="32"/>
          <w:szCs w:val="32"/>
          <w:lang w:val="en-US" w:eastAsia="zh-CN" w:bidi="ar"/>
        </w:rPr>
        <w:t xml:space="preserve">柠檬黄基本无毒，不在体内贮积，绝大部分以原形排出体外；但是如果，也存在健康风险。联合国粮农组织（FAO）和世界卫生组织食品添加剂联合专家委员会（JECFA）建议其日容许摄入量（ADI）为 0~10mg/kg bw。 </w:t>
      </w:r>
    </w:p>
    <w:p>
      <w:pPr>
        <w:spacing w:line="600" w:lineRule="exact"/>
        <w:ind w:firstLine="640" w:firstLineChars="200"/>
        <w:rPr>
          <w:rFonts w:hint="eastAsia" w:ascii="仿宋_GB2312" w:hAnsi="微软雅黑" w:eastAsia="仿宋_GB2312" w:cs="仿宋_GB2312"/>
          <w:i w:val="0"/>
          <w:caps w:val="0"/>
          <w:color w:val="000000"/>
          <w:spacing w:val="0"/>
          <w:kern w:val="0"/>
          <w:sz w:val="32"/>
          <w:szCs w:val="32"/>
          <w:lang w:val="en-US" w:eastAsia="zh-CN" w:bidi="ar"/>
        </w:rPr>
      </w:pPr>
      <w:r>
        <w:rPr>
          <w:rFonts w:hint="eastAsia" w:ascii="仿宋_GB2312" w:hAnsi="微软雅黑" w:eastAsia="仿宋_GB2312" w:cs="仿宋_GB2312"/>
          <w:i w:val="0"/>
          <w:caps w:val="0"/>
          <w:color w:val="000000"/>
          <w:spacing w:val="0"/>
          <w:kern w:val="0"/>
          <w:sz w:val="32"/>
          <w:szCs w:val="32"/>
          <w:lang w:val="en-US" w:eastAsia="zh-CN" w:bidi="ar"/>
        </w:rPr>
        <w:t xml:space="preserve">造成食品中柠檬黄不合格的主要原因有：生产经营企业超限量、超范围使用，或者未准确计量。 </w:t>
      </w:r>
    </w:p>
    <w:p>
      <w:pPr>
        <w:spacing w:line="600" w:lineRule="exact"/>
        <w:ind w:firstLine="640" w:firstLineChars="200"/>
        <w:rPr>
          <w:rFonts w:hint="eastAsia" w:ascii="仿宋_GB2312" w:hAnsi="微软雅黑" w:eastAsia="仿宋_GB2312" w:cs="仿宋_GB2312"/>
          <w:i w:val="0"/>
          <w:caps w:val="0"/>
          <w:color w:val="000000"/>
          <w:spacing w:val="0"/>
          <w:kern w:val="0"/>
          <w:sz w:val="32"/>
          <w:szCs w:val="32"/>
          <w:lang w:val="en-US" w:eastAsia="zh-CN" w:bidi="ar"/>
        </w:rPr>
      </w:pPr>
      <w:r>
        <w:rPr>
          <w:rFonts w:hint="eastAsia" w:ascii="仿宋_GB2312" w:hAnsi="微软雅黑" w:eastAsia="仿宋_GB2312" w:cs="仿宋_GB2312"/>
          <w:i w:val="0"/>
          <w:caps w:val="0"/>
          <w:color w:val="000000"/>
          <w:spacing w:val="0"/>
          <w:kern w:val="0"/>
          <w:sz w:val="32"/>
          <w:szCs w:val="32"/>
          <w:lang w:val="en-US" w:eastAsia="zh-CN" w:bidi="ar"/>
        </w:rPr>
        <w:t xml:space="preserve">使用应遵循《食品安全国家标准 食品添加剂使用标准》（GB 2760-2014）及《国家卫生计生委发布关于食品工业用酶制剂新品种果糖基转移酶（又名 β-果糖基转移酶）和食品添加剂单，双甘油脂肪酸酯等 7 种扩大使用范围的公告 2018 年 第 2 号》、《国家卫生健康委员会关于（±）-1-环己基乙醇等食品添加剂新品种的公告 2018 年 第 8 号》的规定。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EF280B"/>
    <w:rsid w:val="45586986"/>
    <w:rsid w:val="79EF280B"/>
    <w:rsid w:val="7F5B4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rFonts w:hAnsi="Calibri"/>
      <w:kern w:val="0"/>
      <w:szCs w:val="20"/>
    </w:rPr>
  </w:style>
  <w:style w:type="paragraph" w:styleId="3">
    <w:name w:val="Plain Text"/>
    <w:basedOn w:val="1"/>
    <w:qFormat/>
    <w:uiPriority w:val="0"/>
    <w:rPr>
      <w:rFonts w:ascii="宋体" w:hAnsi="Courier New" w:cs="宋体"/>
      <w:sz w:val="21"/>
      <w:szCs w:val="21"/>
    </w:rPr>
  </w:style>
  <w:style w:type="paragraph" w:styleId="4">
    <w:name w:val="Body Text First Indent 2"/>
    <w:basedOn w:val="2"/>
    <w:qFormat/>
    <w:uiPriority w:val="0"/>
    <w:pPr>
      <w:ind w:firstLine="420" w:firstLine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6</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2025-08-13T03:14:00Z</dcterms:created>
  <dc:creator>邓小羊</dc:creator>
  <cp:lastModifiedBy>区市场监督管理局收文员</cp:lastModifiedBy>
  <dcterms:modified xsi:type="dcterms:W3CDTF">2025-08-15T06:21:20Z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C160BFA4B66A41AE844F8B6841EF059A_11</vt:lpwstr>
  </property>
  <property fmtid="{D5CDD505-2E9C-101B-9397-08002B2CF9AE}" pid="4" name="KSOTemplateDocerSaveRecord">
    <vt:lpwstr>eyJoZGlkIjoiMzc2OTQ1MTMzNWFiNzMxYWVkYTZmNGJkYTk2YzhhZmQiLCJ1c2VySWQiOiIxMTQzNTA4NzQ2In0=</vt:lpwstr>
  </property>
</Properties>
</file>