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FC771">
      <w:pPr>
        <w:pStyle w:val="3"/>
        <w:shd w:val="clear" w:color="auto" w:fill="FFFFFF"/>
        <w:spacing w:before="0" w:beforeAutospacing="0" w:after="0" w:afterAutospacing="0" w:line="560" w:lineRule="exact"/>
        <w:jc w:val="both"/>
        <w:rPr>
          <w:rFonts w:hint="default" w:ascii="黑体" w:hAnsi="黑体" w:eastAsia="黑体" w:cs="黑体"/>
          <w:kern w:val="0"/>
          <w:sz w:val="32"/>
          <w:szCs w:val="32"/>
          <w:lang w:val="en-US" w:eastAsia="zh-CN" w:bidi="ar-SA"/>
        </w:rPr>
      </w:pPr>
      <w:bookmarkStart w:id="0" w:name="_GoBack"/>
      <w:bookmarkEnd w:id="0"/>
      <w:r>
        <w:rPr>
          <w:rFonts w:hint="default" w:ascii="黑体" w:hAnsi="黑体" w:eastAsia="黑体" w:cs="黑体"/>
          <w:kern w:val="0"/>
          <w:sz w:val="32"/>
          <w:szCs w:val="32"/>
          <w:lang w:val="en-US" w:eastAsia="zh-CN" w:bidi="ar-SA"/>
        </w:rPr>
        <w:t>噻虫胺</w:t>
      </w:r>
    </w:p>
    <w:p w14:paraId="095CC605">
      <w:pPr>
        <w:pStyle w:val="3"/>
        <w:shd w:val="clear" w:color="auto" w:fill="FFFFFF"/>
        <w:spacing w:before="0" w:beforeAutospacing="0" w:after="0" w:afterAutospacing="0" w:line="560" w:lineRule="exact"/>
        <w:jc w:val="both"/>
        <w:rPr>
          <w:rFonts w:hint="eastAsia" w:ascii="仿宋_GB2312" w:hAnsi="Arial" w:eastAsia="仿宋_GB2312" w:cs="Arial"/>
          <w:kern w:val="0"/>
          <w:sz w:val="32"/>
          <w:szCs w:val="32"/>
          <w:lang w:val="en-US" w:eastAsia="zh-CN" w:bidi="ar-SA"/>
        </w:rPr>
      </w:pPr>
      <w:r>
        <w:rPr>
          <w:rFonts w:hint="eastAsia" w:ascii="仿宋_GB2312" w:hAnsi="Arial" w:eastAsia="仿宋_GB2312" w:cs="Arial"/>
          <w:kern w:val="0"/>
          <w:sz w:val="32"/>
          <w:szCs w:val="32"/>
          <w:lang w:val="en-US" w:eastAsia="zh-CN" w:bidi="ar-SA"/>
        </w:rPr>
        <w:t>指标解释：噻虫胺属新烟碱类杀虫剂，具有内吸性、触杀和胃毒作用，对蚜虫、斑潜蝇等有较好防效。少量的残留不会引起人体急性中毒，但长期食用噻虫胺超标的食品，对人体健康可能有一定影响。</w:t>
      </w:r>
    </w:p>
    <w:p w14:paraId="73D15668">
      <w:pPr>
        <w:pStyle w:val="3"/>
        <w:shd w:val="clear" w:color="auto" w:fill="FFFFFF"/>
        <w:spacing w:before="0" w:beforeAutospacing="0" w:after="0" w:afterAutospacing="0" w:line="560" w:lineRule="exact"/>
        <w:jc w:val="both"/>
        <w:rPr>
          <w:rFonts w:hint="eastAsia" w:ascii="仿宋_GB2312" w:hAnsi="Arial" w:eastAsia="仿宋_GB2312" w:cs="Arial"/>
          <w:kern w:val="0"/>
          <w:sz w:val="32"/>
          <w:szCs w:val="32"/>
          <w:lang w:val="en-US" w:eastAsia="zh-CN" w:bidi="ar-SA"/>
        </w:rPr>
      </w:pPr>
      <w:r>
        <w:rPr>
          <w:rFonts w:hint="eastAsia" w:ascii="仿宋_GB2312" w:hAnsi="Arial" w:eastAsia="仿宋_GB2312" w:cs="Arial"/>
          <w:kern w:val="0"/>
          <w:sz w:val="32"/>
          <w:szCs w:val="32"/>
          <w:lang w:val="en-US" w:eastAsia="zh-CN" w:bidi="ar-SA"/>
        </w:rPr>
        <w:t>标准规定：判定依据：GB2763-2021《食品安全国家标准食品中农药最大残留限量》；标准指标：生姜中</w:t>
      </w:r>
      <w:r>
        <w:rPr>
          <w:rFonts w:hint="default" w:ascii="仿宋_GB2312" w:hAnsi="Arial" w:eastAsia="仿宋_GB2312" w:cs="Arial"/>
          <w:kern w:val="0"/>
          <w:sz w:val="32"/>
          <w:szCs w:val="32"/>
          <w:lang w:val="en-US" w:eastAsia="zh-CN" w:bidi="ar-SA"/>
        </w:rPr>
        <w:t>噻虫胺</w:t>
      </w:r>
      <w:r>
        <w:rPr>
          <w:rFonts w:hint="eastAsia" w:ascii="仿宋_GB2312" w:hAnsi="Arial" w:eastAsia="仿宋_GB2312" w:cs="Arial"/>
          <w:kern w:val="0"/>
          <w:sz w:val="32"/>
          <w:szCs w:val="32"/>
          <w:lang w:val="en-US" w:eastAsia="zh-CN" w:bidi="ar-SA"/>
        </w:rPr>
        <w:t>的最大限量值为≤0.2mg/kg，辣椒中</w:t>
      </w:r>
      <w:r>
        <w:rPr>
          <w:rFonts w:hint="default" w:ascii="仿宋_GB2312" w:hAnsi="Arial" w:eastAsia="仿宋_GB2312" w:cs="Arial"/>
          <w:kern w:val="0"/>
          <w:sz w:val="32"/>
          <w:szCs w:val="32"/>
          <w:lang w:val="en-US" w:eastAsia="zh-CN" w:bidi="ar-SA"/>
        </w:rPr>
        <w:t>噻虫胺</w:t>
      </w:r>
      <w:r>
        <w:rPr>
          <w:rFonts w:hint="eastAsia" w:ascii="仿宋_GB2312" w:hAnsi="Arial" w:eastAsia="仿宋_GB2312" w:cs="Arial"/>
          <w:kern w:val="0"/>
          <w:sz w:val="32"/>
          <w:szCs w:val="32"/>
          <w:lang w:val="en-US" w:eastAsia="zh-CN" w:bidi="ar-SA"/>
        </w:rPr>
        <w:t>的最大限量值为≤0.05mg/kg。</w:t>
      </w:r>
    </w:p>
    <w:p w14:paraId="5027C396">
      <w:pPr>
        <w:pStyle w:val="3"/>
        <w:shd w:val="clear" w:color="auto" w:fill="FFFFFF"/>
        <w:spacing w:before="0" w:beforeAutospacing="0" w:after="0" w:afterAutospacing="0" w:line="560" w:lineRule="exact"/>
        <w:jc w:val="both"/>
        <w:rPr>
          <w:rFonts w:hint="eastAsia" w:ascii="仿宋_GB2312" w:hAnsi="Arial" w:eastAsia="仿宋_GB2312" w:cs="Arial"/>
          <w:kern w:val="0"/>
          <w:sz w:val="32"/>
          <w:szCs w:val="32"/>
          <w:lang w:val="en-US" w:eastAsia="zh-CN" w:bidi="ar-SA"/>
        </w:rPr>
      </w:pPr>
      <w:r>
        <w:rPr>
          <w:rFonts w:hint="default" w:ascii="仿宋_GB2312" w:hAnsi="Arial" w:eastAsia="仿宋_GB2312" w:cs="Arial"/>
          <w:kern w:val="0"/>
          <w:sz w:val="32"/>
          <w:szCs w:val="32"/>
          <w:lang w:val="en-US" w:eastAsia="zh-CN" w:bidi="ar-SA"/>
        </w:rPr>
        <w:t>可能引起不合格原因</w:t>
      </w:r>
      <w:r>
        <w:rPr>
          <w:rFonts w:hint="eastAsia" w:ascii="仿宋_GB2312" w:hAnsi="Arial" w:eastAsia="仿宋_GB2312" w:cs="Arial"/>
          <w:kern w:val="0"/>
          <w:sz w:val="32"/>
          <w:szCs w:val="32"/>
          <w:lang w:val="en-US" w:eastAsia="zh-CN" w:bidi="ar-SA"/>
        </w:rPr>
        <w:t>：噻虫胺残留量超标的原因，可能是为快速控制虫害，加大用药量或未遵守采摘间隔期规定，致使上市销售的产品中残留量超标。</w:t>
      </w:r>
    </w:p>
    <w:p w14:paraId="050D3CA1">
      <w:pPr>
        <w:pStyle w:val="3"/>
        <w:shd w:val="clear" w:color="auto" w:fill="FFFFFF"/>
        <w:spacing w:before="0" w:beforeAutospacing="0" w:after="0" w:afterAutospacing="0" w:line="560" w:lineRule="exact"/>
        <w:jc w:val="both"/>
        <w:rPr>
          <w:rFonts w:hint="eastAsia" w:ascii="仿宋_GB2312" w:hAnsi="Arial" w:eastAsia="仿宋_GB2312" w:cs="Arial"/>
          <w:kern w:val="0"/>
          <w:sz w:val="32"/>
          <w:szCs w:val="32"/>
          <w:lang w:val="en-US" w:eastAsia="zh-CN" w:bidi="ar-SA"/>
        </w:rPr>
      </w:pPr>
    </w:p>
    <w:p w14:paraId="46012549">
      <w:pPr>
        <w:pStyle w:val="3"/>
        <w:shd w:val="clear" w:color="auto" w:fill="FFFFFF"/>
        <w:spacing w:before="0" w:beforeAutospacing="0" w:after="0" w:afterAutospacing="0" w:line="560" w:lineRule="exact"/>
        <w:jc w:val="both"/>
        <w:rPr>
          <w:rFonts w:hint="eastAsia" w:ascii="黑体" w:hAnsi="黑体" w:eastAsia="黑体" w:cs="黑体"/>
          <w:kern w:val="0"/>
          <w:sz w:val="32"/>
          <w:szCs w:val="32"/>
          <w:lang w:val="en-US" w:eastAsia="zh-CN" w:bidi="ar-SA"/>
        </w:rPr>
      </w:pPr>
      <w:r>
        <w:rPr>
          <w:rFonts w:hint="default" w:ascii="黑体" w:hAnsi="黑体" w:eastAsia="黑体" w:cs="黑体"/>
          <w:kern w:val="0"/>
          <w:sz w:val="32"/>
          <w:szCs w:val="32"/>
          <w:lang w:val="en-US" w:eastAsia="zh-CN" w:bidi="ar-SA"/>
        </w:rPr>
        <w:t>氯氟氰菊酯和高效氯氟氰菊酯</w:t>
      </w:r>
      <w:r>
        <w:rPr>
          <w:rFonts w:hint="eastAsia" w:ascii="黑体" w:hAnsi="黑体" w:eastAsia="黑体" w:cs="黑体"/>
          <w:kern w:val="0"/>
          <w:sz w:val="32"/>
          <w:szCs w:val="32"/>
          <w:lang w:val="en-US" w:eastAsia="zh-CN" w:bidi="ar-SA"/>
        </w:rPr>
        <w:t>、氯氰菊酯和高效氯氰菊酯</w:t>
      </w:r>
    </w:p>
    <w:p w14:paraId="1A5AB38C">
      <w:pPr>
        <w:pStyle w:val="3"/>
        <w:shd w:val="clear" w:color="auto" w:fill="FFFFFF"/>
        <w:spacing w:before="0" w:beforeAutospacing="0" w:after="0" w:afterAutospacing="0" w:line="560" w:lineRule="exact"/>
        <w:jc w:val="both"/>
        <w:rPr>
          <w:rFonts w:hint="eastAsia" w:ascii="仿宋_GB2312" w:hAnsi="Arial" w:eastAsia="仿宋_GB2312" w:cs="Arial"/>
          <w:snapToGrid/>
          <w:kern w:val="0"/>
          <w:sz w:val="32"/>
          <w:szCs w:val="32"/>
          <w:lang w:val="en-US" w:eastAsia="zh-CN" w:bidi="ar-SA"/>
        </w:rPr>
      </w:pPr>
      <w:r>
        <w:rPr>
          <w:rFonts w:hint="eastAsia" w:ascii="仿宋_GB2312" w:hAnsi="Arial" w:eastAsia="仿宋_GB2312" w:cs="Arial"/>
          <w:snapToGrid/>
          <w:kern w:val="0"/>
          <w:sz w:val="32"/>
          <w:szCs w:val="32"/>
          <w:lang w:val="en-US" w:eastAsia="zh-CN" w:bidi="ar-SA"/>
        </w:rPr>
        <w:t>指标解释：氯氟氰菊酯属中毒拟除虫菊酯类农药。大白鼠急性经口LD50为56~79mg/kg，含量过高或长期暴露对人体会有一定的健康隐患。</w:t>
      </w:r>
    </w:p>
    <w:p w14:paraId="2B4BCF11">
      <w:pPr>
        <w:pStyle w:val="3"/>
        <w:shd w:val="clear" w:color="auto" w:fill="FFFFFF"/>
        <w:spacing w:before="0" w:beforeAutospacing="0" w:after="0" w:afterAutospacing="0" w:line="560" w:lineRule="exact"/>
        <w:jc w:val="both"/>
        <w:rPr>
          <w:rFonts w:hint="default" w:ascii="仿宋_GB2312" w:hAnsi="Arial" w:eastAsia="仿宋_GB2312" w:cs="Arial"/>
          <w:snapToGrid/>
          <w:kern w:val="0"/>
          <w:sz w:val="32"/>
          <w:szCs w:val="32"/>
          <w:lang w:val="en-US" w:eastAsia="zh-CN" w:bidi="ar-SA"/>
        </w:rPr>
      </w:pPr>
      <w:r>
        <w:rPr>
          <w:rFonts w:hint="eastAsia" w:ascii="仿宋_GB2312" w:hAnsi="Arial" w:eastAsia="仿宋_GB2312" w:cs="Arial"/>
          <w:snapToGrid/>
          <w:kern w:val="0"/>
          <w:sz w:val="32"/>
          <w:szCs w:val="32"/>
          <w:lang w:val="en-US" w:eastAsia="zh-CN" w:bidi="ar-SA"/>
        </w:rPr>
        <w:t>标准规定：判定依据：GB2763-2021《食品安全国家标准食品中农药最大残留限量》；标准指标：甘薯中</w:t>
      </w:r>
      <w:r>
        <w:rPr>
          <w:rFonts w:hint="default" w:ascii="仿宋_GB2312" w:hAnsi="Arial" w:eastAsia="仿宋_GB2312" w:cs="Arial"/>
          <w:snapToGrid/>
          <w:kern w:val="0"/>
          <w:sz w:val="32"/>
          <w:szCs w:val="32"/>
          <w:lang w:val="en-US" w:eastAsia="zh-CN" w:bidi="ar-SA"/>
        </w:rPr>
        <w:t>氯氟氰菊酯和高效氯氟氰菊酯</w:t>
      </w:r>
      <w:r>
        <w:rPr>
          <w:rFonts w:hint="eastAsia" w:ascii="仿宋_GB2312" w:hAnsi="Arial" w:eastAsia="仿宋_GB2312" w:cs="Arial"/>
          <w:snapToGrid/>
          <w:kern w:val="0"/>
          <w:sz w:val="32"/>
          <w:szCs w:val="32"/>
          <w:lang w:val="en-US" w:eastAsia="zh-CN" w:bidi="ar-SA"/>
        </w:rPr>
        <w:t>、氯氰菊酯和高效氯氰菊酯的最大限量值为0.01mg/kg。</w:t>
      </w:r>
    </w:p>
    <w:p w14:paraId="2FCE2262">
      <w:pPr>
        <w:pStyle w:val="3"/>
        <w:shd w:val="clear" w:color="auto" w:fill="FFFFFF"/>
        <w:spacing w:before="0" w:beforeAutospacing="0" w:after="0" w:afterAutospacing="0" w:line="560" w:lineRule="exact"/>
        <w:jc w:val="both"/>
        <w:rPr>
          <w:rFonts w:hint="eastAsia" w:ascii="仿宋_GB2312" w:hAnsi="Arial" w:eastAsia="仿宋_GB2312" w:cs="Arial"/>
          <w:snapToGrid/>
          <w:kern w:val="0"/>
          <w:sz w:val="32"/>
          <w:szCs w:val="32"/>
          <w:lang w:val="en-US" w:eastAsia="zh-CN" w:bidi="ar-SA"/>
        </w:rPr>
      </w:pPr>
      <w:r>
        <w:rPr>
          <w:rFonts w:hint="default" w:ascii="仿宋_GB2312" w:hAnsi="Arial" w:eastAsia="仿宋_GB2312" w:cs="Arial"/>
          <w:snapToGrid/>
          <w:kern w:val="0"/>
          <w:sz w:val="32"/>
          <w:szCs w:val="32"/>
          <w:lang w:val="en-US" w:eastAsia="zh-CN" w:bidi="ar-SA"/>
        </w:rPr>
        <w:t>可能引起不合格原因</w:t>
      </w:r>
      <w:r>
        <w:rPr>
          <w:rFonts w:hint="eastAsia" w:ascii="仿宋_GB2312" w:hAnsi="Arial" w:eastAsia="仿宋_GB2312" w:cs="Arial"/>
          <w:snapToGrid/>
          <w:kern w:val="0"/>
          <w:sz w:val="32"/>
          <w:szCs w:val="32"/>
          <w:lang w:val="en-US" w:eastAsia="zh-CN" w:bidi="ar-SA"/>
        </w:rPr>
        <w:t>：1.滥用农药；2.使用国家明令禁止的禁限用农药；3.不合理使用农药；4.没有严格执行农药安全间隔期规定；5.水气土壤污染等环境条件。</w:t>
      </w:r>
    </w:p>
    <w:p w14:paraId="1B12472E">
      <w:pPr>
        <w:pStyle w:val="3"/>
        <w:shd w:val="clear" w:color="auto" w:fill="FFFFFF"/>
        <w:spacing w:before="0" w:beforeAutospacing="0" w:after="0" w:afterAutospacing="0" w:line="560" w:lineRule="exact"/>
        <w:jc w:val="both"/>
        <w:rPr>
          <w:rFonts w:hint="default" w:ascii="仿宋_GB2312" w:hAnsi="Arial" w:eastAsia="仿宋_GB2312" w:cs="Arial"/>
          <w:snapToGrid/>
          <w:kern w:val="0"/>
          <w:sz w:val="32"/>
          <w:szCs w:val="32"/>
          <w:lang w:val="en-US" w:eastAsia="zh-CN" w:bidi="ar-SA"/>
        </w:rPr>
      </w:pPr>
    </w:p>
    <w:p w14:paraId="4E0E039F">
      <w:pPr>
        <w:pStyle w:val="3"/>
        <w:shd w:val="clear" w:color="auto" w:fill="FFFFFF"/>
        <w:spacing w:before="0" w:beforeAutospacing="0" w:after="0" w:afterAutospacing="0" w:line="560" w:lineRule="exact"/>
        <w:jc w:val="both"/>
        <w:rPr>
          <w:rFonts w:hint="default" w:ascii="黑体" w:hAnsi="黑体" w:eastAsia="黑体" w:cs="黑体"/>
          <w:kern w:val="0"/>
          <w:sz w:val="32"/>
          <w:szCs w:val="32"/>
          <w:lang w:val="en-US" w:eastAsia="zh-CN" w:bidi="ar-SA"/>
        </w:rPr>
      </w:pPr>
      <w:r>
        <w:rPr>
          <w:rFonts w:hint="default" w:ascii="黑体" w:hAnsi="黑体" w:eastAsia="黑体" w:cs="黑体"/>
          <w:kern w:val="0"/>
          <w:sz w:val="32"/>
          <w:szCs w:val="32"/>
          <w:lang w:val="en-US" w:eastAsia="zh-CN" w:bidi="ar-SA"/>
        </w:rPr>
        <w:t>乙酰甲胺磷</w:t>
      </w:r>
    </w:p>
    <w:p w14:paraId="428B5C79">
      <w:pPr>
        <w:pStyle w:val="3"/>
        <w:shd w:val="clear" w:color="auto" w:fill="FFFFFF"/>
        <w:spacing w:before="0" w:beforeAutospacing="0" w:after="0" w:afterAutospacing="0" w:line="560" w:lineRule="exact"/>
        <w:jc w:val="both"/>
        <w:rPr>
          <w:rFonts w:hint="eastAsia" w:ascii="仿宋_GB2312" w:hAnsi="Arial" w:eastAsia="仿宋_GB2312" w:cs="Arial"/>
          <w:snapToGrid/>
          <w:kern w:val="0"/>
          <w:sz w:val="32"/>
          <w:szCs w:val="32"/>
          <w:lang w:val="en-US" w:eastAsia="zh-CN" w:bidi="ar-SA"/>
        </w:rPr>
      </w:pPr>
      <w:r>
        <w:rPr>
          <w:rFonts w:hint="eastAsia" w:ascii="仿宋_GB2312" w:hAnsi="Arial" w:eastAsia="仿宋_GB2312" w:cs="Arial"/>
          <w:snapToGrid/>
          <w:kern w:val="0"/>
          <w:sz w:val="32"/>
          <w:szCs w:val="32"/>
          <w:lang w:val="en-US" w:eastAsia="zh-CN" w:bidi="ar-SA"/>
        </w:rPr>
        <w:t>指标解释：乙酰甲胺磷是一种低毒有机磷类杀虫剂。急性毒性LD50值:对大白鼠经口为825~866mg/kg。含量过高或长期暴露对人体会有一定的健康隐患。一次性大量摄入体内会抑制血液和组织中的胆碱酯酶活性，引起出汗、震颤、精神紊乱等一系列神经毒的表现。</w:t>
      </w:r>
    </w:p>
    <w:p w14:paraId="6A6F6E9B">
      <w:pPr>
        <w:pStyle w:val="3"/>
        <w:shd w:val="clear" w:color="auto" w:fill="FFFFFF"/>
        <w:spacing w:before="0" w:beforeAutospacing="0" w:after="0" w:afterAutospacing="0" w:line="560" w:lineRule="exact"/>
        <w:jc w:val="both"/>
        <w:rPr>
          <w:rFonts w:hint="eastAsia" w:ascii="仿宋_GB2312" w:hAnsi="Arial" w:eastAsia="仿宋_GB2312" w:cs="Arial"/>
          <w:snapToGrid/>
          <w:kern w:val="0"/>
          <w:sz w:val="32"/>
          <w:szCs w:val="32"/>
          <w:lang w:val="en-US" w:eastAsia="zh-CN" w:bidi="ar-SA"/>
        </w:rPr>
      </w:pPr>
      <w:r>
        <w:rPr>
          <w:rFonts w:hint="eastAsia" w:ascii="仿宋_GB2312" w:hAnsi="Arial" w:eastAsia="仿宋_GB2312" w:cs="Arial"/>
          <w:snapToGrid/>
          <w:kern w:val="0"/>
          <w:sz w:val="32"/>
          <w:szCs w:val="32"/>
          <w:lang w:val="en-US" w:eastAsia="zh-CN" w:bidi="ar-SA"/>
        </w:rPr>
        <w:t>标准规定：判定依据：GB2763-2021《食品安全国家标准食品中农药最大残留限量》；标准指标：芒果中乙酰甲胺磷的最大限量值为0.02mg/kg。</w:t>
      </w:r>
    </w:p>
    <w:p w14:paraId="2F3D8094">
      <w:pPr>
        <w:pStyle w:val="3"/>
        <w:shd w:val="clear" w:color="auto" w:fill="FFFFFF"/>
        <w:spacing w:before="0" w:beforeAutospacing="0" w:after="0" w:afterAutospacing="0" w:line="560" w:lineRule="exact"/>
        <w:jc w:val="both"/>
        <w:rPr>
          <w:rFonts w:hint="default" w:ascii="仿宋_GB2312" w:hAnsi="Arial" w:eastAsia="仿宋_GB2312" w:cs="Arial"/>
          <w:snapToGrid/>
          <w:kern w:val="0"/>
          <w:sz w:val="32"/>
          <w:szCs w:val="32"/>
          <w:lang w:val="en-US" w:eastAsia="zh-CN" w:bidi="ar-SA"/>
        </w:rPr>
      </w:pPr>
      <w:r>
        <w:rPr>
          <w:rFonts w:hint="default" w:ascii="仿宋_GB2312" w:hAnsi="Arial" w:eastAsia="仿宋_GB2312" w:cs="Arial"/>
          <w:snapToGrid/>
          <w:kern w:val="0"/>
          <w:sz w:val="32"/>
          <w:szCs w:val="32"/>
          <w:lang w:val="en-US" w:eastAsia="zh-CN" w:bidi="ar-SA"/>
        </w:rPr>
        <w:t>可能引起不合格原因</w:t>
      </w:r>
      <w:r>
        <w:rPr>
          <w:rFonts w:hint="eastAsia" w:ascii="仿宋_GB2312" w:hAnsi="Arial" w:eastAsia="仿宋_GB2312" w:cs="Arial"/>
          <w:snapToGrid/>
          <w:kern w:val="0"/>
          <w:sz w:val="32"/>
          <w:szCs w:val="32"/>
          <w:lang w:val="en-US" w:eastAsia="zh-CN" w:bidi="ar-SA"/>
        </w:rPr>
        <w:t>：</w:t>
      </w:r>
      <w:r>
        <w:rPr>
          <w:rFonts w:hint="default" w:ascii="仿宋_GB2312" w:hAnsi="Arial" w:eastAsia="仿宋_GB2312" w:cs="Arial"/>
          <w:snapToGrid/>
          <w:kern w:val="0"/>
          <w:sz w:val="32"/>
          <w:szCs w:val="32"/>
          <w:lang w:val="en-US" w:eastAsia="zh-CN" w:bidi="ar-SA"/>
        </w:rPr>
        <w:t>1.滥用农药；2.使用国家明令禁止的禁限用农药。</w:t>
      </w:r>
    </w:p>
    <w:p w14:paraId="78C2858C">
      <w:pPr>
        <w:pStyle w:val="3"/>
        <w:shd w:val="clear" w:color="auto" w:fill="FFFFFF"/>
        <w:spacing w:before="0" w:beforeAutospacing="0" w:after="0" w:afterAutospacing="0" w:line="560" w:lineRule="exact"/>
        <w:jc w:val="both"/>
        <w:rPr>
          <w:rFonts w:hint="eastAsia" w:ascii="仿宋_GB2312" w:hAnsi="Arial" w:eastAsia="仿宋_GB2312" w:cs="Arial"/>
          <w:kern w:val="0"/>
          <w:sz w:val="32"/>
          <w:szCs w:val="32"/>
          <w:lang w:val="en-US" w:eastAsia="zh-CN" w:bidi="ar-SA"/>
        </w:rPr>
      </w:pPr>
    </w:p>
    <w:p w14:paraId="1DDF18B9">
      <w:pPr>
        <w:pStyle w:val="3"/>
        <w:shd w:val="clear" w:color="auto" w:fill="FFFFFF"/>
        <w:spacing w:before="0" w:beforeAutospacing="0" w:after="0" w:afterAutospacing="0" w:line="560" w:lineRule="exact"/>
        <w:jc w:val="both"/>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啶虫脒</w:t>
      </w:r>
    </w:p>
    <w:p w14:paraId="6D094E6C">
      <w:pPr>
        <w:rPr>
          <w:rFonts w:hint="eastAsia" w:ascii="仿宋_GB2312" w:hAnsi="Arial" w:eastAsia="仿宋_GB2312" w:cs="Arial"/>
          <w:snapToGrid/>
          <w:kern w:val="0"/>
          <w:sz w:val="32"/>
          <w:szCs w:val="32"/>
          <w:lang w:val="en-US" w:eastAsia="zh-CN" w:bidi="ar-SA"/>
        </w:rPr>
      </w:pPr>
      <w:r>
        <w:rPr>
          <w:rFonts w:hint="eastAsia" w:ascii="仿宋_GB2312" w:hAnsi="Arial" w:eastAsia="仿宋_GB2312" w:cs="Arial"/>
          <w:snapToGrid/>
          <w:kern w:val="0"/>
          <w:sz w:val="32"/>
          <w:szCs w:val="32"/>
          <w:lang w:val="en-US" w:eastAsia="zh-CN" w:bidi="ar-SA"/>
        </w:rPr>
        <w:t>指标解释：啶虫脒是中毒杀虫剂。大白鼠急性经口LD50为146~217mg/kg，含量过高或长期暴露对人体会有一定的健康隐患。</w:t>
      </w:r>
    </w:p>
    <w:p w14:paraId="2C6855EC">
      <w:pPr>
        <w:pStyle w:val="3"/>
        <w:shd w:val="clear" w:color="auto" w:fill="FFFFFF"/>
        <w:spacing w:before="0" w:beforeAutospacing="0" w:after="0" w:afterAutospacing="0" w:line="560" w:lineRule="exact"/>
        <w:jc w:val="both"/>
        <w:rPr>
          <w:rFonts w:hint="eastAsia" w:ascii="仿宋_GB2312" w:hAnsi="Arial" w:eastAsia="仿宋_GB2312" w:cs="Arial"/>
          <w:snapToGrid/>
          <w:kern w:val="0"/>
          <w:sz w:val="32"/>
          <w:szCs w:val="32"/>
          <w:lang w:val="en-US" w:eastAsia="zh-CN" w:bidi="ar-SA"/>
        </w:rPr>
      </w:pPr>
      <w:r>
        <w:rPr>
          <w:rFonts w:hint="eastAsia" w:ascii="仿宋_GB2312" w:hAnsi="Arial" w:eastAsia="仿宋_GB2312" w:cs="Arial"/>
          <w:snapToGrid/>
          <w:kern w:val="0"/>
          <w:sz w:val="32"/>
          <w:szCs w:val="32"/>
          <w:lang w:val="en-US" w:eastAsia="zh-CN" w:bidi="ar-SA"/>
        </w:rPr>
        <w:t>标准规定：判定依据：GB2763-2021《食品安全国家标准食品中农药最大残留限量》；标准指标：杨梅中啶虫脒的最大限量值为0.2mg/kg。</w:t>
      </w:r>
    </w:p>
    <w:p w14:paraId="1FA35F1F">
      <w:pPr>
        <w:pStyle w:val="3"/>
        <w:shd w:val="clear" w:color="auto" w:fill="FFFFFF"/>
        <w:spacing w:before="0" w:beforeAutospacing="0" w:after="0" w:afterAutospacing="0" w:line="560" w:lineRule="exact"/>
        <w:jc w:val="both"/>
        <w:rPr>
          <w:rFonts w:hint="default" w:ascii="仿宋_GB2312" w:hAnsi="Arial" w:eastAsia="仿宋_GB2312" w:cs="Arial"/>
          <w:snapToGrid/>
          <w:kern w:val="0"/>
          <w:sz w:val="32"/>
          <w:szCs w:val="32"/>
          <w:lang w:val="en-US" w:eastAsia="zh-CN" w:bidi="ar-SA"/>
        </w:rPr>
      </w:pPr>
      <w:r>
        <w:rPr>
          <w:rFonts w:hint="default" w:ascii="仿宋_GB2312" w:hAnsi="Arial" w:eastAsia="仿宋_GB2312" w:cs="Arial"/>
          <w:snapToGrid/>
          <w:kern w:val="0"/>
          <w:sz w:val="32"/>
          <w:szCs w:val="32"/>
          <w:lang w:val="en-US" w:eastAsia="zh-CN" w:bidi="ar-SA"/>
        </w:rPr>
        <w:t>可能引起不合格原因</w:t>
      </w:r>
      <w:r>
        <w:rPr>
          <w:rFonts w:hint="eastAsia" w:ascii="仿宋_GB2312" w:hAnsi="Arial" w:eastAsia="仿宋_GB2312" w:cs="Arial"/>
          <w:snapToGrid/>
          <w:kern w:val="0"/>
          <w:sz w:val="32"/>
          <w:szCs w:val="32"/>
          <w:lang w:val="en-US" w:eastAsia="zh-CN" w:bidi="ar-SA"/>
        </w:rPr>
        <w:t>：</w:t>
      </w:r>
      <w:r>
        <w:rPr>
          <w:rFonts w:hint="default" w:ascii="仿宋_GB2312" w:hAnsi="Arial" w:eastAsia="仿宋_GB2312" w:cs="Arial"/>
          <w:snapToGrid/>
          <w:kern w:val="0"/>
          <w:sz w:val="32"/>
          <w:szCs w:val="32"/>
          <w:lang w:val="en-US" w:eastAsia="zh-CN" w:bidi="ar-SA"/>
        </w:rPr>
        <w:t>1.滥用农药；2.使用国家明令禁止的禁限用农药。</w:t>
      </w:r>
    </w:p>
    <w:p w14:paraId="355DFD4B">
      <w:pPr>
        <w:pStyle w:val="3"/>
        <w:shd w:val="clear" w:color="auto" w:fill="FFFFFF"/>
        <w:spacing w:before="0" w:beforeAutospacing="0" w:after="0" w:afterAutospacing="0" w:line="560" w:lineRule="exact"/>
        <w:jc w:val="both"/>
        <w:rPr>
          <w:rFonts w:hint="default" w:ascii="仿宋_GB2312" w:hAnsi="Arial" w:eastAsia="仿宋_GB2312" w:cs="Arial"/>
          <w:snapToGrid/>
          <w:kern w:val="0"/>
          <w:sz w:val="32"/>
          <w:szCs w:val="32"/>
          <w:lang w:val="en-US" w:eastAsia="zh-CN" w:bidi="ar-SA"/>
        </w:rPr>
      </w:pPr>
    </w:p>
    <w:p w14:paraId="1B9B4EF4">
      <w:pPr>
        <w:pStyle w:val="3"/>
        <w:shd w:val="clear" w:color="auto" w:fill="FFFFFF"/>
        <w:spacing w:before="0" w:beforeAutospacing="0" w:after="0" w:afterAutospacing="0" w:line="560" w:lineRule="exact"/>
        <w:jc w:val="both"/>
        <w:rPr>
          <w:rFonts w:hint="default" w:ascii="黑体" w:hAnsi="黑体" w:eastAsia="黑体" w:cs="黑体"/>
          <w:kern w:val="0"/>
          <w:sz w:val="32"/>
          <w:szCs w:val="32"/>
          <w:lang w:val="en-US" w:eastAsia="zh-CN" w:bidi="ar-SA"/>
        </w:rPr>
      </w:pPr>
      <w:r>
        <w:rPr>
          <w:rFonts w:hint="default" w:ascii="黑体" w:hAnsi="黑体" w:eastAsia="黑体" w:cs="黑体"/>
          <w:kern w:val="0"/>
          <w:sz w:val="32"/>
          <w:szCs w:val="32"/>
          <w:lang w:val="en-US" w:eastAsia="zh-CN" w:bidi="ar-SA"/>
        </w:rPr>
        <w:t>吡唑醚菌酯</w:t>
      </w:r>
    </w:p>
    <w:p w14:paraId="65E78F2A">
      <w:pPr>
        <w:pStyle w:val="3"/>
        <w:shd w:val="clear" w:color="auto" w:fill="FFFFFF"/>
        <w:spacing w:before="0" w:beforeAutospacing="0" w:after="0" w:afterAutospacing="0" w:line="560" w:lineRule="exact"/>
        <w:jc w:val="both"/>
        <w:rPr>
          <w:rFonts w:hint="eastAsia" w:ascii="仿宋_GB2312" w:hAnsi="Arial" w:eastAsia="仿宋_GB2312" w:cs="Arial"/>
          <w:snapToGrid/>
          <w:kern w:val="0"/>
          <w:sz w:val="32"/>
          <w:szCs w:val="32"/>
          <w:lang w:val="en-US" w:eastAsia="zh-CN" w:bidi="ar-SA"/>
        </w:rPr>
      </w:pPr>
      <w:r>
        <w:rPr>
          <w:rFonts w:hint="eastAsia" w:ascii="仿宋_GB2312" w:hAnsi="Arial" w:eastAsia="仿宋_GB2312" w:cs="Arial"/>
          <w:snapToGrid/>
          <w:kern w:val="0"/>
          <w:sz w:val="32"/>
          <w:szCs w:val="32"/>
          <w:lang w:val="en-US" w:eastAsia="zh-CN" w:bidi="ar-SA"/>
        </w:rPr>
        <w:t>指标解释：吡唑醚菌酯中文名唑菌胺酯、百克敏，为新型广谱杀菌剂，线粒体呼吸抑制剂，是甲氧基丙烯酸酯类杀菌剂之一，具有保护、治疗、叶片渗透传导作用。吡唑醚菌酯通过抑制孢子萌发和菌丝生长而发挥药效，具有保护、治疗、叶片渗透传导作用。但是对水生生物毒性极高，过量使用的吡唑醚菌酯转移到水塘等环境中会造成鱼虾等水生生物死亡。</w:t>
      </w:r>
    </w:p>
    <w:p w14:paraId="4168FF0A">
      <w:pPr>
        <w:pStyle w:val="3"/>
        <w:shd w:val="clear" w:color="auto" w:fill="FFFFFF"/>
        <w:spacing w:before="0" w:beforeAutospacing="0" w:after="0" w:afterAutospacing="0" w:line="560" w:lineRule="exact"/>
        <w:jc w:val="both"/>
        <w:rPr>
          <w:rFonts w:hint="eastAsia" w:ascii="仿宋_GB2312" w:hAnsi="Arial" w:eastAsia="仿宋_GB2312" w:cs="Arial"/>
          <w:snapToGrid/>
          <w:kern w:val="0"/>
          <w:sz w:val="32"/>
          <w:szCs w:val="32"/>
          <w:lang w:val="en-US" w:eastAsia="zh-CN" w:bidi="ar-SA"/>
        </w:rPr>
      </w:pPr>
      <w:r>
        <w:rPr>
          <w:rFonts w:hint="eastAsia" w:ascii="仿宋_GB2312" w:hAnsi="Arial" w:eastAsia="仿宋_GB2312" w:cs="Arial"/>
          <w:snapToGrid/>
          <w:kern w:val="0"/>
          <w:sz w:val="32"/>
          <w:szCs w:val="32"/>
          <w:lang w:val="en-US" w:eastAsia="zh-CN" w:bidi="ar-SA"/>
        </w:rPr>
        <w:t>标准规定：判定依据：GB2763-2021《食品安全国家标准食品中农药最大残留限量》；标准指标：芒果中</w:t>
      </w:r>
      <w:r>
        <w:rPr>
          <w:rFonts w:hint="default" w:ascii="仿宋_GB2312" w:hAnsi="Arial" w:eastAsia="仿宋_GB2312" w:cs="Arial"/>
          <w:snapToGrid/>
          <w:kern w:val="0"/>
          <w:sz w:val="32"/>
          <w:szCs w:val="32"/>
          <w:lang w:val="en-US" w:eastAsia="zh-CN" w:bidi="ar-SA"/>
        </w:rPr>
        <w:t>吡唑醚菌酯</w:t>
      </w:r>
      <w:r>
        <w:rPr>
          <w:rFonts w:hint="eastAsia" w:ascii="仿宋_GB2312" w:hAnsi="Arial" w:eastAsia="仿宋_GB2312" w:cs="Arial"/>
          <w:snapToGrid/>
          <w:kern w:val="0"/>
          <w:sz w:val="32"/>
          <w:szCs w:val="32"/>
          <w:lang w:val="en-US" w:eastAsia="zh-CN" w:bidi="ar-SA"/>
        </w:rPr>
        <w:t>的最大限量值为0.05mg/kg。</w:t>
      </w:r>
    </w:p>
    <w:p w14:paraId="7B07945B">
      <w:pPr>
        <w:pStyle w:val="3"/>
        <w:shd w:val="clear" w:color="auto" w:fill="FFFFFF"/>
        <w:spacing w:before="0" w:beforeAutospacing="0" w:after="0" w:afterAutospacing="0" w:line="560" w:lineRule="exact"/>
        <w:jc w:val="both"/>
        <w:rPr>
          <w:rFonts w:hint="eastAsia" w:ascii="仿宋_GB2312" w:hAnsi="Arial" w:eastAsia="仿宋_GB2312" w:cs="Arial"/>
          <w:snapToGrid/>
          <w:kern w:val="0"/>
          <w:sz w:val="32"/>
          <w:szCs w:val="32"/>
          <w:lang w:val="en-US" w:eastAsia="zh-CN" w:bidi="ar-SA"/>
        </w:rPr>
      </w:pPr>
      <w:r>
        <w:rPr>
          <w:rFonts w:hint="default" w:ascii="仿宋_GB2312" w:hAnsi="Arial" w:eastAsia="仿宋_GB2312" w:cs="Arial"/>
          <w:snapToGrid/>
          <w:kern w:val="0"/>
          <w:sz w:val="32"/>
          <w:szCs w:val="32"/>
          <w:lang w:val="en-US" w:eastAsia="zh-CN" w:bidi="ar-SA"/>
        </w:rPr>
        <w:t>可能引起不合格原因</w:t>
      </w:r>
      <w:r>
        <w:rPr>
          <w:rFonts w:hint="eastAsia" w:ascii="仿宋_GB2312" w:hAnsi="Arial" w:eastAsia="仿宋_GB2312" w:cs="Arial"/>
          <w:snapToGrid/>
          <w:kern w:val="0"/>
          <w:sz w:val="32"/>
          <w:szCs w:val="32"/>
          <w:lang w:val="en-US" w:eastAsia="zh-CN" w:bidi="ar-SA"/>
        </w:rPr>
        <w:t>：吡唑醚菌酯超标的原因可能为种植过程中违规使用，或种植过程种植户对使用农药的安全间隔期不了解。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232DE"/>
    <w:rsid w:val="34A232DE"/>
    <w:rsid w:val="53AB2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1415</Words>
  <Characters>1579</Characters>
  <Lines>0</Lines>
  <Paragraphs>0</Paragraphs>
  <TotalTime>2</TotalTime>
  <ScaleCrop>false</ScaleCrop>
  <LinksUpToDate>false</LinksUpToDate>
  <CharactersWithSpaces>1579</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2025-08-12T07:53:00Z</dcterms:created>
  <dc:creator>吴莹</dc:creator>
  <cp:lastModifiedBy>WPS_1684804966</cp:lastModifiedBy>
  <dcterms:modified xsi:type="dcterms:W3CDTF">2025-08-13T01:11:31Z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eyJoZGlkIjoiNzFkZGY0N2NiMjk0M2QwMjM4ZDU1OGNjZjMzZWNjNGMiLCJ1c2VySWQiOiIxNDk2MjgyNjQzIn0=</vt:lpwstr>
  </property>
  <property fmtid="{D5CDD505-2E9C-101B-9397-08002B2CF9AE}" pid="4" name="ICV">
    <vt:lpwstr>BD6A9BB8B4A94F7197235CC8B527EF0E_12</vt:lpwstr>
  </property>
</Properties>
</file>