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FF47">
      <w:pPr>
        <w:keepNext w:val="0"/>
        <w:keepLines w:val="0"/>
        <w:pageBreakBefore w:val="0"/>
        <w:widowControl w:val="0"/>
        <w:kinsoku/>
        <w:wordWrap/>
        <w:overflowPunct/>
        <w:topLinePunct w:val="0"/>
        <w:autoSpaceDE/>
        <w:autoSpaceDN/>
        <w:bidi w:val="0"/>
        <w:snapToGrid/>
        <w:spacing w:line="590" w:lineRule="exact"/>
        <w:jc w:val="left"/>
        <w:textAlignment w:val="auto"/>
        <w:rPr>
          <w:rFonts w:hint="default" w:ascii="宋体" w:hAnsi="宋体" w:eastAsia="方正黑体_GBK" w:cs="宋体"/>
          <w:color w:val="auto"/>
          <w:spacing w:val="-11"/>
          <w:sz w:val="32"/>
          <w:szCs w:val="44"/>
          <w:lang w:val="en-US" w:eastAsia="zh-CN"/>
        </w:rPr>
      </w:pPr>
      <w:r>
        <w:rPr>
          <w:rFonts w:hint="eastAsia" w:ascii="宋体" w:hAnsi="宋体" w:eastAsia="方正黑体_GBK" w:cs="宋体"/>
          <w:color w:val="auto"/>
          <w:spacing w:val="-11"/>
          <w:sz w:val="32"/>
          <w:szCs w:val="44"/>
          <w:lang w:val="en-US" w:eastAsia="zh-CN"/>
        </w:rPr>
        <w:t>附件3</w:t>
      </w:r>
    </w:p>
    <w:p w14:paraId="45E917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_GBK" w:cs="宋体"/>
          <w:color w:val="auto"/>
          <w:spacing w:val="-11"/>
          <w:sz w:val="44"/>
          <w:szCs w:val="44"/>
        </w:rPr>
      </w:pPr>
      <w:r>
        <w:rPr>
          <w:rFonts w:hint="eastAsia" w:ascii="宋体" w:hAnsi="宋体" w:eastAsia="方正小标宋_GBK" w:cs="宋体"/>
          <w:color w:val="auto"/>
          <w:spacing w:val="-11"/>
          <w:sz w:val="44"/>
          <w:szCs w:val="44"/>
        </w:rPr>
        <w:t>部分不合格检验项目小知识</w:t>
      </w:r>
    </w:p>
    <w:p w14:paraId="52E5ED10">
      <w:pPr>
        <w:pStyle w:val="2"/>
        <w:keepNext w:val="0"/>
        <w:keepLines w:val="0"/>
        <w:pageBreakBefore w:val="0"/>
        <w:widowControl w:val="0"/>
        <w:kinsoku/>
        <w:wordWrap/>
        <w:overflowPunct/>
        <w:topLinePunct w:val="0"/>
        <w:autoSpaceDE/>
        <w:autoSpaceDN/>
        <w:bidi w:val="0"/>
        <w:snapToGrid/>
        <w:spacing w:line="590" w:lineRule="exact"/>
        <w:textAlignment w:val="auto"/>
        <w:rPr>
          <w:rFonts w:ascii="宋体" w:hAnsi="宋体"/>
          <w:color w:val="auto"/>
        </w:rPr>
      </w:pPr>
    </w:p>
    <w:p w14:paraId="423D8298">
      <w:pPr>
        <w:keepNext w:val="0"/>
        <w:keepLines w:val="0"/>
        <w:pageBreakBefore w:val="0"/>
        <w:widowControl w:val="0"/>
        <w:kinsoku/>
        <w:wordWrap/>
        <w:overflowPunct/>
        <w:topLinePunct w:val="0"/>
        <w:autoSpaceDE/>
        <w:autoSpaceDN/>
        <w:bidi w:val="0"/>
        <w:adjustRightInd/>
        <w:snapToGrid/>
        <w:spacing w:line="590" w:lineRule="exact"/>
        <w:ind w:firstLine="592" w:firstLineChars="200"/>
        <w:textAlignment w:val="auto"/>
        <w:rPr>
          <w:rFonts w:hint="default" w:ascii="宋体" w:hAnsi="宋体" w:eastAsia="黑体"/>
          <w:color w:val="auto"/>
          <w:spacing w:val="-12"/>
          <w:sz w:val="32"/>
          <w:szCs w:val="32"/>
          <w:lang w:val="en-US" w:eastAsia="zh-CN"/>
        </w:rPr>
      </w:pPr>
      <w:r>
        <w:rPr>
          <w:rFonts w:hint="eastAsia" w:ascii="宋体" w:hAnsi="宋体" w:eastAsia="黑体"/>
          <w:color w:val="auto"/>
          <w:spacing w:val="-12"/>
          <w:sz w:val="32"/>
          <w:szCs w:val="32"/>
          <w:lang w:val="en-US" w:eastAsia="zh-CN"/>
        </w:rPr>
        <w:t>一</w:t>
      </w:r>
      <w:r>
        <w:rPr>
          <w:rFonts w:hint="eastAsia" w:ascii="宋体" w:hAnsi="宋体" w:eastAsia="黑体"/>
          <w:color w:val="auto"/>
          <w:spacing w:val="-12"/>
          <w:sz w:val="32"/>
          <w:szCs w:val="32"/>
        </w:rPr>
        <w:t>、</w:t>
      </w:r>
      <w:r>
        <w:rPr>
          <w:rFonts w:hint="eastAsia" w:ascii="宋体" w:hAnsi="宋体" w:eastAsia="黑体"/>
          <w:color w:val="auto"/>
          <w:spacing w:val="-12"/>
          <w:sz w:val="32"/>
          <w:szCs w:val="32"/>
          <w:lang w:val="en-US" w:eastAsia="zh-CN"/>
        </w:rPr>
        <w:t>铝的残留量</w:t>
      </w:r>
    </w:p>
    <w:p w14:paraId="0E8E52F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含铝食品添加剂可用作膨松剂、稳定剂、抗结剂和染色料等。长期摄入铝残留超标的食品，可能影响人体对铁、钙等营养元素的吸收，从而导致骨质疏松、贫血等，甚至影响神经细胞的发育。《食品安全国家标准 食品添加剂使用标准》（GB 2760—2014）中规定，焙烤食品中铝的残留量限量不超过100mg/kg(干样品,以Al计)。铝的残留量超标的原因可能是个别企业为增加产品口感，在生产加工过程中超限量使用含铝添加剂，或者使用的复配添加剂中铝含量过高。</w:t>
      </w:r>
    </w:p>
    <w:p w14:paraId="61FF5238">
      <w:pPr>
        <w:keepNext w:val="0"/>
        <w:keepLines w:val="0"/>
        <w:pageBreakBefore w:val="0"/>
        <w:kinsoku/>
        <w:wordWrap/>
        <w:overflowPunct/>
        <w:topLinePunct w:val="0"/>
        <w:autoSpaceDE/>
        <w:autoSpaceDN/>
        <w:bidi w:val="0"/>
        <w:adjustRightInd/>
        <w:snapToGrid/>
        <w:spacing w:line="594" w:lineRule="exact"/>
        <w:ind w:firstLine="592" w:firstLineChars="200"/>
        <w:textAlignment w:val="auto"/>
        <w:rPr>
          <w:rFonts w:hint="eastAsia" w:ascii="宋体" w:hAnsi="宋体" w:eastAsia="方正黑体_GBK" w:cs="方正黑体_GBK"/>
          <w:color w:val="auto"/>
          <w:spacing w:val="-12"/>
          <w:sz w:val="32"/>
          <w:szCs w:val="32"/>
          <w:highlight w:val="none"/>
          <w:lang w:val="en-US" w:eastAsia="zh-CN"/>
        </w:rPr>
      </w:pPr>
      <w:r>
        <w:rPr>
          <w:rFonts w:hint="eastAsia" w:ascii="宋体" w:hAnsi="宋体" w:eastAsia="方正黑体_GBK" w:cs="方正黑体_GBK"/>
          <w:color w:val="auto"/>
          <w:spacing w:val="-12"/>
          <w:sz w:val="32"/>
          <w:szCs w:val="32"/>
          <w:highlight w:val="none"/>
          <w:lang w:val="en-US" w:eastAsia="zh-CN"/>
        </w:rPr>
        <w:t>二、二氧化硫残留量</w:t>
      </w:r>
    </w:p>
    <w:p w14:paraId="7437B3B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二氧化硫（以及焦亚硫酸钾、亚硫酸钠等添加剂）对食品有漂白、防腐和抗氧化作用，使用后均产生二氧化硫残留。二氧化硫进入人体后最终转化为硫酸盐并随尿液排出体外，一般不会对人体健康造成不良影响，但如果长期过量摄入二氧化硫，可能会对健康不利。《食品安全国家标准 食品添加剂使用标准》（GB 2760—2014）中规定，干制蔬菜中二氧化硫残留量不得超过0.2g/kg。二氧化硫不符合标准的原因可能是个别生产经营企业使用劣质原料以降低成本，其后为了提高产品色泽超量使用二氧化硫，也有可能是使用时不计量或计量不准确。</w:t>
      </w:r>
    </w:p>
    <w:p w14:paraId="3573FE7B">
      <w:pPr>
        <w:keepNext w:val="0"/>
        <w:keepLines w:val="0"/>
        <w:pageBreakBefore w:val="0"/>
        <w:widowControl w:val="0"/>
        <w:kinsoku/>
        <w:wordWrap/>
        <w:overflowPunct/>
        <w:topLinePunct w:val="0"/>
        <w:autoSpaceDE/>
        <w:autoSpaceDN/>
        <w:bidi w:val="0"/>
        <w:spacing w:line="590" w:lineRule="exact"/>
        <w:ind w:firstLine="592"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黑体_GBK" w:cs="方正黑体_GBK"/>
          <w:color w:val="auto"/>
          <w:spacing w:val="-12"/>
          <w:sz w:val="32"/>
          <w:szCs w:val="32"/>
          <w:highlight w:val="none"/>
          <w:lang w:val="en-US" w:eastAsia="zh-CN"/>
        </w:rPr>
        <w:t>三、吡虫啉</w:t>
      </w:r>
    </w:p>
    <w:p w14:paraId="4C21B31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吡虫啉是烟碱类超高效杀虫剂，害虫接触药剂后，中枢神经正常传导受阻，使其麻痹死亡。一旦食用残留严重超标的果蔬产品，易对人体造成急性、慢性中毒，导致癌症、畸形等危害。《食品安全国家标准食品中农药最大残留限量》（GB2763—2021）中规定，吡虫啉在香蕉中的最大残留限量值为0.05mg/kg。香蕉中吡虫啉超标，原因可能是为快速控制虫害加大用药量，或未遵守采摘间隔期规定，致使上市销售时产品中的药物残留量未降解至标准限量以下。</w:t>
      </w:r>
    </w:p>
    <w:p w14:paraId="56C31277">
      <w:pPr>
        <w:keepNext w:val="0"/>
        <w:keepLines w:val="0"/>
        <w:pageBreakBefore w:val="0"/>
        <w:widowControl w:val="0"/>
        <w:kinsoku/>
        <w:wordWrap/>
        <w:overflowPunct/>
        <w:topLinePunct w:val="0"/>
        <w:autoSpaceDE/>
        <w:autoSpaceDN/>
        <w:bidi w:val="0"/>
        <w:snapToGrid/>
        <w:spacing w:line="590" w:lineRule="exact"/>
        <w:ind w:firstLine="592" w:firstLineChars="200"/>
        <w:jc w:val="left"/>
        <w:textAlignment w:val="auto"/>
        <w:rPr>
          <w:rFonts w:hint="eastAsia" w:ascii="宋体" w:hAnsi="宋体" w:eastAsia="方正黑体_GBK" w:cs="方正黑体_GBK"/>
          <w:color w:val="auto"/>
          <w:spacing w:val="-12"/>
          <w:sz w:val="32"/>
          <w:szCs w:val="32"/>
          <w:lang w:eastAsia="zh-CN"/>
        </w:rPr>
      </w:pPr>
      <w:r>
        <w:rPr>
          <w:rFonts w:hint="eastAsia" w:ascii="宋体" w:hAnsi="宋体" w:eastAsia="方正黑体_GBK" w:cs="方正黑体_GBK"/>
          <w:color w:val="auto"/>
          <w:spacing w:val="-12"/>
          <w:sz w:val="32"/>
          <w:szCs w:val="32"/>
          <w:lang w:val="en-US" w:eastAsia="zh-CN"/>
        </w:rPr>
        <w:t>四</w:t>
      </w:r>
      <w:r>
        <w:rPr>
          <w:rFonts w:hint="eastAsia" w:ascii="宋体" w:hAnsi="宋体" w:eastAsia="方正黑体_GBK" w:cs="方正黑体_GBK"/>
          <w:color w:val="auto"/>
          <w:spacing w:val="-12"/>
          <w:sz w:val="32"/>
          <w:szCs w:val="32"/>
        </w:rPr>
        <w:t>、</w:t>
      </w:r>
      <w:r>
        <w:rPr>
          <w:rFonts w:hint="eastAsia" w:ascii="宋体" w:hAnsi="宋体" w:eastAsia="方正黑体_GBK" w:cs="方正黑体_GBK"/>
          <w:color w:val="auto"/>
          <w:spacing w:val="-12"/>
          <w:sz w:val="32"/>
          <w:szCs w:val="32"/>
          <w:lang w:val="en-US" w:eastAsia="zh-CN"/>
        </w:rPr>
        <w:t>脱氢乙酸及其钠盐（以脱氢乙酸计）</w:t>
      </w:r>
    </w:p>
    <w:p w14:paraId="1B1E28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lang w:val="en-US" w:eastAsia="zh-CN" w:bidi="ar-SA"/>
        </w:rPr>
        <w:t>脱氢乙酸及其钠盐作为一种广谱食品防腐剂，对霉菌和酵母菌的抑制能力</w:t>
      </w:r>
      <w:bookmarkStart w:id="0" w:name="_GoBack"/>
      <w:bookmarkEnd w:id="0"/>
      <w:r>
        <w:rPr>
          <w:rFonts w:hint="eastAsia" w:ascii="宋体" w:hAnsi="宋体" w:eastAsia="方正仿宋_GBK" w:cs="方正仿宋_GBK"/>
          <w:color w:val="auto"/>
          <w:kern w:val="2"/>
          <w:sz w:val="32"/>
          <w:szCs w:val="32"/>
          <w:lang w:val="en-US" w:eastAsia="zh-CN" w:bidi="ar-SA"/>
        </w:rPr>
        <w:t>强。脱氢乙酸及其钠盐能被人体完全吸收，并能抑制人体内多种氧化酶，长期过量摄入脱氢乙酸及其钠盐会危害人体健康。《食品安全国家标准 食品添加剂使用标准》（GB 2760—2014）中规定，米线中不得使用脱氢乙酸及其钠盐（以脱氢乙酸计），</w:t>
      </w:r>
      <w:r>
        <w:rPr>
          <w:rFonts w:hint="eastAsia" w:ascii="宋体" w:hAnsi="宋体" w:eastAsia="方正仿宋_GBK" w:cs="方正仿宋_GBK"/>
          <w:color w:val="auto"/>
          <w:kern w:val="2"/>
          <w:sz w:val="32"/>
          <w:szCs w:val="32"/>
          <w:highlight w:val="none"/>
          <w:lang w:val="en-US" w:eastAsia="zh-CN" w:bidi="ar-SA"/>
        </w:rPr>
        <w:t>脱氢乙酸超标的原因可能是个别生产经营企业为防止食品腐败变质，超量使用了该添加剂，或者其使用的复配添加剂中该添加剂含量较高，也可能是在添加过程中未计量或计量不准。</w:t>
      </w:r>
    </w:p>
    <w:p w14:paraId="5317D3BE">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方正仿宋_GBK" w:cs="方正仿宋_GBK"/>
          <w:color w:val="auto"/>
          <w:lang w:val="en-US" w:eastAsia="zh-CN"/>
        </w:rPr>
      </w:pPr>
    </w:p>
    <w:p w14:paraId="001A51BD">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仿宋_GB2312" w:cs="Times New Roman"/>
          <w:color w:val="auto"/>
          <w:kern w:val="2"/>
          <w:sz w:val="32"/>
          <w:szCs w:val="32"/>
          <w:highlight w:val="none"/>
          <w:lang w:val="en-US" w:eastAsia="zh-CN" w:bidi="ar-SA"/>
        </w:rPr>
      </w:pPr>
    </w:p>
    <w:sectPr>
      <w:footerReference r:id="rId3" w:type="default"/>
      <w:footerReference r:id="rId4" w:type="even"/>
      <w:pgSz w:w="11906" w:h="16838"/>
      <w:pgMar w:top="2098" w:right="141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0E3CBB-3105-4380-AF09-E4FE34FD26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2" w:fontKey="{D57C98B9-1079-49D4-939F-88A2D092953B}"/>
  </w:font>
  <w:font w:name="方正小标宋_GBK">
    <w:panose1 w:val="03000509000000000000"/>
    <w:charset w:val="86"/>
    <w:family w:val="auto"/>
    <w:pitch w:val="default"/>
    <w:sig w:usb0="00000001" w:usb1="080E0000" w:usb2="00000000" w:usb3="00000000" w:csb0="00040000" w:csb1="00000000"/>
    <w:embedRegular r:id="rId3" w:fontKey="{3B8ED1E5-A94A-4056-BF49-A32758377490}"/>
  </w:font>
  <w:font w:name="方正仿宋_GBK">
    <w:panose1 w:val="03000509000000000000"/>
    <w:charset w:val="86"/>
    <w:family w:val="auto"/>
    <w:pitch w:val="default"/>
    <w:sig w:usb0="00000001" w:usb1="080E0000" w:usb2="00000000" w:usb3="00000000" w:csb0="00040000" w:csb1="00000000"/>
    <w:embedRegular r:id="rId4" w:fontKey="{430DFEFB-BDD6-494D-8AC5-70D618F35E0C}"/>
  </w:font>
  <w:font w:name="仿宋_GB2312">
    <w:altName w:val="仿宋"/>
    <w:panose1 w:val="02010609030101010101"/>
    <w:charset w:val="86"/>
    <w:family w:val="modern"/>
    <w:pitch w:val="default"/>
    <w:sig w:usb0="00000000" w:usb1="00000000" w:usb2="00000000" w:usb3="00000000" w:csb0="00040000" w:csb1="00000000"/>
    <w:embedRegular r:id="rId5" w:fontKey="{57BA4DBF-6DBF-4844-87CB-B8C667E24D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024"/>
      <w:docPartObj>
        <w:docPartGallery w:val="autotext"/>
      </w:docPartObj>
    </w:sdtPr>
    <w:sdtContent>
      <w:p w14:paraId="0102FD67">
        <w:pPr>
          <w:pStyle w:val="6"/>
          <w:jc w:val="center"/>
        </w:pPr>
        <w:r>
          <w:fldChar w:fldCharType="begin"/>
        </w:r>
        <w:r>
          <w:instrText xml:space="preserve">PAGE   \* MERGEFORMAT</w:instrText>
        </w:r>
        <w:r>
          <w:fldChar w:fldCharType="separate"/>
        </w:r>
        <w:r>
          <w:rPr>
            <w:lang w:val="zh-CN"/>
          </w:rPr>
          <w:t>4</w:t>
        </w:r>
        <w:r>
          <w:fldChar w:fldCharType="end"/>
        </w:r>
      </w:p>
    </w:sdtContent>
  </w:sdt>
  <w:p w14:paraId="12FA748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F79E">
    <w:pPr>
      <w:pStyle w:val="6"/>
    </w:pPr>
  </w:p>
  <w:p w14:paraId="2836AA1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2JlNTk5N2I1MjE1ZDc4Y2MwMTI0OWVmYzZkOGMifQ=="/>
  </w:docVars>
  <w:rsids>
    <w:rsidRoot w:val="15B85137"/>
    <w:rsid w:val="000119D5"/>
    <w:rsid w:val="00013E30"/>
    <w:rsid w:val="000276F3"/>
    <w:rsid w:val="00045657"/>
    <w:rsid w:val="00063DA7"/>
    <w:rsid w:val="000854E2"/>
    <w:rsid w:val="000868BD"/>
    <w:rsid w:val="0009071C"/>
    <w:rsid w:val="000C63B4"/>
    <w:rsid w:val="000D132D"/>
    <w:rsid w:val="000E0F61"/>
    <w:rsid w:val="000E639C"/>
    <w:rsid w:val="00101A1D"/>
    <w:rsid w:val="0010777E"/>
    <w:rsid w:val="00116CA2"/>
    <w:rsid w:val="00135634"/>
    <w:rsid w:val="00135A77"/>
    <w:rsid w:val="00142BDE"/>
    <w:rsid w:val="0015345E"/>
    <w:rsid w:val="00170041"/>
    <w:rsid w:val="0018028B"/>
    <w:rsid w:val="001B6492"/>
    <w:rsid w:val="001F1D2C"/>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A6A35"/>
    <w:rsid w:val="005A758A"/>
    <w:rsid w:val="005C0139"/>
    <w:rsid w:val="005C2A8D"/>
    <w:rsid w:val="005C692C"/>
    <w:rsid w:val="005C6AD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06AE3"/>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B1102"/>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1657A8B"/>
    <w:rsid w:val="017C436C"/>
    <w:rsid w:val="01BE41F9"/>
    <w:rsid w:val="01D31020"/>
    <w:rsid w:val="027F6AB2"/>
    <w:rsid w:val="02C53450"/>
    <w:rsid w:val="02DF598E"/>
    <w:rsid w:val="02E57613"/>
    <w:rsid w:val="03DE3CAC"/>
    <w:rsid w:val="045471C4"/>
    <w:rsid w:val="04553F6E"/>
    <w:rsid w:val="04C76D91"/>
    <w:rsid w:val="04D4291E"/>
    <w:rsid w:val="04EB64FF"/>
    <w:rsid w:val="05164C23"/>
    <w:rsid w:val="057D3189"/>
    <w:rsid w:val="069448F1"/>
    <w:rsid w:val="07144834"/>
    <w:rsid w:val="07226994"/>
    <w:rsid w:val="075C3866"/>
    <w:rsid w:val="07DB4775"/>
    <w:rsid w:val="080F2686"/>
    <w:rsid w:val="084A7B62"/>
    <w:rsid w:val="08B60FCD"/>
    <w:rsid w:val="08F07F5B"/>
    <w:rsid w:val="09C57F9D"/>
    <w:rsid w:val="09D93C30"/>
    <w:rsid w:val="0A085276"/>
    <w:rsid w:val="0A152407"/>
    <w:rsid w:val="0AAD14F9"/>
    <w:rsid w:val="0AAF7DF5"/>
    <w:rsid w:val="0AE1251E"/>
    <w:rsid w:val="0BAB600D"/>
    <w:rsid w:val="0BAF665A"/>
    <w:rsid w:val="0C4E3D58"/>
    <w:rsid w:val="0C7E7DDA"/>
    <w:rsid w:val="0D336E17"/>
    <w:rsid w:val="0D870F11"/>
    <w:rsid w:val="0DE76207"/>
    <w:rsid w:val="0DF06AB6"/>
    <w:rsid w:val="0E123307"/>
    <w:rsid w:val="0E397080"/>
    <w:rsid w:val="0E4A6D82"/>
    <w:rsid w:val="0E611762"/>
    <w:rsid w:val="0EAF6971"/>
    <w:rsid w:val="0EF669E1"/>
    <w:rsid w:val="0FED6590"/>
    <w:rsid w:val="101E7775"/>
    <w:rsid w:val="10466C63"/>
    <w:rsid w:val="10CE06BC"/>
    <w:rsid w:val="10DC1574"/>
    <w:rsid w:val="11534B85"/>
    <w:rsid w:val="11605EF1"/>
    <w:rsid w:val="1198698C"/>
    <w:rsid w:val="11AA7966"/>
    <w:rsid w:val="12096398"/>
    <w:rsid w:val="13622204"/>
    <w:rsid w:val="13866C43"/>
    <w:rsid w:val="13A32481"/>
    <w:rsid w:val="140C54C5"/>
    <w:rsid w:val="141679B1"/>
    <w:rsid w:val="14221993"/>
    <w:rsid w:val="144813FA"/>
    <w:rsid w:val="145C6C53"/>
    <w:rsid w:val="150258D5"/>
    <w:rsid w:val="15205ED3"/>
    <w:rsid w:val="159E2C66"/>
    <w:rsid w:val="15B85137"/>
    <w:rsid w:val="15E41FBE"/>
    <w:rsid w:val="16041BA6"/>
    <w:rsid w:val="16EF3DAF"/>
    <w:rsid w:val="175005C5"/>
    <w:rsid w:val="183A01E9"/>
    <w:rsid w:val="18502F73"/>
    <w:rsid w:val="187854F2"/>
    <w:rsid w:val="18C66F88"/>
    <w:rsid w:val="18E16CEE"/>
    <w:rsid w:val="1A0E5B10"/>
    <w:rsid w:val="1AC629FA"/>
    <w:rsid w:val="1B1C713C"/>
    <w:rsid w:val="1B60140B"/>
    <w:rsid w:val="1B986887"/>
    <w:rsid w:val="1C36422E"/>
    <w:rsid w:val="1D231C99"/>
    <w:rsid w:val="1D2A530E"/>
    <w:rsid w:val="1D3460AC"/>
    <w:rsid w:val="1DAC2558"/>
    <w:rsid w:val="1DFF4B09"/>
    <w:rsid w:val="1E8219AC"/>
    <w:rsid w:val="1F0653D6"/>
    <w:rsid w:val="1F6B795B"/>
    <w:rsid w:val="1FA07B72"/>
    <w:rsid w:val="1FF00B97"/>
    <w:rsid w:val="200535FF"/>
    <w:rsid w:val="20485A70"/>
    <w:rsid w:val="222114DC"/>
    <w:rsid w:val="234B4BA4"/>
    <w:rsid w:val="23BC14BC"/>
    <w:rsid w:val="24175A57"/>
    <w:rsid w:val="242404B2"/>
    <w:rsid w:val="243C124F"/>
    <w:rsid w:val="24957DD5"/>
    <w:rsid w:val="24B8323F"/>
    <w:rsid w:val="25F04BCC"/>
    <w:rsid w:val="265A7B33"/>
    <w:rsid w:val="26647BE9"/>
    <w:rsid w:val="26F47978"/>
    <w:rsid w:val="274417F4"/>
    <w:rsid w:val="27633C24"/>
    <w:rsid w:val="27FA632E"/>
    <w:rsid w:val="29283150"/>
    <w:rsid w:val="29C56BF1"/>
    <w:rsid w:val="2AC16902"/>
    <w:rsid w:val="2AFC42B6"/>
    <w:rsid w:val="2B626CC5"/>
    <w:rsid w:val="2BDB0938"/>
    <w:rsid w:val="2C9024A3"/>
    <w:rsid w:val="2CC55E02"/>
    <w:rsid w:val="2D001EDD"/>
    <w:rsid w:val="2D6047B8"/>
    <w:rsid w:val="2D9E08C8"/>
    <w:rsid w:val="2DE7759F"/>
    <w:rsid w:val="2DF31F7F"/>
    <w:rsid w:val="2EAF23A5"/>
    <w:rsid w:val="2EDA6D5B"/>
    <w:rsid w:val="2F0D0E1E"/>
    <w:rsid w:val="2F0F6710"/>
    <w:rsid w:val="2FB35B1D"/>
    <w:rsid w:val="306F6F8C"/>
    <w:rsid w:val="311F0C14"/>
    <w:rsid w:val="31A57A34"/>
    <w:rsid w:val="31BB1005"/>
    <w:rsid w:val="32004C6A"/>
    <w:rsid w:val="32075FF9"/>
    <w:rsid w:val="32126C92"/>
    <w:rsid w:val="32135C95"/>
    <w:rsid w:val="32195D2C"/>
    <w:rsid w:val="329D62E1"/>
    <w:rsid w:val="32F15577"/>
    <w:rsid w:val="33247AA6"/>
    <w:rsid w:val="34220DB4"/>
    <w:rsid w:val="34357ABA"/>
    <w:rsid w:val="345745AF"/>
    <w:rsid w:val="3515264E"/>
    <w:rsid w:val="353A0493"/>
    <w:rsid w:val="3569521C"/>
    <w:rsid w:val="361B61C7"/>
    <w:rsid w:val="36AD3D17"/>
    <w:rsid w:val="36C16DA1"/>
    <w:rsid w:val="36E903C3"/>
    <w:rsid w:val="378206DC"/>
    <w:rsid w:val="37DE5A4E"/>
    <w:rsid w:val="390E2601"/>
    <w:rsid w:val="39124ABE"/>
    <w:rsid w:val="3A086DB2"/>
    <w:rsid w:val="3A512225"/>
    <w:rsid w:val="3A893738"/>
    <w:rsid w:val="3A8D72B7"/>
    <w:rsid w:val="3ACA22B9"/>
    <w:rsid w:val="3B797920"/>
    <w:rsid w:val="3BF375EE"/>
    <w:rsid w:val="3C7818ED"/>
    <w:rsid w:val="3CDB5FF6"/>
    <w:rsid w:val="3CEE66E0"/>
    <w:rsid w:val="3D2F4655"/>
    <w:rsid w:val="3D8A5562"/>
    <w:rsid w:val="3D9B7F3D"/>
    <w:rsid w:val="3DFE3476"/>
    <w:rsid w:val="3E2A007D"/>
    <w:rsid w:val="3E3B2BDA"/>
    <w:rsid w:val="3E587BDC"/>
    <w:rsid w:val="3E9442B3"/>
    <w:rsid w:val="3ECA4CD4"/>
    <w:rsid w:val="3ED43706"/>
    <w:rsid w:val="3F2D2006"/>
    <w:rsid w:val="3F6251B6"/>
    <w:rsid w:val="3F9E031F"/>
    <w:rsid w:val="3FD17C46"/>
    <w:rsid w:val="40475A64"/>
    <w:rsid w:val="412D2400"/>
    <w:rsid w:val="42903DE8"/>
    <w:rsid w:val="42A3182D"/>
    <w:rsid w:val="42E23FC2"/>
    <w:rsid w:val="439463AA"/>
    <w:rsid w:val="43FB64F2"/>
    <w:rsid w:val="44586DC0"/>
    <w:rsid w:val="453B44DF"/>
    <w:rsid w:val="458F65D9"/>
    <w:rsid w:val="462516B1"/>
    <w:rsid w:val="46BD6F7D"/>
    <w:rsid w:val="46F05C86"/>
    <w:rsid w:val="475278BE"/>
    <w:rsid w:val="477517FF"/>
    <w:rsid w:val="478D2221"/>
    <w:rsid w:val="479E0D55"/>
    <w:rsid w:val="47A143A2"/>
    <w:rsid w:val="48805DD2"/>
    <w:rsid w:val="489A776F"/>
    <w:rsid w:val="492963C6"/>
    <w:rsid w:val="492E435B"/>
    <w:rsid w:val="49D942C7"/>
    <w:rsid w:val="4A0D2464"/>
    <w:rsid w:val="4A0F7CE8"/>
    <w:rsid w:val="4A435BE4"/>
    <w:rsid w:val="4A486C4A"/>
    <w:rsid w:val="4AFE195C"/>
    <w:rsid w:val="4B26353C"/>
    <w:rsid w:val="4B304B48"/>
    <w:rsid w:val="4B5562A0"/>
    <w:rsid w:val="4B9F509C"/>
    <w:rsid w:val="4BC323F1"/>
    <w:rsid w:val="4BFE1DC3"/>
    <w:rsid w:val="4BFF5B3B"/>
    <w:rsid w:val="4C9B5A25"/>
    <w:rsid w:val="4D354A0D"/>
    <w:rsid w:val="4DB7491F"/>
    <w:rsid w:val="4DC4703C"/>
    <w:rsid w:val="4E0C414E"/>
    <w:rsid w:val="4E210C81"/>
    <w:rsid w:val="4E755725"/>
    <w:rsid w:val="4ECF7A46"/>
    <w:rsid w:val="4EE57FD2"/>
    <w:rsid w:val="4EE87D43"/>
    <w:rsid w:val="4F304989"/>
    <w:rsid w:val="4F713B1C"/>
    <w:rsid w:val="4F8B56DC"/>
    <w:rsid w:val="4FAB400F"/>
    <w:rsid w:val="4FC4089B"/>
    <w:rsid w:val="503009B9"/>
    <w:rsid w:val="50322618"/>
    <w:rsid w:val="50804728"/>
    <w:rsid w:val="50F82D67"/>
    <w:rsid w:val="513203F0"/>
    <w:rsid w:val="51632454"/>
    <w:rsid w:val="51853855"/>
    <w:rsid w:val="51B01DB1"/>
    <w:rsid w:val="52732B71"/>
    <w:rsid w:val="52CB6777"/>
    <w:rsid w:val="53250C8E"/>
    <w:rsid w:val="532E3A5B"/>
    <w:rsid w:val="5429718F"/>
    <w:rsid w:val="546149AA"/>
    <w:rsid w:val="550769B0"/>
    <w:rsid w:val="55191A1B"/>
    <w:rsid w:val="56102E1E"/>
    <w:rsid w:val="56124994"/>
    <w:rsid w:val="56312177"/>
    <w:rsid w:val="56474D13"/>
    <w:rsid w:val="56743629"/>
    <w:rsid w:val="56D800A3"/>
    <w:rsid w:val="570861EB"/>
    <w:rsid w:val="57DD4F82"/>
    <w:rsid w:val="5A251F2B"/>
    <w:rsid w:val="5A41062E"/>
    <w:rsid w:val="5A947624"/>
    <w:rsid w:val="5B0203A0"/>
    <w:rsid w:val="5B2353A2"/>
    <w:rsid w:val="5B48305A"/>
    <w:rsid w:val="5C9F0111"/>
    <w:rsid w:val="5CA4072E"/>
    <w:rsid w:val="5CC26E3C"/>
    <w:rsid w:val="5D1D4073"/>
    <w:rsid w:val="5D324D77"/>
    <w:rsid w:val="5E1216FE"/>
    <w:rsid w:val="5EAB5261"/>
    <w:rsid w:val="5F0E41AF"/>
    <w:rsid w:val="5F192639"/>
    <w:rsid w:val="5F1B05F6"/>
    <w:rsid w:val="60077D2E"/>
    <w:rsid w:val="603617D7"/>
    <w:rsid w:val="60672810"/>
    <w:rsid w:val="6074044E"/>
    <w:rsid w:val="60A95113"/>
    <w:rsid w:val="60B151FE"/>
    <w:rsid w:val="60C2740B"/>
    <w:rsid w:val="60FD15F7"/>
    <w:rsid w:val="615F4C5A"/>
    <w:rsid w:val="618C17C7"/>
    <w:rsid w:val="626A49D4"/>
    <w:rsid w:val="62A25746"/>
    <w:rsid w:val="62CE27B5"/>
    <w:rsid w:val="62E21FE6"/>
    <w:rsid w:val="630270EC"/>
    <w:rsid w:val="6341378F"/>
    <w:rsid w:val="63A75247"/>
    <w:rsid w:val="63E11CB1"/>
    <w:rsid w:val="64EA43B6"/>
    <w:rsid w:val="64FE2942"/>
    <w:rsid w:val="668C5268"/>
    <w:rsid w:val="66CB4B3F"/>
    <w:rsid w:val="675608AD"/>
    <w:rsid w:val="67AB0CED"/>
    <w:rsid w:val="67D45B94"/>
    <w:rsid w:val="67E36D35"/>
    <w:rsid w:val="683A47A8"/>
    <w:rsid w:val="68676CB7"/>
    <w:rsid w:val="68955405"/>
    <w:rsid w:val="689B1C2A"/>
    <w:rsid w:val="6931048F"/>
    <w:rsid w:val="6A00000E"/>
    <w:rsid w:val="6A49294B"/>
    <w:rsid w:val="6A52263C"/>
    <w:rsid w:val="6A592AD1"/>
    <w:rsid w:val="6A7A5576"/>
    <w:rsid w:val="6ADB2C10"/>
    <w:rsid w:val="6B316880"/>
    <w:rsid w:val="6B4849B1"/>
    <w:rsid w:val="6B581A5F"/>
    <w:rsid w:val="6B9263F8"/>
    <w:rsid w:val="6BE44B4A"/>
    <w:rsid w:val="6C2E1E33"/>
    <w:rsid w:val="6CB26C99"/>
    <w:rsid w:val="6D1B75AA"/>
    <w:rsid w:val="6D3C22F3"/>
    <w:rsid w:val="6D535020"/>
    <w:rsid w:val="6E0005AE"/>
    <w:rsid w:val="6E671C67"/>
    <w:rsid w:val="6E69475C"/>
    <w:rsid w:val="6EAB5BF3"/>
    <w:rsid w:val="6ED3511D"/>
    <w:rsid w:val="6FB17851"/>
    <w:rsid w:val="6FB849AC"/>
    <w:rsid w:val="6FDE45BD"/>
    <w:rsid w:val="70700E45"/>
    <w:rsid w:val="709C5D3C"/>
    <w:rsid w:val="70A278C4"/>
    <w:rsid w:val="70DC2E9E"/>
    <w:rsid w:val="71202F46"/>
    <w:rsid w:val="714D5A47"/>
    <w:rsid w:val="726E2F4F"/>
    <w:rsid w:val="727857FE"/>
    <w:rsid w:val="72800632"/>
    <w:rsid w:val="72AC3A77"/>
    <w:rsid w:val="731A7A87"/>
    <w:rsid w:val="73B76B77"/>
    <w:rsid w:val="742C4E6F"/>
    <w:rsid w:val="742E1372"/>
    <w:rsid w:val="74A44FDB"/>
    <w:rsid w:val="75343153"/>
    <w:rsid w:val="75856B41"/>
    <w:rsid w:val="76285DB6"/>
    <w:rsid w:val="76502707"/>
    <w:rsid w:val="76A809F9"/>
    <w:rsid w:val="77661EB3"/>
    <w:rsid w:val="77777B42"/>
    <w:rsid w:val="779B6D13"/>
    <w:rsid w:val="77FC0FFD"/>
    <w:rsid w:val="795D5ACB"/>
    <w:rsid w:val="7A152154"/>
    <w:rsid w:val="7A9C0875"/>
    <w:rsid w:val="7AE845AB"/>
    <w:rsid w:val="7C641F9C"/>
    <w:rsid w:val="7CAF4890"/>
    <w:rsid w:val="7CBB5EAD"/>
    <w:rsid w:val="7CCD4AFB"/>
    <w:rsid w:val="7D2423F5"/>
    <w:rsid w:val="7D513B99"/>
    <w:rsid w:val="7D9B2509"/>
    <w:rsid w:val="7E6B032E"/>
    <w:rsid w:val="7E764C7A"/>
    <w:rsid w:val="7F4219EB"/>
    <w:rsid w:val="7F5B1F50"/>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qFormat/>
    <w:uiPriority w:val="0"/>
    <w:pPr>
      <w:spacing w:after="120"/>
      <w:ind w:left="420" w:leftChars="200"/>
    </w:pPr>
  </w:style>
  <w:style w:type="paragraph" w:styleId="4">
    <w:name w:val="annotation text"/>
    <w:basedOn w:val="1"/>
    <w:link w:val="21"/>
    <w:autoRedefine/>
    <w:qFormat/>
    <w:uiPriority w:val="0"/>
    <w:pPr>
      <w:jc w:val="left"/>
    </w:pPr>
  </w:style>
  <w:style w:type="paragraph" w:styleId="5">
    <w:name w:val="Balloon Text"/>
    <w:basedOn w:val="1"/>
    <w:link w:val="16"/>
    <w:autoRedefine/>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autoRedefine/>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autoRedefine/>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2"/>
    <w:autoRedefine/>
    <w:qFormat/>
    <w:uiPriority w:val="0"/>
    <w:rPr>
      <w:b/>
      <w:bCs/>
    </w:rPr>
  </w:style>
  <w:style w:type="character" w:styleId="13">
    <w:name w:val="Strong"/>
    <w:basedOn w:val="12"/>
    <w:autoRedefine/>
    <w:qFormat/>
    <w:uiPriority w:val="0"/>
    <w:rPr>
      <w:b/>
    </w:rPr>
  </w:style>
  <w:style w:type="character" w:styleId="14">
    <w:name w:val="annotation reference"/>
    <w:basedOn w:val="12"/>
    <w:autoRedefine/>
    <w:qFormat/>
    <w:uiPriority w:val="0"/>
    <w:rPr>
      <w:sz w:val="21"/>
      <w:szCs w:val="21"/>
    </w:rPr>
  </w:style>
  <w:style w:type="paragraph" w:customStyle="1" w:styleId="15">
    <w:name w:val="列出段落2"/>
    <w:basedOn w:val="1"/>
    <w:autoRedefine/>
    <w:qFormat/>
    <w:uiPriority w:val="34"/>
    <w:pPr>
      <w:ind w:firstLine="420" w:firstLineChars="200"/>
    </w:pPr>
  </w:style>
  <w:style w:type="character" w:customStyle="1" w:styleId="16">
    <w:name w:val="批注框文本 字符"/>
    <w:basedOn w:val="12"/>
    <w:link w:val="5"/>
    <w:autoRedefine/>
    <w:qFormat/>
    <w:uiPriority w:val="0"/>
    <w:rPr>
      <w:rFonts w:ascii="Calibri" w:hAnsi="Calibri" w:eastAsia="宋体" w:cs="Times New Roman"/>
      <w:kern w:val="2"/>
      <w:sz w:val="18"/>
      <w:szCs w:val="18"/>
    </w:rPr>
  </w:style>
  <w:style w:type="paragraph" w:styleId="17">
    <w:name w:val="List Paragraph"/>
    <w:basedOn w:val="1"/>
    <w:autoRedefine/>
    <w:qFormat/>
    <w:uiPriority w:val="34"/>
    <w:pPr>
      <w:ind w:firstLine="420" w:firstLineChars="200"/>
    </w:pPr>
    <w:rPr>
      <w:szCs w:val="22"/>
    </w:rPr>
  </w:style>
  <w:style w:type="character" w:customStyle="1" w:styleId="18">
    <w:name w:val="页眉 字符"/>
    <w:basedOn w:val="12"/>
    <w:link w:val="7"/>
    <w:autoRedefine/>
    <w:qFormat/>
    <w:uiPriority w:val="0"/>
    <w:rPr>
      <w:rFonts w:ascii="Calibri" w:hAnsi="Calibri" w:eastAsia="宋体" w:cs="Times New Roman"/>
      <w:kern w:val="2"/>
      <w:sz w:val="18"/>
      <w:szCs w:val="18"/>
    </w:rPr>
  </w:style>
  <w:style w:type="character" w:customStyle="1" w:styleId="19">
    <w:name w:val="页脚 字符"/>
    <w:basedOn w:val="12"/>
    <w:link w:val="6"/>
    <w:autoRedefine/>
    <w:qFormat/>
    <w:uiPriority w:val="99"/>
    <w:rPr>
      <w:rFonts w:ascii="Calibri" w:hAnsi="Calibri" w:eastAsia="宋体" w:cs="Times New Roman"/>
      <w:kern w:val="2"/>
      <w:sz w:val="18"/>
      <w:szCs w:val="18"/>
    </w:rPr>
  </w:style>
  <w:style w:type="character" w:customStyle="1" w:styleId="20">
    <w:name w:val="副标题 字符"/>
    <w:basedOn w:val="12"/>
    <w:link w:val="8"/>
    <w:autoRedefine/>
    <w:qFormat/>
    <w:uiPriority w:val="0"/>
    <w:rPr>
      <w:rFonts w:ascii="Times New Roman" w:hAnsi="Times New Roman" w:eastAsia="黑体"/>
      <w:bCs/>
      <w:kern w:val="28"/>
      <w:sz w:val="32"/>
      <w:szCs w:val="32"/>
    </w:rPr>
  </w:style>
  <w:style w:type="character" w:customStyle="1" w:styleId="21">
    <w:name w:val="批注文字 字符"/>
    <w:basedOn w:val="12"/>
    <w:link w:val="4"/>
    <w:autoRedefine/>
    <w:qFormat/>
    <w:uiPriority w:val="0"/>
    <w:rPr>
      <w:rFonts w:ascii="Calibri" w:hAnsi="Calibri" w:eastAsia="宋体" w:cs="Times New Roman"/>
      <w:kern w:val="2"/>
      <w:sz w:val="21"/>
      <w:szCs w:val="24"/>
    </w:rPr>
  </w:style>
  <w:style w:type="character" w:customStyle="1" w:styleId="22">
    <w:name w:val="批注主题 字符"/>
    <w:basedOn w:val="21"/>
    <w:link w:val="10"/>
    <w:autoRedefine/>
    <w:qFormat/>
    <w:uiPriority w:val="0"/>
    <w:rPr>
      <w:rFonts w:ascii="Calibri" w:hAnsi="Calibri" w:eastAsia="宋体" w:cs="Times New Roman"/>
      <w:b/>
      <w:bCs/>
      <w:kern w:val="2"/>
      <w:sz w:val="21"/>
      <w:szCs w:val="24"/>
    </w:rPr>
  </w:style>
  <w:style w:type="paragraph" w:customStyle="1" w:styleId="23">
    <w:name w:val="列出段落1"/>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793</Words>
  <Characters>850</Characters>
  <Lines>16</Lines>
  <Paragraphs>4</Paragraphs>
  <TotalTime>0</TotalTime>
  <ScaleCrop>false</ScaleCrop>
  <LinksUpToDate>false</LinksUpToDate>
  <CharactersWithSpaces>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刘清</cp:lastModifiedBy>
  <dcterms:modified xsi:type="dcterms:W3CDTF">2025-07-21T01:29:42Z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665DFCFFE0C14853875C9B62468006AB</vt:lpwstr>
  </property>
  <property fmtid="{D5CDD505-2E9C-101B-9397-08002B2CF9AE}" pid="4" name="KSOTemplateDocerSaveRecord">
    <vt:lpwstr>eyJoZGlkIjoiYjk1N2JlNTk5N2I1MjE1ZDc4Y2MwMTI0OWVmYzZkOGMiLCJ1c2VySWQiOiI2Mzg0NzAyMzAifQ==</vt:lpwstr>
  </property>
</Properties>
</file>