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6"/>
        <w:widowControl/>
        <w:spacing w:before="0" w:beforeAutospacing="0" w:after="0" w:afterAutospacing="0" w:line="68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北京市工业防护涂料产品质量监督抽查</w:t>
      </w:r>
    </w:p>
    <w:p>
      <w:pPr>
        <w:pStyle w:val="6"/>
        <w:widowControl/>
        <w:spacing w:before="0" w:beforeAutospacing="0" w:after="0" w:afterAutospacing="0" w:line="68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结果公告</w:t>
      </w:r>
    </w:p>
    <w:p>
      <w:pPr>
        <w:pStyle w:val="6"/>
        <w:widowControl/>
        <w:spacing w:before="0" w:beforeAutospacing="0" w:after="0" w:afterAutospacing="0" w:line="578" w:lineRule="exact"/>
        <w:jc w:val="center"/>
        <w:textAlignment w:val="baseline"/>
        <w:rPr>
          <w:rFonts w:ascii="方正小标宋简体" w:hAnsi="方正小标宋简体" w:eastAsia="方正小标宋简体" w:cs="方正小标宋简体"/>
          <w:sz w:val="44"/>
          <w:szCs w:val="44"/>
        </w:rPr>
      </w:pPr>
    </w:p>
    <w:p>
      <w:pPr>
        <w:wordWrap/>
        <w:autoSpaceDE w:val="0"/>
        <w:autoSpaceDN w:val="0"/>
        <w:adjustRightInd w:val="0"/>
        <w:snapToGrid/>
        <w:spacing w:line="540" w:lineRule="exact"/>
        <w:ind w:firstLine="480"/>
        <w:jc w:val="both"/>
        <w:rPr>
          <w:rFonts w:ascii="仿宋_GB2312" w:hAnsi="仿宋_GB2312" w:eastAsia="仿宋_GB2312" w:cs="仿宋_GB2312"/>
          <w:sz w:val="32"/>
          <w:szCs w:val="32"/>
          <w:lang w:val="en-US"/>
        </w:rPr>
      </w:pPr>
      <w:r>
        <w:rPr>
          <w:rFonts w:hint="eastAsia" w:ascii="仿宋_GB2312" w:hAnsi="仿宋_GB2312" w:eastAsia="仿宋_GB2312" w:cs="仿宋_GB2312"/>
          <w:sz w:val="32"/>
          <w:szCs w:val="32"/>
        </w:rPr>
        <w:t>按照《中华人民共和国产品质量法》《产品质量监督抽查管理暂行办法》等法律、规章，以及本市产品质量监督抽查计划和实施细则，北京市市场监督管理局</w:t>
      </w:r>
      <w:r>
        <w:rPr>
          <w:rFonts w:hint="eastAsia" w:ascii="仿宋_GB2312" w:hAnsi="仿宋_GB2312" w:eastAsia="仿宋_GB2312" w:cs="仿宋_GB2312"/>
          <w:sz w:val="32"/>
          <w:szCs w:val="32"/>
          <w:lang w:val="zh-CN"/>
        </w:rPr>
        <w:t>坚持问题导向，</w:t>
      </w:r>
      <w:r>
        <w:rPr>
          <w:rFonts w:hint="eastAsia" w:ascii="仿宋_GB2312" w:hAnsi="仿宋_GB2312" w:eastAsia="仿宋_GB2312" w:cs="仿宋_GB2312"/>
          <w:sz w:val="32"/>
          <w:szCs w:val="32"/>
        </w:rPr>
        <w:t>将近年抽查不合格率较高的检测项目纳入实施细则,组织开展了工业用防护涂料</w:t>
      </w:r>
      <w:r>
        <w:rPr>
          <w:rFonts w:hint="eastAsia" w:ascii="仿宋_GB2312" w:hAnsi="仿宋_GB2312" w:eastAsia="仿宋_GB2312" w:cs="仿宋_GB2312"/>
          <w:sz w:val="32"/>
          <w:szCs w:val="32"/>
          <w:lang w:val="zh-CN"/>
        </w:rPr>
        <w:t>产品</w:t>
      </w:r>
      <w:r>
        <w:rPr>
          <w:rFonts w:hint="eastAsia" w:ascii="仿宋_GB2312" w:hAnsi="仿宋_GB2312" w:eastAsia="仿宋_GB2312" w:cs="仿宋_GB2312"/>
          <w:sz w:val="32"/>
          <w:szCs w:val="32"/>
        </w:rPr>
        <w:t>质量监督抽查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检出</w:t>
      </w:r>
      <w:r>
        <w:rPr>
          <w:rFonts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组批样品不合格，</w:t>
      </w:r>
      <w:r>
        <w:rPr>
          <w:rFonts w:hint="eastAsia" w:ascii="仿宋_GB2312" w:hAnsi="仿宋_GB2312" w:eastAsia="仿宋_GB2312" w:cs="仿宋_GB2312"/>
          <w:sz w:val="32"/>
          <w:szCs w:val="32"/>
          <w:lang w:val="en-US" w:eastAsia="zh-CN"/>
        </w:rPr>
        <w:t>不合格项目主要涉及</w:t>
      </w:r>
      <w:r>
        <w:rPr>
          <w:rFonts w:hint="eastAsia" w:ascii="仿宋_GB2312" w:hAnsi="仿宋_GB2312" w:eastAsia="仿宋_GB2312" w:cs="仿宋_GB2312"/>
          <w:sz w:val="32"/>
          <w:szCs w:val="32"/>
        </w:rPr>
        <w:t>多环芳烃总和含量（限萘、蒽）、</w:t>
      </w:r>
      <w:r>
        <w:rPr>
          <w:rFonts w:ascii="仿宋_GB2312" w:hAnsi="仿宋_GB2312" w:eastAsia="仿宋_GB2312" w:cs="仿宋_GB2312"/>
          <w:sz w:val="32"/>
          <w:szCs w:val="32"/>
        </w:rPr>
        <w:t>重金属含量（铅）</w:t>
      </w:r>
      <w:r>
        <w:rPr>
          <w:rFonts w:hint="eastAsia" w:ascii="仿宋_GB2312" w:hAnsi="仿宋_GB2312" w:eastAsia="仿宋_GB2312" w:cs="仿宋_GB2312"/>
          <w:sz w:val="32"/>
          <w:szCs w:val="32"/>
          <w:lang w:val="en-US" w:eastAsia="zh-CN"/>
        </w:rPr>
        <w:t>等。</w:t>
      </w:r>
    </w:p>
    <w:p>
      <w:pPr>
        <w:pStyle w:val="6"/>
        <w:widowControl/>
        <w:wordWrap/>
        <w:snapToGrid/>
        <w:spacing w:before="0" w:beforeAutospacing="0" w:after="0" w:afterAutospacing="0" w:line="540" w:lineRule="exact"/>
        <w:ind w:firstLine="640" w:firstLineChars="200"/>
        <w:jc w:val="both"/>
        <w:textAlignment w:val="baseline"/>
        <w:rPr>
          <w:rFonts w:ascii="仿宋_GB2312" w:hAnsi="仿宋_GB2312" w:eastAsia="仿宋_GB2312" w:cs="仿宋_GB2312"/>
          <w:sz w:val="32"/>
          <w:szCs w:val="32"/>
        </w:rPr>
      </w:pPr>
      <w:r>
        <w:rPr>
          <w:rFonts w:hint="eastAsia" w:ascii="仿宋_GB2312" w:hAnsi="仿宋_GB2312" w:eastAsia="仿宋_GB2312" w:cs="仿宋_GB2312"/>
          <w:sz w:val="32"/>
          <w:szCs w:val="32"/>
        </w:rPr>
        <w:t>对于抽查发现的不合格产品生产者、销售者，北京市市场监督管理局已全部移交经营主体所在地市场监管部门依法立案查处，督促相关经营主体及时下架不合格产品，</w:t>
      </w:r>
      <w:r>
        <w:rPr>
          <w:rFonts w:hint="eastAsia" w:ascii="仿宋_GB2312" w:hAnsi="仿宋_GB2312" w:eastAsia="仿宋_GB2312" w:cs="仿宋_GB2312"/>
          <w:sz w:val="32"/>
          <w:szCs w:val="32"/>
          <w:lang w:eastAsia="zh-CN"/>
        </w:rPr>
        <w:t>并消除安全隐患，</w:t>
      </w:r>
      <w:r>
        <w:rPr>
          <w:rFonts w:hint="eastAsia" w:ascii="仿宋_GB2312" w:hAnsi="仿宋_GB2312" w:eastAsia="仿宋_GB2312" w:cs="仿宋_GB2312"/>
          <w:sz w:val="32"/>
          <w:szCs w:val="32"/>
        </w:rPr>
        <w:t>守牢产品质量安全底线。</w:t>
      </w:r>
    </w:p>
    <w:p>
      <w:pPr>
        <w:pStyle w:val="6"/>
        <w:widowControl/>
        <w:wordWrap/>
        <w:snapToGrid/>
        <w:spacing w:before="0" w:beforeAutospacing="0" w:after="0" w:afterAutospacing="0" w:line="540" w:lineRule="exact"/>
        <w:ind w:firstLine="640"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北京市市场监督管理局建议消费者在购买工业用防护涂料产品时注意以下几点：</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选购产品</w:t>
      </w:r>
      <w:r>
        <w:rPr>
          <w:rFonts w:hint="eastAsia" w:ascii="仿宋_GB2312" w:hAnsi="仿宋_GB2312" w:eastAsia="仿宋_GB2312" w:cs="仿宋_GB2312"/>
          <w:sz w:val="32"/>
          <w:szCs w:val="32"/>
          <w:lang w:eastAsia="zh-CN"/>
        </w:rPr>
        <w:t>时</w:t>
      </w:r>
      <w:r>
        <w:rPr>
          <w:rFonts w:hint="eastAsia" w:ascii="仿宋_GB2312" w:hAnsi="仿宋_GB2312" w:eastAsia="仿宋_GB2312" w:cs="仿宋_GB2312"/>
          <w:sz w:val="32"/>
          <w:szCs w:val="32"/>
        </w:rPr>
        <w:t>，应注意商品的标识，即产品型号、名称、批号、执行标准、厂名、厂址、生产日期和有效期是否齐全；</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优先选用水性、粉末、高固含量、无溶剂、辐射固化（UV）等工业防护涂料，尽量不选用溶剂型工业防护涂料；</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在购买商品时，要索取购货发票等有效凭证；</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避免购买超过保质期的工业防护涂料产品。</w:t>
      </w:r>
    </w:p>
    <w:p>
      <w:pPr>
        <w:pStyle w:val="6"/>
        <w:widowControl/>
        <w:wordWrap/>
        <w:snapToGrid/>
        <w:spacing w:before="0" w:beforeAutospacing="0" w:after="0" w:afterAutospacing="0" w:line="540" w:lineRule="exact"/>
        <w:jc w:val="both"/>
        <w:textAlignment w:val="baseline"/>
        <w:rPr>
          <w:rFonts w:hint="eastAsia" w:ascii="仿宋_GB2312" w:hAnsi="仿宋_GB2312" w:eastAsia="仿宋_GB2312" w:cs="仿宋_GB2312"/>
          <w:sz w:val="32"/>
          <w:szCs w:val="32"/>
        </w:rPr>
      </w:pPr>
      <w:bookmarkStart w:id="0" w:name="_GoBack"/>
      <w:bookmarkEnd w:id="0"/>
    </w:p>
    <w:p>
      <w:pPr>
        <w:wordWrap/>
        <w:snapToGrid/>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附件：1.不合格产品信息</w:t>
      </w:r>
    </w:p>
    <w:p>
      <w:pPr>
        <w:wordWrap/>
        <w:snapToGrid/>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2.不合格项目说明</w:t>
      </w:r>
    </w:p>
    <w:p>
      <w:pPr>
        <w:wordWrap/>
        <w:snapToGrid/>
        <w:spacing w:line="540" w:lineRule="exact"/>
        <w:ind w:firstLine="4960" w:firstLineChars="1550"/>
        <w:rPr>
          <w:rFonts w:ascii="仿宋_GB2312" w:hAnsi="仿宋_GB2312" w:eastAsia="仿宋_GB2312" w:cs="仿宋_GB2312"/>
          <w:sz w:val="32"/>
          <w:szCs w:val="32"/>
        </w:rPr>
        <w:sectPr>
          <w:pgSz w:w="11906" w:h="16838"/>
          <w:pgMar w:top="2098" w:right="1474" w:bottom="1984" w:left="1587" w:header="851" w:footer="992" w:gutter="0"/>
          <w:cols w:space="720" w:num="1"/>
          <w:docGrid w:type="lines" w:linePitch="326" w:charSpace="0"/>
        </w:sectPr>
      </w:pPr>
    </w:p>
    <w:p>
      <w:pPr>
        <w:widowControl w:val="0"/>
        <w:wordWrap/>
        <w:adjustRightInd/>
        <w:snapToGrid/>
        <w:spacing w:line="440" w:lineRule="exact"/>
        <w:textAlignment w:val="auto"/>
        <w:rPr>
          <w:rFonts w:eastAsia="黑体"/>
          <w:kern w:val="0"/>
          <w:sz w:val="32"/>
          <w:szCs w:val="32"/>
        </w:rPr>
      </w:pPr>
      <w:r>
        <w:rPr>
          <w:rFonts w:hint="eastAsia" w:ascii="黑体" w:hAnsi="黑体" w:eastAsia="黑体" w:cs="黑体"/>
          <w:sz w:val="32"/>
          <w:szCs w:val="32"/>
        </w:rPr>
        <w:t>附件</w:t>
      </w:r>
      <w:r>
        <w:rPr>
          <w:rFonts w:ascii="黑体" w:hAnsi="黑体" w:eastAsia="黑体" w:cs="黑体"/>
          <w:sz w:val="32"/>
          <w:szCs w:val="32"/>
        </w:rPr>
        <w:t>1</w:t>
      </w:r>
    </w:p>
    <w:p>
      <w:pPr>
        <w:widowControl w:val="0"/>
        <w:wordWrap/>
        <w:adjustRightInd/>
        <w:snapToGrid/>
        <w:spacing w:line="44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不合格产品信息</w:t>
      </w:r>
    </w:p>
    <w:tbl>
      <w:tblPr>
        <w:tblStyle w:val="10"/>
        <w:tblW w:w="12917"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440"/>
        <w:gridCol w:w="1328"/>
        <w:gridCol w:w="1627"/>
        <w:gridCol w:w="1800"/>
        <w:gridCol w:w="1453"/>
        <w:gridCol w:w="1774"/>
        <w:gridCol w:w="1840"/>
        <w:gridCol w:w="1795"/>
        <w:gridCol w:w="8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73" w:hRule="atLeast"/>
          <w:tblHeader/>
          <w:jc w:val="center"/>
        </w:trPr>
        <w:tc>
          <w:tcPr>
            <w:tcW w:w="4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黑体"/>
                <w:b/>
                <w:sz w:val="20"/>
              </w:rPr>
            </w:pPr>
            <w:r>
              <w:rPr>
                <w:rFonts w:eastAsia="黑体"/>
                <w:b/>
                <w:kern w:val="0"/>
                <w:sz w:val="20"/>
              </w:rPr>
              <w:t>序号</w:t>
            </w:r>
          </w:p>
        </w:tc>
        <w:tc>
          <w:tcPr>
            <w:tcW w:w="13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黑体"/>
                <w:b/>
                <w:sz w:val="20"/>
              </w:rPr>
            </w:pPr>
            <w:r>
              <w:rPr>
                <w:rFonts w:eastAsia="黑体"/>
                <w:b/>
                <w:kern w:val="0"/>
                <w:sz w:val="20"/>
              </w:rPr>
              <w:t>被抽样</w:t>
            </w:r>
            <w:r>
              <w:rPr>
                <w:rFonts w:hint="eastAsia" w:eastAsia="黑体"/>
                <w:b/>
                <w:kern w:val="0"/>
                <w:sz w:val="20"/>
              </w:rPr>
              <w:t>销售者</w:t>
            </w:r>
          </w:p>
        </w:tc>
        <w:tc>
          <w:tcPr>
            <w:tcW w:w="16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黑体"/>
                <w:b/>
                <w:sz w:val="20"/>
              </w:rPr>
            </w:pPr>
            <w:r>
              <w:rPr>
                <w:rFonts w:hint="eastAsia" w:ascii="黑体" w:hAnsi="黑体" w:eastAsia="黑体" w:cs="黑体"/>
                <w:b/>
                <w:bCs/>
                <w:kern w:val="0"/>
                <w:sz w:val="20"/>
              </w:rPr>
              <w:t>标称生产者</w:t>
            </w:r>
          </w:p>
        </w:tc>
        <w:tc>
          <w:tcPr>
            <w:tcW w:w="18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黑体"/>
                <w:b/>
                <w:sz w:val="20"/>
              </w:rPr>
            </w:pPr>
            <w:r>
              <w:rPr>
                <w:rFonts w:eastAsia="黑体"/>
                <w:b/>
                <w:kern w:val="0"/>
                <w:sz w:val="20"/>
              </w:rPr>
              <w:t>产品名称</w:t>
            </w:r>
          </w:p>
        </w:tc>
        <w:tc>
          <w:tcPr>
            <w:tcW w:w="145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黑体"/>
                <w:b/>
                <w:sz w:val="20"/>
              </w:rPr>
            </w:pPr>
            <w:r>
              <w:rPr>
                <w:rFonts w:eastAsia="黑体"/>
                <w:b/>
                <w:kern w:val="0"/>
                <w:sz w:val="20"/>
              </w:rPr>
              <w:t>商标</w:t>
            </w:r>
          </w:p>
        </w:tc>
        <w:tc>
          <w:tcPr>
            <w:tcW w:w="177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黑体"/>
                <w:b/>
                <w:sz w:val="20"/>
              </w:rPr>
            </w:pPr>
            <w:r>
              <w:rPr>
                <w:rFonts w:eastAsia="黑体"/>
                <w:b/>
                <w:kern w:val="0"/>
                <w:sz w:val="20"/>
              </w:rPr>
              <w:t>规格型号</w:t>
            </w:r>
          </w:p>
        </w:tc>
        <w:tc>
          <w:tcPr>
            <w:tcW w:w="18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黑体"/>
                <w:b/>
                <w:sz w:val="20"/>
              </w:rPr>
            </w:pPr>
            <w:r>
              <w:rPr>
                <w:rFonts w:eastAsia="黑体"/>
                <w:b/>
                <w:kern w:val="0"/>
                <w:sz w:val="20"/>
              </w:rPr>
              <w:t>生产日期</w:t>
            </w:r>
            <w:r>
              <w:rPr>
                <w:rFonts w:eastAsia="黑体"/>
                <w:b/>
                <w:kern w:val="0"/>
                <w:sz w:val="20"/>
                <w:lang w:eastAsia="en-US"/>
              </w:rPr>
              <w:t>/</w:t>
            </w:r>
            <w:r>
              <w:rPr>
                <w:rStyle w:val="13"/>
                <w:rFonts w:hint="default" w:ascii="Times New Roman" w:hAnsi="Times New Roman" w:eastAsia="黑体" w:cs="Times New Roman"/>
                <w:b/>
                <w:color w:val="auto"/>
              </w:rPr>
              <w:t>批号</w:t>
            </w:r>
          </w:p>
        </w:tc>
        <w:tc>
          <w:tcPr>
            <w:tcW w:w="179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黑体"/>
                <w:b/>
                <w:sz w:val="20"/>
              </w:rPr>
            </w:pPr>
            <w:r>
              <w:rPr>
                <w:rFonts w:eastAsia="黑体"/>
                <w:b/>
                <w:kern w:val="0"/>
                <w:sz w:val="20"/>
              </w:rPr>
              <w:t>不符合项</w:t>
            </w:r>
          </w:p>
        </w:tc>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eastAsia="黑体"/>
                <w:b/>
                <w:kern w:val="0"/>
                <w:sz w:val="20"/>
                <w:lang w:val="en-US" w:eastAsia="zh-CN"/>
              </w:rPr>
            </w:pPr>
            <w:r>
              <w:rPr>
                <w:rFonts w:hint="eastAsia" w:eastAsia="黑体"/>
                <w:b/>
                <w:kern w:val="0"/>
                <w:sz w:val="20"/>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3" w:hRule="atLeast"/>
          <w:jc w:val="center"/>
        </w:trPr>
        <w:tc>
          <w:tcPr>
            <w:tcW w:w="440"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sz w:val="18"/>
                <w:szCs w:val="18"/>
              </w:rPr>
            </w:pPr>
            <w:r>
              <w:rPr>
                <w:kern w:val="0"/>
                <w:sz w:val="18"/>
                <w:szCs w:val="18"/>
              </w:rPr>
              <w:t>1</w:t>
            </w:r>
          </w:p>
        </w:tc>
        <w:tc>
          <w:tcPr>
            <w:tcW w:w="1328" w:type="dxa"/>
            <w:tcBorders>
              <w:top w:val="single" w:color="000000" w:sz="4" w:space="0"/>
              <w:bottom w:val="single" w:color="000000" w:sz="4" w:space="0"/>
              <w:right w:val="single" w:color="000000" w:sz="4" w:space="0"/>
            </w:tcBorders>
            <w:vAlign w:val="center"/>
          </w:tcPr>
          <w:p>
            <w:pPr>
              <w:widowControl/>
              <w:jc w:val="center"/>
              <w:rPr>
                <w:color w:val="000000"/>
                <w:kern w:val="0"/>
                <w:sz w:val="18"/>
                <w:szCs w:val="18"/>
              </w:rPr>
            </w:pPr>
            <w:r>
              <w:rPr>
                <w:rFonts w:hint="eastAsia"/>
                <w:color w:val="000000"/>
                <w:sz w:val="18"/>
                <w:szCs w:val="18"/>
              </w:rPr>
              <w:t>北京家悦通建材商店</w:t>
            </w:r>
          </w:p>
        </w:tc>
        <w:tc>
          <w:tcPr>
            <w:tcW w:w="1627" w:type="dxa"/>
            <w:tcBorders>
              <w:top w:val="single" w:color="000000" w:sz="4" w:space="0"/>
              <w:left w:val="single" w:color="000000" w:sz="4" w:space="0"/>
              <w:bottom w:val="single" w:color="000000" w:sz="4" w:space="0"/>
              <w:right w:val="single" w:color="000000" w:sz="4" w:space="0"/>
            </w:tcBorders>
            <w:vAlign w:val="center"/>
          </w:tcPr>
          <w:p>
            <w:pPr>
              <w:widowControl/>
              <w:jc w:val="center"/>
              <w:rPr>
                <w:color w:val="000000"/>
                <w:kern w:val="0"/>
                <w:sz w:val="18"/>
                <w:szCs w:val="18"/>
              </w:rPr>
            </w:pPr>
            <w:r>
              <w:rPr>
                <w:rFonts w:hint="eastAsia"/>
                <w:color w:val="000000"/>
                <w:sz w:val="18"/>
                <w:szCs w:val="18"/>
              </w:rPr>
              <w:t>山东乐化漆业股份有限公司</w:t>
            </w:r>
          </w:p>
        </w:tc>
        <w:tc>
          <w:tcPr>
            <w:tcW w:w="1800" w:type="dxa"/>
            <w:tcBorders>
              <w:top w:val="single" w:color="000000" w:sz="4" w:space="0"/>
              <w:bottom w:val="single" w:color="000000" w:sz="4" w:space="0"/>
              <w:right w:val="single" w:color="000000" w:sz="4" w:space="0"/>
            </w:tcBorders>
            <w:vAlign w:val="center"/>
          </w:tcPr>
          <w:p>
            <w:pPr>
              <w:widowControl/>
              <w:jc w:val="center"/>
              <w:rPr>
                <w:color w:val="000000"/>
                <w:kern w:val="0"/>
                <w:sz w:val="18"/>
                <w:szCs w:val="18"/>
              </w:rPr>
            </w:pPr>
            <w:r>
              <w:rPr>
                <w:rFonts w:hint="eastAsia"/>
                <w:color w:val="000000"/>
                <w:sz w:val="18"/>
                <w:szCs w:val="18"/>
              </w:rPr>
              <w:t>乐化牌磁漆（醇酸清漆）</w:t>
            </w:r>
          </w:p>
        </w:tc>
        <w:tc>
          <w:tcPr>
            <w:tcW w:w="145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乐化牌（图形)</w:t>
            </w:r>
          </w:p>
        </w:tc>
        <w:tc>
          <w:tcPr>
            <w:tcW w:w="1774"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1.8kg/桶</w:t>
            </w:r>
          </w:p>
        </w:tc>
        <w:tc>
          <w:tcPr>
            <w:tcW w:w="184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620240528/0518</w:t>
            </w:r>
          </w:p>
        </w:tc>
        <w:tc>
          <w:tcPr>
            <w:tcW w:w="179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包装标志</w:t>
            </w:r>
          </w:p>
        </w:tc>
        <w:tc>
          <w:tcPr>
            <w:tcW w:w="86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3" w:hRule="atLeast"/>
          <w:jc w:val="center"/>
        </w:trPr>
        <w:tc>
          <w:tcPr>
            <w:tcW w:w="440"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kern w:val="0"/>
                <w:sz w:val="18"/>
                <w:szCs w:val="18"/>
              </w:rPr>
            </w:pPr>
            <w:r>
              <w:rPr>
                <w:kern w:val="0"/>
                <w:sz w:val="18"/>
                <w:szCs w:val="18"/>
              </w:rPr>
              <w:t>2</w:t>
            </w:r>
          </w:p>
        </w:tc>
        <w:tc>
          <w:tcPr>
            <w:tcW w:w="1328" w:type="dxa"/>
            <w:tcBorders>
              <w:top w:val="single" w:color="000000" w:sz="4" w:space="0"/>
              <w:bottom w:val="single" w:color="000000" w:sz="4" w:space="0"/>
              <w:right w:val="single" w:color="000000" w:sz="4" w:space="0"/>
            </w:tcBorders>
            <w:vAlign w:val="center"/>
          </w:tcPr>
          <w:p>
            <w:pPr>
              <w:jc w:val="center"/>
              <w:rPr>
                <w:rFonts w:hint="eastAsia"/>
                <w:color w:val="000000"/>
                <w:sz w:val="18"/>
                <w:szCs w:val="18"/>
              </w:rPr>
            </w:pPr>
            <w:r>
              <w:rPr>
                <w:rFonts w:hint="eastAsia"/>
                <w:color w:val="000000"/>
                <w:sz w:val="18"/>
                <w:szCs w:val="18"/>
              </w:rPr>
              <w:t>北京家悦通建材商店</w:t>
            </w:r>
          </w:p>
        </w:tc>
        <w:tc>
          <w:tcPr>
            <w:tcW w:w="162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color w:val="000000"/>
                <w:sz w:val="18"/>
                <w:szCs w:val="18"/>
              </w:rPr>
            </w:pPr>
            <w:r>
              <w:rPr>
                <w:rFonts w:hint="eastAsia"/>
                <w:color w:val="000000"/>
                <w:sz w:val="18"/>
                <w:szCs w:val="18"/>
              </w:rPr>
              <w:t>山东乐化漆业股份有限公司</w:t>
            </w:r>
          </w:p>
        </w:tc>
        <w:tc>
          <w:tcPr>
            <w:tcW w:w="1800" w:type="dxa"/>
            <w:tcBorders>
              <w:top w:val="single" w:color="000000" w:sz="4" w:space="0"/>
              <w:bottom w:val="single" w:color="000000" w:sz="4" w:space="0"/>
              <w:right w:val="single" w:color="000000" w:sz="4" w:space="0"/>
            </w:tcBorders>
            <w:vAlign w:val="center"/>
          </w:tcPr>
          <w:p>
            <w:pPr>
              <w:jc w:val="center"/>
              <w:rPr>
                <w:rFonts w:hint="eastAsia"/>
                <w:color w:val="000000"/>
                <w:sz w:val="18"/>
                <w:szCs w:val="18"/>
              </w:rPr>
            </w:pPr>
            <w:r>
              <w:rPr>
                <w:rFonts w:hint="eastAsia"/>
                <w:color w:val="000000"/>
                <w:sz w:val="18"/>
                <w:szCs w:val="18"/>
              </w:rPr>
              <w:t>乐化牌调和漆（中黄醇酸调和漆）</w:t>
            </w:r>
          </w:p>
        </w:tc>
        <w:tc>
          <w:tcPr>
            <w:tcW w:w="145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color w:val="000000"/>
                <w:sz w:val="18"/>
                <w:szCs w:val="18"/>
              </w:rPr>
            </w:pPr>
            <w:r>
              <w:rPr>
                <w:rFonts w:hint="eastAsia"/>
                <w:color w:val="000000"/>
                <w:sz w:val="18"/>
                <w:szCs w:val="18"/>
              </w:rPr>
              <w:t>乐化牌（图形)</w:t>
            </w:r>
          </w:p>
        </w:tc>
        <w:tc>
          <w:tcPr>
            <w:tcW w:w="177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color w:val="000000"/>
                <w:sz w:val="18"/>
                <w:szCs w:val="18"/>
              </w:rPr>
            </w:pPr>
            <w:r>
              <w:rPr>
                <w:rFonts w:hint="eastAsia"/>
                <w:color w:val="000000"/>
                <w:sz w:val="18"/>
                <w:szCs w:val="18"/>
              </w:rPr>
              <w:t>2kg/桶</w:t>
            </w:r>
          </w:p>
        </w:tc>
        <w:tc>
          <w:tcPr>
            <w:tcW w:w="184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color w:val="000000"/>
                <w:sz w:val="18"/>
                <w:szCs w:val="18"/>
              </w:rPr>
            </w:pPr>
            <w:r>
              <w:rPr>
                <w:rFonts w:hint="eastAsia"/>
                <w:color w:val="000000"/>
                <w:sz w:val="18"/>
                <w:szCs w:val="18"/>
              </w:rPr>
              <w:t>20240622/0807</w:t>
            </w:r>
          </w:p>
        </w:tc>
        <w:tc>
          <w:tcPr>
            <w:tcW w:w="179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color w:val="000000"/>
                <w:sz w:val="18"/>
                <w:szCs w:val="18"/>
              </w:rPr>
            </w:pPr>
            <w:r>
              <w:rPr>
                <w:rFonts w:hint="eastAsia"/>
                <w:color w:val="000000"/>
                <w:sz w:val="18"/>
                <w:szCs w:val="18"/>
              </w:rPr>
              <w:t>重金属含量（铅）、包装标志</w:t>
            </w:r>
          </w:p>
        </w:tc>
        <w:tc>
          <w:tcPr>
            <w:tcW w:w="86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eastAsia="宋体"/>
                <w:color w:val="000000"/>
                <w:sz w:val="18"/>
                <w:szCs w:val="18"/>
                <w:lang w:val="en-US" w:eastAsia="zh-CN"/>
              </w:rPr>
            </w:pPr>
            <w:r>
              <w:rPr>
                <w:rFonts w:hint="eastAsia" w:ascii="Times New Roman" w:hAnsi="Times New Roman" w:cs="Times New Roman"/>
                <w:color w:val="000000"/>
                <w:sz w:val="18"/>
                <w:szCs w:val="18"/>
                <w:lang w:val="en-US" w:eastAsia="zh-CN"/>
              </w:rPr>
              <w:t>生产企业声称假冒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3" w:hRule="atLeast"/>
          <w:jc w:val="center"/>
        </w:trPr>
        <w:tc>
          <w:tcPr>
            <w:tcW w:w="440"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ascii="Times New Roman" w:hAnsi="Times New Roman" w:eastAsia="宋体" w:cs="Times New Roman"/>
                <w:kern w:val="2"/>
                <w:sz w:val="18"/>
                <w:szCs w:val="18"/>
                <w:lang w:val="en-US" w:eastAsia="zh-CN" w:bidi="ar-SA"/>
              </w:rPr>
            </w:pPr>
            <w:r>
              <w:rPr>
                <w:kern w:val="0"/>
                <w:sz w:val="18"/>
                <w:szCs w:val="18"/>
              </w:rPr>
              <w:t>3</w:t>
            </w:r>
          </w:p>
        </w:tc>
        <w:tc>
          <w:tcPr>
            <w:tcW w:w="1328" w:type="dxa"/>
            <w:tcBorders>
              <w:top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北京家悦通建材商店</w:t>
            </w:r>
          </w:p>
        </w:tc>
        <w:tc>
          <w:tcPr>
            <w:tcW w:w="162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山东乐化漆业股份有限公司</w:t>
            </w:r>
          </w:p>
        </w:tc>
        <w:tc>
          <w:tcPr>
            <w:tcW w:w="1800" w:type="dxa"/>
            <w:tcBorders>
              <w:top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乐化牌防锈漆（中灰醇酸防锈漆）</w:t>
            </w:r>
          </w:p>
        </w:tc>
        <w:tc>
          <w:tcPr>
            <w:tcW w:w="145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乐化牌（图形)</w:t>
            </w:r>
          </w:p>
        </w:tc>
        <w:tc>
          <w:tcPr>
            <w:tcW w:w="1774"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2kg/桶</w:t>
            </w:r>
          </w:p>
        </w:tc>
        <w:tc>
          <w:tcPr>
            <w:tcW w:w="184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20240709/20240706/0711/0908</w:t>
            </w:r>
          </w:p>
        </w:tc>
        <w:tc>
          <w:tcPr>
            <w:tcW w:w="179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包装标志</w:t>
            </w:r>
          </w:p>
        </w:tc>
        <w:tc>
          <w:tcPr>
            <w:tcW w:w="86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3" w:hRule="atLeast"/>
          <w:jc w:val="center"/>
        </w:trPr>
        <w:tc>
          <w:tcPr>
            <w:tcW w:w="440"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ascii="Times New Roman" w:hAnsi="Times New Roman" w:eastAsia="宋体" w:cs="Times New Roman"/>
                <w:kern w:val="0"/>
                <w:sz w:val="18"/>
                <w:szCs w:val="18"/>
                <w:lang w:val="en-US" w:eastAsia="zh-CN" w:bidi="ar-SA"/>
              </w:rPr>
            </w:pPr>
            <w:r>
              <w:rPr>
                <w:kern w:val="0"/>
                <w:sz w:val="18"/>
                <w:szCs w:val="18"/>
              </w:rPr>
              <w:t>4</w:t>
            </w:r>
          </w:p>
        </w:tc>
        <w:tc>
          <w:tcPr>
            <w:tcW w:w="1328" w:type="dxa"/>
            <w:tcBorders>
              <w:top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北京镔阳光泰商贸有限公司</w:t>
            </w:r>
          </w:p>
        </w:tc>
        <w:tc>
          <w:tcPr>
            <w:tcW w:w="162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18"/>
                <w:szCs w:val="18"/>
              </w:rPr>
            </w:pPr>
            <w:r>
              <w:rPr>
                <w:rFonts w:hint="eastAsia"/>
                <w:sz w:val="18"/>
                <w:szCs w:val="18"/>
              </w:rPr>
              <w:t>天津市德邦涂料有限公司</w:t>
            </w:r>
          </w:p>
        </w:tc>
        <w:tc>
          <w:tcPr>
            <w:tcW w:w="1800" w:type="dxa"/>
            <w:tcBorders>
              <w:top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醇酸防锈漆</w:t>
            </w:r>
          </w:p>
        </w:tc>
        <w:tc>
          <w:tcPr>
            <w:tcW w:w="145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站兴ZHANXING</w:t>
            </w:r>
          </w:p>
        </w:tc>
        <w:tc>
          <w:tcPr>
            <w:tcW w:w="1774"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中灰 2500g/桶</w:t>
            </w:r>
          </w:p>
        </w:tc>
        <w:tc>
          <w:tcPr>
            <w:tcW w:w="184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20240407/20240407</w:t>
            </w:r>
          </w:p>
        </w:tc>
        <w:tc>
          <w:tcPr>
            <w:tcW w:w="179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多环芳烃总和含量（限萘、蒽）、包装标志</w:t>
            </w:r>
          </w:p>
        </w:tc>
        <w:tc>
          <w:tcPr>
            <w:tcW w:w="86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3" w:hRule="atLeast"/>
          <w:jc w:val="center"/>
        </w:trPr>
        <w:tc>
          <w:tcPr>
            <w:tcW w:w="440"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ascii="Times New Roman" w:hAnsi="Times New Roman" w:eastAsia="宋体" w:cs="Times New Roman"/>
                <w:kern w:val="0"/>
                <w:sz w:val="18"/>
                <w:szCs w:val="18"/>
                <w:lang w:val="en-US" w:eastAsia="zh-CN" w:bidi="ar-SA"/>
              </w:rPr>
            </w:pPr>
            <w:r>
              <w:rPr>
                <w:kern w:val="0"/>
                <w:sz w:val="18"/>
                <w:szCs w:val="18"/>
              </w:rPr>
              <w:t>5</w:t>
            </w:r>
          </w:p>
        </w:tc>
        <w:tc>
          <w:tcPr>
            <w:tcW w:w="1328" w:type="dxa"/>
            <w:tcBorders>
              <w:top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北京镔阳光泰商贸有限公司</w:t>
            </w:r>
          </w:p>
        </w:tc>
        <w:tc>
          <w:tcPr>
            <w:tcW w:w="1627" w:type="dxa"/>
            <w:tcBorders>
              <w:top w:val="single" w:color="000000" w:sz="4" w:space="0"/>
              <w:left w:val="single" w:color="000000" w:sz="4" w:space="0"/>
              <w:bottom w:val="single" w:color="000000" w:sz="4" w:space="0"/>
              <w:right w:val="single" w:color="000000" w:sz="4" w:space="0"/>
            </w:tcBorders>
            <w:vAlign w:val="center"/>
          </w:tcPr>
          <w:p>
            <w:pPr>
              <w:jc w:val="center"/>
              <w:rPr>
                <w:sz w:val="18"/>
                <w:szCs w:val="18"/>
              </w:rPr>
            </w:pPr>
            <w:r>
              <w:rPr>
                <w:rFonts w:hint="eastAsia"/>
                <w:sz w:val="18"/>
                <w:szCs w:val="18"/>
              </w:rPr>
              <w:t>天津市德邦涂料有限公司</w:t>
            </w:r>
          </w:p>
        </w:tc>
        <w:tc>
          <w:tcPr>
            <w:tcW w:w="1800" w:type="dxa"/>
            <w:tcBorders>
              <w:top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醇酸面漆</w:t>
            </w:r>
          </w:p>
        </w:tc>
        <w:tc>
          <w:tcPr>
            <w:tcW w:w="145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站兴ZHANXING</w:t>
            </w:r>
          </w:p>
        </w:tc>
        <w:tc>
          <w:tcPr>
            <w:tcW w:w="1774"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白  2500g/桶</w:t>
            </w:r>
          </w:p>
        </w:tc>
        <w:tc>
          <w:tcPr>
            <w:tcW w:w="184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20240306/20240306</w:t>
            </w:r>
          </w:p>
        </w:tc>
        <w:tc>
          <w:tcPr>
            <w:tcW w:w="179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多环芳烃总和含量（限萘、蒽）、包装标志</w:t>
            </w:r>
          </w:p>
        </w:tc>
        <w:tc>
          <w:tcPr>
            <w:tcW w:w="86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3" w:hRule="atLeast"/>
          <w:jc w:val="center"/>
        </w:trPr>
        <w:tc>
          <w:tcPr>
            <w:tcW w:w="440"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ascii="Times New Roman" w:hAnsi="Times New Roman" w:eastAsia="宋体" w:cs="Times New Roman"/>
                <w:kern w:val="0"/>
                <w:sz w:val="18"/>
                <w:szCs w:val="18"/>
                <w:lang w:val="en-US" w:eastAsia="zh-CN" w:bidi="ar-SA"/>
              </w:rPr>
            </w:pPr>
            <w:r>
              <w:rPr>
                <w:kern w:val="0"/>
                <w:sz w:val="18"/>
                <w:szCs w:val="18"/>
              </w:rPr>
              <w:t>6</w:t>
            </w:r>
          </w:p>
        </w:tc>
        <w:tc>
          <w:tcPr>
            <w:tcW w:w="1328" w:type="dxa"/>
            <w:tcBorders>
              <w:top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北京奥北漆彩工贸有限公司</w:t>
            </w:r>
          </w:p>
        </w:tc>
        <w:tc>
          <w:tcPr>
            <w:tcW w:w="1627" w:type="dxa"/>
            <w:tcBorders>
              <w:top w:val="single" w:color="000000" w:sz="4" w:space="0"/>
              <w:left w:val="single" w:color="000000" w:sz="4" w:space="0"/>
              <w:bottom w:val="single" w:color="000000" w:sz="4" w:space="0"/>
              <w:right w:val="single" w:color="000000" w:sz="4" w:space="0"/>
            </w:tcBorders>
            <w:vAlign w:val="center"/>
          </w:tcPr>
          <w:p>
            <w:pPr>
              <w:jc w:val="center"/>
              <w:rPr>
                <w:sz w:val="18"/>
                <w:szCs w:val="18"/>
              </w:rPr>
            </w:pPr>
            <w:r>
              <w:rPr>
                <w:rFonts w:hint="eastAsia"/>
                <w:color w:val="000000"/>
                <w:sz w:val="18"/>
                <w:szCs w:val="18"/>
              </w:rPr>
              <w:t>山东奔腾漆业股份有限公司</w:t>
            </w:r>
          </w:p>
        </w:tc>
        <w:tc>
          <w:tcPr>
            <w:tcW w:w="1800" w:type="dxa"/>
            <w:tcBorders>
              <w:top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奔腾牌安全型环保黑快干涂料（醇酸涂料）</w:t>
            </w:r>
          </w:p>
        </w:tc>
        <w:tc>
          <w:tcPr>
            <w:tcW w:w="145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奔腾</w:t>
            </w:r>
          </w:p>
        </w:tc>
        <w:tc>
          <w:tcPr>
            <w:tcW w:w="1774"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600g/桶 黑色</w:t>
            </w:r>
          </w:p>
        </w:tc>
        <w:tc>
          <w:tcPr>
            <w:tcW w:w="184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18"/>
                <w:szCs w:val="18"/>
              </w:rPr>
            </w:pPr>
            <w:r>
              <w:rPr>
                <w:color w:val="000000"/>
                <w:sz w:val="18"/>
                <w:szCs w:val="18"/>
              </w:rPr>
              <w:t>2024-02-28/PT240227</w:t>
            </w:r>
            <w:r>
              <w:rPr>
                <w:rFonts w:hint="eastAsia"/>
                <w:color w:val="000000"/>
                <w:sz w:val="18"/>
                <w:szCs w:val="18"/>
              </w:rPr>
              <w:t>（</w:t>
            </w:r>
            <w:r>
              <w:rPr>
                <w:color w:val="000000"/>
                <w:sz w:val="18"/>
                <w:szCs w:val="18"/>
              </w:rPr>
              <w:t>1</w:t>
            </w:r>
            <w:r>
              <w:rPr>
                <w:rFonts w:hint="eastAsia"/>
                <w:color w:val="000000"/>
                <w:sz w:val="18"/>
                <w:szCs w:val="18"/>
              </w:rPr>
              <w:t>）</w:t>
            </w:r>
          </w:p>
        </w:tc>
        <w:tc>
          <w:tcPr>
            <w:tcW w:w="179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包装标志</w:t>
            </w:r>
          </w:p>
        </w:tc>
        <w:tc>
          <w:tcPr>
            <w:tcW w:w="86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3" w:hRule="atLeast"/>
          <w:jc w:val="center"/>
        </w:trPr>
        <w:tc>
          <w:tcPr>
            <w:tcW w:w="440"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ascii="Times New Roman" w:hAnsi="Times New Roman" w:eastAsia="宋体" w:cs="Times New Roman"/>
                <w:kern w:val="0"/>
                <w:sz w:val="18"/>
                <w:szCs w:val="18"/>
                <w:lang w:val="en-US" w:eastAsia="zh-CN" w:bidi="ar-SA"/>
              </w:rPr>
            </w:pPr>
            <w:r>
              <w:rPr>
                <w:kern w:val="0"/>
                <w:sz w:val="18"/>
                <w:szCs w:val="18"/>
              </w:rPr>
              <w:t>7</w:t>
            </w:r>
          </w:p>
        </w:tc>
        <w:tc>
          <w:tcPr>
            <w:tcW w:w="1328" w:type="dxa"/>
            <w:tcBorders>
              <w:top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北京奥北漆彩工贸有限公司</w:t>
            </w:r>
          </w:p>
        </w:tc>
        <w:tc>
          <w:tcPr>
            <w:tcW w:w="162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山东奔腾漆业股份有限公司</w:t>
            </w:r>
          </w:p>
        </w:tc>
        <w:tc>
          <w:tcPr>
            <w:tcW w:w="1800" w:type="dxa"/>
            <w:tcBorders>
              <w:top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松虎牌醇酸调和漆（N）</w:t>
            </w:r>
          </w:p>
        </w:tc>
        <w:tc>
          <w:tcPr>
            <w:tcW w:w="145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奔腾 松虎</w:t>
            </w:r>
          </w:p>
        </w:tc>
        <w:tc>
          <w:tcPr>
            <w:tcW w:w="1774"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15kg/桶  白</w:t>
            </w:r>
          </w:p>
        </w:tc>
        <w:tc>
          <w:tcPr>
            <w:tcW w:w="184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18"/>
                <w:szCs w:val="18"/>
              </w:rPr>
            </w:pPr>
            <w:r>
              <w:rPr>
                <w:color w:val="000000"/>
                <w:sz w:val="18"/>
                <w:szCs w:val="18"/>
              </w:rPr>
              <w:t>2024-04-26/24042432</w:t>
            </w:r>
            <w:r>
              <w:rPr>
                <w:rFonts w:hint="eastAsia"/>
                <w:color w:val="000000"/>
                <w:sz w:val="18"/>
                <w:szCs w:val="18"/>
              </w:rPr>
              <w:t>（</w:t>
            </w:r>
            <w:r>
              <w:rPr>
                <w:color w:val="000000"/>
                <w:sz w:val="18"/>
                <w:szCs w:val="18"/>
              </w:rPr>
              <w:t>2</w:t>
            </w:r>
            <w:r>
              <w:rPr>
                <w:rFonts w:hint="eastAsia"/>
                <w:color w:val="000000"/>
                <w:sz w:val="18"/>
                <w:szCs w:val="18"/>
              </w:rPr>
              <w:t>）</w:t>
            </w:r>
          </w:p>
        </w:tc>
        <w:tc>
          <w:tcPr>
            <w:tcW w:w="179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包装标志</w:t>
            </w:r>
          </w:p>
        </w:tc>
        <w:tc>
          <w:tcPr>
            <w:tcW w:w="86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3" w:hRule="atLeast"/>
          <w:jc w:val="center"/>
        </w:trPr>
        <w:tc>
          <w:tcPr>
            <w:tcW w:w="440"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ascii="Times New Roman" w:hAnsi="Times New Roman" w:eastAsia="宋体" w:cs="Times New Roman"/>
                <w:kern w:val="0"/>
                <w:sz w:val="18"/>
                <w:szCs w:val="18"/>
                <w:lang w:val="en-US" w:eastAsia="zh-CN" w:bidi="ar-SA"/>
              </w:rPr>
            </w:pPr>
            <w:r>
              <w:rPr>
                <w:kern w:val="0"/>
                <w:sz w:val="18"/>
                <w:szCs w:val="18"/>
              </w:rPr>
              <w:t>8</w:t>
            </w:r>
          </w:p>
        </w:tc>
        <w:tc>
          <w:tcPr>
            <w:tcW w:w="1328" w:type="dxa"/>
            <w:tcBorders>
              <w:top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北京奥北漆彩工贸有限公司</w:t>
            </w:r>
          </w:p>
        </w:tc>
        <w:tc>
          <w:tcPr>
            <w:tcW w:w="162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山东奔腾漆业股份有限公司</w:t>
            </w:r>
          </w:p>
        </w:tc>
        <w:tc>
          <w:tcPr>
            <w:tcW w:w="1800" w:type="dxa"/>
            <w:tcBorders>
              <w:top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奔腾牌水性丙烯酸面漆</w:t>
            </w:r>
          </w:p>
        </w:tc>
        <w:tc>
          <w:tcPr>
            <w:tcW w:w="145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奔腾</w:t>
            </w:r>
          </w:p>
        </w:tc>
        <w:tc>
          <w:tcPr>
            <w:tcW w:w="1774"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18"/>
                <w:szCs w:val="18"/>
              </w:rPr>
            </w:pPr>
            <w:r>
              <w:rPr>
                <w:color w:val="000000"/>
                <w:sz w:val="18"/>
                <w:szCs w:val="18"/>
              </w:rPr>
              <w:t>15kg/</w:t>
            </w:r>
            <w:r>
              <w:rPr>
                <w:rFonts w:hint="eastAsia"/>
                <w:color w:val="000000"/>
                <w:sz w:val="18"/>
                <w:szCs w:val="18"/>
              </w:rPr>
              <w:t>桶</w:t>
            </w:r>
            <w:r>
              <w:rPr>
                <w:color w:val="000000"/>
                <w:sz w:val="18"/>
                <w:szCs w:val="18"/>
              </w:rPr>
              <w:t xml:space="preserve"> </w:t>
            </w:r>
            <w:r>
              <w:rPr>
                <w:rFonts w:hint="eastAsia"/>
                <w:color w:val="000000"/>
                <w:sz w:val="18"/>
                <w:szCs w:val="18"/>
              </w:rPr>
              <w:t>白</w:t>
            </w:r>
          </w:p>
        </w:tc>
        <w:tc>
          <w:tcPr>
            <w:tcW w:w="184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18"/>
                <w:szCs w:val="18"/>
              </w:rPr>
            </w:pPr>
            <w:r>
              <w:rPr>
                <w:color w:val="000000"/>
                <w:sz w:val="18"/>
                <w:szCs w:val="18"/>
              </w:rPr>
              <w:t>2023-11-21/23112021</w:t>
            </w:r>
            <w:r>
              <w:rPr>
                <w:rFonts w:hint="eastAsia"/>
                <w:color w:val="000000"/>
                <w:sz w:val="18"/>
                <w:szCs w:val="18"/>
              </w:rPr>
              <w:t>（</w:t>
            </w:r>
            <w:r>
              <w:rPr>
                <w:color w:val="000000"/>
                <w:sz w:val="18"/>
                <w:szCs w:val="18"/>
              </w:rPr>
              <w:t>5</w:t>
            </w:r>
            <w:r>
              <w:rPr>
                <w:rFonts w:hint="eastAsia"/>
                <w:color w:val="000000"/>
                <w:sz w:val="18"/>
                <w:szCs w:val="18"/>
              </w:rPr>
              <w:t>）</w:t>
            </w:r>
          </w:p>
        </w:tc>
        <w:tc>
          <w:tcPr>
            <w:tcW w:w="179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包装标志</w:t>
            </w:r>
          </w:p>
        </w:tc>
        <w:tc>
          <w:tcPr>
            <w:tcW w:w="86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5" w:hRule="atLeast"/>
          <w:jc w:val="center"/>
        </w:trPr>
        <w:tc>
          <w:tcPr>
            <w:tcW w:w="440"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ascii="Times New Roman" w:hAnsi="Times New Roman" w:eastAsia="宋体" w:cs="Times New Roman"/>
                <w:kern w:val="0"/>
                <w:sz w:val="18"/>
                <w:szCs w:val="18"/>
                <w:lang w:val="en-US" w:eastAsia="zh-CN" w:bidi="ar-SA"/>
              </w:rPr>
            </w:pPr>
            <w:r>
              <w:rPr>
                <w:kern w:val="0"/>
                <w:sz w:val="18"/>
                <w:szCs w:val="18"/>
              </w:rPr>
              <w:t>9</w:t>
            </w:r>
          </w:p>
        </w:tc>
        <w:tc>
          <w:tcPr>
            <w:tcW w:w="1328" w:type="dxa"/>
            <w:tcBorders>
              <w:top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北京君兴盛商店</w:t>
            </w:r>
          </w:p>
        </w:tc>
        <w:tc>
          <w:tcPr>
            <w:tcW w:w="162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盛世铂川（北京）科技发展有限公司</w:t>
            </w:r>
          </w:p>
        </w:tc>
        <w:tc>
          <w:tcPr>
            <w:tcW w:w="1800" w:type="dxa"/>
            <w:tcBorders>
              <w:top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净味多功能水性漆（多功能水漆）</w:t>
            </w:r>
          </w:p>
        </w:tc>
        <w:tc>
          <w:tcPr>
            <w:tcW w:w="145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盈万家</w:t>
            </w:r>
          </w:p>
        </w:tc>
        <w:tc>
          <w:tcPr>
            <w:tcW w:w="1774"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3KG/桶 底面防锈中灰 Ⅱ型</w:t>
            </w:r>
          </w:p>
        </w:tc>
        <w:tc>
          <w:tcPr>
            <w:tcW w:w="184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20240108/202311091</w:t>
            </w:r>
          </w:p>
        </w:tc>
        <w:tc>
          <w:tcPr>
            <w:tcW w:w="179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重金属含量（铅）、包装标志</w:t>
            </w:r>
          </w:p>
        </w:tc>
        <w:tc>
          <w:tcPr>
            <w:tcW w:w="86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3" w:hRule="atLeast"/>
          <w:jc w:val="center"/>
        </w:trPr>
        <w:tc>
          <w:tcPr>
            <w:tcW w:w="440"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ascii="Times New Roman" w:hAnsi="Times New Roman" w:eastAsia="宋体" w:cs="Times New Roman"/>
                <w:kern w:val="0"/>
                <w:sz w:val="18"/>
                <w:szCs w:val="18"/>
                <w:lang w:val="en-US" w:eastAsia="zh-CN" w:bidi="ar-SA"/>
              </w:rPr>
            </w:pPr>
            <w:r>
              <w:rPr>
                <w:kern w:val="0"/>
                <w:sz w:val="18"/>
                <w:szCs w:val="18"/>
              </w:rPr>
              <w:t>10</w:t>
            </w:r>
          </w:p>
        </w:tc>
        <w:tc>
          <w:tcPr>
            <w:tcW w:w="1328" w:type="dxa"/>
            <w:tcBorders>
              <w:top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北京华通友邦五金商店</w:t>
            </w:r>
          </w:p>
        </w:tc>
        <w:tc>
          <w:tcPr>
            <w:tcW w:w="162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北京红狮科技发展有限公司</w:t>
            </w:r>
          </w:p>
        </w:tc>
        <w:tc>
          <w:tcPr>
            <w:tcW w:w="1800" w:type="dxa"/>
            <w:tcBorders>
              <w:top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中灰水性结构钢专用漆（北京）</w:t>
            </w:r>
          </w:p>
        </w:tc>
        <w:tc>
          <w:tcPr>
            <w:tcW w:w="145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红狮</w:t>
            </w:r>
          </w:p>
        </w:tc>
        <w:tc>
          <w:tcPr>
            <w:tcW w:w="1774"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18"/>
                <w:szCs w:val="18"/>
              </w:rPr>
            </w:pPr>
            <w:r>
              <w:rPr>
                <w:color w:val="000000"/>
                <w:sz w:val="18"/>
                <w:szCs w:val="18"/>
              </w:rPr>
              <w:t>20kg/</w:t>
            </w:r>
            <w:r>
              <w:rPr>
                <w:rFonts w:hint="eastAsia"/>
                <w:color w:val="000000"/>
                <w:sz w:val="18"/>
                <w:szCs w:val="18"/>
              </w:rPr>
              <w:t>桶</w:t>
            </w:r>
            <w:r>
              <w:rPr>
                <w:color w:val="000000"/>
                <w:sz w:val="18"/>
                <w:szCs w:val="18"/>
              </w:rPr>
              <w:t xml:space="preserve"> SD5001</w:t>
            </w:r>
          </w:p>
        </w:tc>
        <w:tc>
          <w:tcPr>
            <w:tcW w:w="184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20240619/20240619701</w:t>
            </w:r>
          </w:p>
        </w:tc>
        <w:tc>
          <w:tcPr>
            <w:tcW w:w="179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包装标志</w:t>
            </w:r>
          </w:p>
        </w:tc>
        <w:tc>
          <w:tcPr>
            <w:tcW w:w="86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3" w:hRule="atLeast"/>
          <w:jc w:val="center"/>
        </w:trPr>
        <w:tc>
          <w:tcPr>
            <w:tcW w:w="440"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hint="default" w:eastAsia="宋体"/>
                <w:kern w:val="0"/>
                <w:sz w:val="18"/>
                <w:szCs w:val="18"/>
                <w:lang w:val="en-US" w:eastAsia="zh-CN"/>
              </w:rPr>
            </w:pPr>
            <w:r>
              <w:rPr>
                <w:rFonts w:hint="eastAsia"/>
                <w:kern w:val="0"/>
                <w:sz w:val="18"/>
                <w:szCs w:val="18"/>
                <w:lang w:val="en-US" w:eastAsia="zh-CN"/>
              </w:rPr>
              <w:t>11</w:t>
            </w:r>
          </w:p>
        </w:tc>
        <w:tc>
          <w:tcPr>
            <w:tcW w:w="1328" w:type="dxa"/>
            <w:tcBorders>
              <w:top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北京华通友邦五金商店</w:t>
            </w:r>
          </w:p>
        </w:tc>
        <w:tc>
          <w:tcPr>
            <w:tcW w:w="162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惠尔明（福建）化学工业股份有限公司</w:t>
            </w:r>
          </w:p>
        </w:tc>
        <w:tc>
          <w:tcPr>
            <w:tcW w:w="1800" w:type="dxa"/>
            <w:tcBorders>
              <w:top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多功能水性装饰漆</w:t>
            </w:r>
          </w:p>
        </w:tc>
        <w:tc>
          <w:tcPr>
            <w:tcW w:w="145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18"/>
                <w:szCs w:val="18"/>
              </w:rPr>
            </w:pPr>
            <w:r>
              <w:rPr>
                <w:color w:val="000000"/>
                <w:sz w:val="18"/>
                <w:szCs w:val="18"/>
              </w:rPr>
              <w:t xml:space="preserve">HRM </w:t>
            </w:r>
            <w:r>
              <w:rPr>
                <w:rFonts w:hint="eastAsia"/>
                <w:color w:val="000000"/>
                <w:sz w:val="18"/>
                <w:szCs w:val="18"/>
              </w:rPr>
              <w:t>惠尔明</w:t>
            </w:r>
          </w:p>
        </w:tc>
        <w:tc>
          <w:tcPr>
            <w:tcW w:w="1774"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18"/>
                <w:szCs w:val="18"/>
              </w:rPr>
            </w:pPr>
            <w:r>
              <w:rPr>
                <w:color w:val="000000"/>
                <w:sz w:val="18"/>
                <w:szCs w:val="18"/>
              </w:rPr>
              <w:t>HLF-WACT01-FH01  12kg/</w:t>
            </w:r>
            <w:r>
              <w:rPr>
                <w:rFonts w:hint="eastAsia"/>
                <w:color w:val="000000"/>
                <w:sz w:val="18"/>
                <w:szCs w:val="18"/>
              </w:rPr>
              <w:t>桶</w:t>
            </w:r>
            <w:r>
              <w:rPr>
                <w:color w:val="000000"/>
                <w:sz w:val="18"/>
                <w:szCs w:val="18"/>
              </w:rPr>
              <w:t xml:space="preserve">  </w:t>
            </w:r>
            <w:r>
              <w:rPr>
                <w:rFonts w:hint="eastAsia"/>
                <w:color w:val="000000"/>
                <w:sz w:val="18"/>
                <w:szCs w:val="18"/>
              </w:rPr>
              <w:t>白色</w:t>
            </w:r>
          </w:p>
        </w:tc>
        <w:tc>
          <w:tcPr>
            <w:tcW w:w="184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20240509/20240509113</w:t>
            </w:r>
          </w:p>
        </w:tc>
        <w:tc>
          <w:tcPr>
            <w:tcW w:w="179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18"/>
                <w:szCs w:val="18"/>
              </w:rPr>
            </w:pPr>
            <w:r>
              <w:rPr>
                <w:rFonts w:hint="eastAsia"/>
                <w:color w:val="000000"/>
                <w:sz w:val="18"/>
                <w:szCs w:val="18"/>
              </w:rPr>
              <w:t>包装标志</w:t>
            </w:r>
          </w:p>
        </w:tc>
        <w:tc>
          <w:tcPr>
            <w:tcW w:w="86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color w:val="000000"/>
                <w:sz w:val="18"/>
                <w:szCs w:val="18"/>
              </w:rPr>
            </w:pPr>
          </w:p>
        </w:tc>
      </w:tr>
    </w:tbl>
    <w:p>
      <w:pPr>
        <w:adjustRightInd w:val="0"/>
        <w:snapToGrid w:val="0"/>
        <w:spacing w:line="560" w:lineRule="exact"/>
        <w:rPr>
          <w:rFonts w:eastAsia="黑体"/>
          <w:sz w:val="32"/>
          <w:szCs w:val="32"/>
        </w:rPr>
        <w:sectPr>
          <w:pgSz w:w="16838" w:h="11906" w:orient="landscape"/>
          <w:pgMar w:top="1134" w:right="2098" w:bottom="1134" w:left="1928" w:header="851" w:footer="992" w:gutter="0"/>
          <w:cols w:space="720" w:num="1"/>
          <w:docGrid w:type="lines" w:linePitch="326" w:charSpace="0"/>
        </w:sectPr>
      </w:pPr>
    </w:p>
    <w:p>
      <w:pPr>
        <w:adjustRightInd w:val="0"/>
        <w:snapToGrid w:val="0"/>
        <w:spacing w:line="578" w:lineRule="exact"/>
        <w:rPr>
          <w:rFonts w:eastAsia="黑体"/>
          <w:sz w:val="32"/>
          <w:szCs w:val="32"/>
        </w:rPr>
      </w:pPr>
      <w:r>
        <w:rPr>
          <w:rFonts w:hint="eastAsia" w:ascii="黑体" w:hAnsi="黑体" w:eastAsia="黑体" w:cs="黑体"/>
          <w:sz w:val="32"/>
          <w:szCs w:val="32"/>
        </w:rPr>
        <w:t>附件2</w:t>
      </w:r>
    </w:p>
    <w:p>
      <w:pPr>
        <w:adjustRightInd w:val="0"/>
        <w:snapToGrid w:val="0"/>
        <w:spacing w:line="578" w:lineRule="exact"/>
        <w:jc w:val="center"/>
        <w:rPr>
          <w:rFonts w:eastAsia="方正小标宋简体"/>
          <w:sz w:val="44"/>
          <w:szCs w:val="44"/>
        </w:rPr>
      </w:pPr>
      <w:r>
        <w:rPr>
          <w:rFonts w:eastAsia="方正小标宋简体"/>
          <w:sz w:val="44"/>
          <w:szCs w:val="44"/>
        </w:rPr>
        <w:t>不合格项目说明</w:t>
      </w:r>
    </w:p>
    <w:p>
      <w:pPr>
        <w:autoSpaceDE w:val="0"/>
        <w:autoSpaceDN w:val="0"/>
        <w:adjustRightInd w:val="0"/>
        <w:spacing w:line="480" w:lineRule="exact"/>
        <w:ind w:firstLine="640" w:firstLineChars="200"/>
        <w:rPr>
          <w:rFonts w:eastAsia="黑体"/>
          <w:sz w:val="32"/>
          <w:szCs w:val="30"/>
        </w:rPr>
      </w:pPr>
    </w:p>
    <w:p>
      <w:pPr>
        <w:spacing w:line="480" w:lineRule="exact"/>
        <w:ind w:firstLine="640" w:firstLineChars="200"/>
        <w:rPr>
          <w:rFonts w:eastAsia="黑体"/>
          <w:sz w:val="32"/>
          <w:szCs w:val="30"/>
        </w:rPr>
      </w:pPr>
      <w:r>
        <w:rPr>
          <w:rFonts w:hint="eastAsia" w:eastAsia="黑体"/>
          <w:sz w:val="32"/>
          <w:szCs w:val="30"/>
        </w:rPr>
        <w:t>一、重金属含量（铅）</w:t>
      </w:r>
    </w:p>
    <w:p>
      <w:pPr>
        <w:spacing w:line="578" w:lineRule="exact"/>
        <w:ind w:firstLine="640" w:firstLineChars="200"/>
        <w:rPr>
          <w:rFonts w:ascii="仿宋_GB2312" w:eastAsia="仿宋_GB2312"/>
          <w:sz w:val="32"/>
          <w:szCs w:val="32"/>
        </w:rPr>
      </w:pPr>
      <w:r>
        <w:rPr>
          <w:rFonts w:hint="eastAsia" w:ascii="仿宋_GB2312" w:eastAsia="仿宋_GB2312"/>
          <w:sz w:val="32"/>
          <w:szCs w:val="32"/>
        </w:rPr>
        <w:t>涂料中的重金属，如铅、汞、铬等，主要来自于无机颜料和在生产过程中加入的各种助剂，如催干剂、防污剂、消光剂和各种填料中所含杂质也可能含有微量重金属。本次检出的不合格重金属元素铅是常用的聚合物催化剂，在大多数醇酸漆中能促进底膜漆层干燥，形成坚韧和硬的薄膜，并能提高漆膜的附着力和耐候性，有机铅还是有效的防污剂。重金属及其化合物是常见的有毒污染物，对人体有明显的危害，它可经呼吸道和皮肤粘膜侵入人体引起中毒，而且其毒性具有累积性，各国都在控制或禁止重金属及其化合物的使用。</w:t>
      </w:r>
    </w:p>
    <w:p>
      <w:pPr>
        <w:numPr>
          <w:ilvl w:val="0"/>
          <w:numId w:val="1"/>
        </w:numPr>
        <w:autoSpaceDE w:val="0"/>
        <w:autoSpaceDN w:val="0"/>
        <w:adjustRightInd w:val="0"/>
        <w:spacing w:line="480" w:lineRule="exact"/>
        <w:ind w:firstLine="600"/>
        <w:rPr>
          <w:rFonts w:eastAsia="黑体"/>
          <w:sz w:val="32"/>
          <w:szCs w:val="30"/>
        </w:rPr>
      </w:pPr>
      <w:r>
        <w:rPr>
          <w:rFonts w:hint="eastAsia" w:eastAsia="黑体"/>
          <w:sz w:val="32"/>
          <w:szCs w:val="30"/>
        </w:rPr>
        <w:t>多环芳烃总和含量（限萘、蒽）</w:t>
      </w:r>
    </w:p>
    <w:p>
      <w:pPr>
        <w:spacing w:line="578" w:lineRule="exact"/>
        <w:ind w:firstLine="640" w:firstLineChars="200"/>
        <w:rPr>
          <w:rFonts w:ascii="仿宋_GB2312" w:eastAsia="仿宋_GB2312"/>
          <w:sz w:val="32"/>
          <w:szCs w:val="32"/>
        </w:rPr>
      </w:pPr>
      <w:r>
        <w:rPr>
          <w:rFonts w:hint="eastAsia" w:ascii="仿宋_GB2312" w:eastAsia="仿宋_GB2312"/>
          <w:sz w:val="32"/>
          <w:szCs w:val="32"/>
        </w:rPr>
        <w:t>涂料中常常含有多种有机溶剂，而有机溶剂中存在的多环芳烃是一种可致癌物质。如果涂料中的多环芳烃超标，会给使用者的身体健康带来威胁</w:t>
      </w:r>
      <w:r>
        <w:rPr>
          <w:rFonts w:hint="eastAsia" w:ascii="仿宋_GB2312" w:eastAsia="仿宋_GB2312"/>
          <w:sz w:val="32"/>
          <w:szCs w:val="32"/>
          <w:lang w:eastAsia="zh-CN"/>
        </w:rPr>
        <w:t>。</w:t>
      </w:r>
      <w:r>
        <w:rPr>
          <w:rFonts w:hint="eastAsia" w:ascii="仿宋_GB2312" w:eastAsia="仿宋_GB2312"/>
          <w:sz w:val="32"/>
          <w:szCs w:val="32"/>
        </w:rPr>
        <w:t>造成涂料中多环芳烃超标的原因往往是因为生产工艺不合理、使用过量以及选择挥发性成分高的原材料等。</w:t>
      </w:r>
    </w:p>
    <w:p>
      <w:pPr>
        <w:spacing w:line="480" w:lineRule="exact"/>
        <w:ind w:firstLine="640" w:firstLineChars="200"/>
        <w:rPr>
          <w:rFonts w:eastAsia="黑体"/>
          <w:sz w:val="32"/>
          <w:szCs w:val="30"/>
        </w:rPr>
      </w:pPr>
      <w:r>
        <w:rPr>
          <w:rFonts w:hint="eastAsia" w:eastAsia="黑体"/>
          <w:sz w:val="32"/>
          <w:szCs w:val="30"/>
        </w:rPr>
        <w:t>三、包装标志</w:t>
      </w:r>
    </w:p>
    <w:p>
      <w:pPr>
        <w:spacing w:line="578" w:lineRule="exact"/>
        <w:ind w:firstLine="640" w:firstLineChars="200"/>
        <w:rPr>
          <w:rFonts w:ascii="仿宋_GB2312" w:eastAsia="仿宋_GB2312"/>
          <w:sz w:val="32"/>
          <w:szCs w:val="32"/>
        </w:rPr>
      </w:pPr>
      <w:r>
        <w:rPr>
          <w:rFonts w:hint="eastAsia" w:ascii="仿宋_GB2312" w:eastAsia="仿宋_GB2312"/>
          <w:sz w:val="32"/>
          <w:szCs w:val="32"/>
        </w:rPr>
        <w:t>包装标志作为通过文字、图形、符号等说明产品质量、使用方法及其他内容的一种信息载体，不仅是生产经营者对产品质量做出的一种承诺，也是对产品性能、用途、注意事项的说明。完整的标识标签不仅可以传递质量安全信息、确保可追溯性、保护知情消费权、指导用户正确使用，同时还可以降低交易成本、规避风险等。在北京市生产和销售的涂料类产品应严格执行北京市地方标准DB11/ 1983-2022中对于包装标志的规定</w:t>
      </w:r>
      <w:r>
        <w:rPr>
          <w:rFonts w:hint="eastAsia" w:ascii="仿宋_GB2312" w:eastAsia="仿宋_GB2312"/>
          <w:sz w:val="32"/>
          <w:szCs w:val="32"/>
          <w:lang w:eastAsia="zh-CN"/>
        </w:rPr>
        <w:t>，</w:t>
      </w:r>
      <w:r>
        <w:rPr>
          <w:rFonts w:hint="eastAsia" w:ascii="仿宋_GB2312" w:eastAsia="仿宋_GB2312"/>
          <w:sz w:val="32"/>
          <w:szCs w:val="32"/>
        </w:rPr>
        <w:t>否则无法</w:t>
      </w:r>
      <w:r>
        <w:rPr>
          <w:rFonts w:hint="eastAsia" w:ascii="仿宋_GB2312" w:eastAsia="仿宋_GB2312"/>
          <w:sz w:val="32"/>
          <w:szCs w:val="32"/>
          <w:lang w:eastAsia="zh-CN"/>
        </w:rPr>
        <w:t>根据</w:t>
      </w:r>
      <w:r>
        <w:rPr>
          <w:rFonts w:hint="eastAsia" w:ascii="仿宋_GB2312" w:eastAsia="仿宋_GB2312"/>
          <w:sz w:val="32"/>
          <w:szCs w:val="32"/>
        </w:rPr>
        <w:t>产品的使用场景进行正确使用，也无法判断产品的VOC含量，易造成不合理使用。</w:t>
      </w:r>
    </w:p>
    <w:p>
      <w:pPr>
        <w:spacing w:line="578" w:lineRule="exact"/>
        <w:ind w:firstLine="640" w:firstLineChars="200"/>
        <w:rPr>
          <w:rFonts w:ascii="仿宋_GB2312" w:eastAsia="仿宋_GB2312"/>
          <w:sz w:val="32"/>
          <w:szCs w:val="32"/>
        </w:rPr>
      </w:pPr>
    </w:p>
    <w:sectPr>
      <w:pgSz w:w="11906" w:h="16838"/>
      <w:pgMar w:top="2098" w:right="1474" w:bottom="1984" w:left="1587" w:header="851" w:footer="992" w:gutter="0"/>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方正书宋_GBK">
    <w:altName w:val="Arial Unicode MS"/>
    <w:panose1 w:val="02000000000000000000"/>
    <w:charset w:val="86"/>
    <w:family w:val="auto"/>
    <w:pitch w:val="default"/>
    <w:sig w:usb0="00000001" w:usb1="08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71776683">
    <w:nsid w:val="63A549AB"/>
    <w:multiLevelType w:val="singleLevel"/>
    <w:tmpl w:val="63A549AB"/>
    <w:lvl w:ilvl="0" w:tentative="1">
      <w:start w:val="2"/>
      <w:numFmt w:val="chineseCounting"/>
      <w:suff w:val="nothing"/>
      <w:lvlText w:val="%1、"/>
      <w:lvlJc w:val="left"/>
    </w:lvl>
  </w:abstractNum>
  <w:num w:numId="1">
    <w:abstractNumId w:val="167177668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MDhkNjQ5NWIzYmE1MTQzMmY2ZmI4ZTFiZjUzZDFkMzcifQ=="/>
  </w:docVars>
  <w:rsids>
    <w:rsidRoot w:val="CEA33675"/>
    <w:rsid w:val="000146A2"/>
    <w:rsid w:val="00055122"/>
    <w:rsid w:val="00064C64"/>
    <w:rsid w:val="000657C8"/>
    <w:rsid w:val="000757BD"/>
    <w:rsid w:val="00090D80"/>
    <w:rsid w:val="000A5410"/>
    <w:rsid w:val="000C4959"/>
    <w:rsid w:val="000F0D7A"/>
    <w:rsid w:val="0011123C"/>
    <w:rsid w:val="001138BB"/>
    <w:rsid w:val="0012325C"/>
    <w:rsid w:val="001B041C"/>
    <w:rsid w:val="001C023F"/>
    <w:rsid w:val="001C04CD"/>
    <w:rsid w:val="001D78A0"/>
    <w:rsid w:val="0021664F"/>
    <w:rsid w:val="00226F87"/>
    <w:rsid w:val="002273B4"/>
    <w:rsid w:val="00245769"/>
    <w:rsid w:val="002F1396"/>
    <w:rsid w:val="002F3CE4"/>
    <w:rsid w:val="00364008"/>
    <w:rsid w:val="003653A8"/>
    <w:rsid w:val="00373505"/>
    <w:rsid w:val="00393FC1"/>
    <w:rsid w:val="003C0629"/>
    <w:rsid w:val="003D11A1"/>
    <w:rsid w:val="003E2FDE"/>
    <w:rsid w:val="004112E0"/>
    <w:rsid w:val="00430BF5"/>
    <w:rsid w:val="00446D29"/>
    <w:rsid w:val="004A22DF"/>
    <w:rsid w:val="004C03DF"/>
    <w:rsid w:val="004C614E"/>
    <w:rsid w:val="004D78A7"/>
    <w:rsid w:val="005572D1"/>
    <w:rsid w:val="005A6EB6"/>
    <w:rsid w:val="005D3BD5"/>
    <w:rsid w:val="005E2571"/>
    <w:rsid w:val="00652E5D"/>
    <w:rsid w:val="00663291"/>
    <w:rsid w:val="00712B8F"/>
    <w:rsid w:val="00720854"/>
    <w:rsid w:val="00723A20"/>
    <w:rsid w:val="00761634"/>
    <w:rsid w:val="00817C39"/>
    <w:rsid w:val="00853EA4"/>
    <w:rsid w:val="008554C4"/>
    <w:rsid w:val="00862D44"/>
    <w:rsid w:val="00880542"/>
    <w:rsid w:val="008A6A3A"/>
    <w:rsid w:val="008D1655"/>
    <w:rsid w:val="00914BA7"/>
    <w:rsid w:val="0091592D"/>
    <w:rsid w:val="009216EE"/>
    <w:rsid w:val="00926A32"/>
    <w:rsid w:val="00947BDC"/>
    <w:rsid w:val="0095324D"/>
    <w:rsid w:val="00960F42"/>
    <w:rsid w:val="00963FD1"/>
    <w:rsid w:val="009751A3"/>
    <w:rsid w:val="009838F7"/>
    <w:rsid w:val="009D0A5C"/>
    <w:rsid w:val="00A557F6"/>
    <w:rsid w:val="00AB4FEA"/>
    <w:rsid w:val="00AE3BE1"/>
    <w:rsid w:val="00AF24CE"/>
    <w:rsid w:val="00B243A9"/>
    <w:rsid w:val="00B61E18"/>
    <w:rsid w:val="00B84F85"/>
    <w:rsid w:val="00BA7A73"/>
    <w:rsid w:val="00BB64A9"/>
    <w:rsid w:val="00BF1CDB"/>
    <w:rsid w:val="00C227F8"/>
    <w:rsid w:val="00C54E85"/>
    <w:rsid w:val="00C60ABB"/>
    <w:rsid w:val="00D46C9C"/>
    <w:rsid w:val="00DA70C5"/>
    <w:rsid w:val="00DC6608"/>
    <w:rsid w:val="00DE2A68"/>
    <w:rsid w:val="00E6424F"/>
    <w:rsid w:val="00E86B28"/>
    <w:rsid w:val="00EC6502"/>
    <w:rsid w:val="00ED13E8"/>
    <w:rsid w:val="00F04AA2"/>
    <w:rsid w:val="00F90C23"/>
    <w:rsid w:val="00F94DEE"/>
    <w:rsid w:val="012C72FF"/>
    <w:rsid w:val="01E62953"/>
    <w:rsid w:val="051B624A"/>
    <w:rsid w:val="063B755B"/>
    <w:rsid w:val="06D00421"/>
    <w:rsid w:val="06D2735E"/>
    <w:rsid w:val="08DA663E"/>
    <w:rsid w:val="0AF43FA5"/>
    <w:rsid w:val="0B607C96"/>
    <w:rsid w:val="0BFA31FD"/>
    <w:rsid w:val="0CFFCE72"/>
    <w:rsid w:val="0EBFC2E1"/>
    <w:rsid w:val="0F5C44E0"/>
    <w:rsid w:val="10334CEB"/>
    <w:rsid w:val="114F36F3"/>
    <w:rsid w:val="11F76F13"/>
    <w:rsid w:val="129A3715"/>
    <w:rsid w:val="12EA5F3C"/>
    <w:rsid w:val="152F114F"/>
    <w:rsid w:val="157C7D44"/>
    <w:rsid w:val="180F7009"/>
    <w:rsid w:val="181F172E"/>
    <w:rsid w:val="19A759A9"/>
    <w:rsid w:val="1A453AD4"/>
    <w:rsid w:val="1ABA6BE8"/>
    <w:rsid w:val="1BF530EC"/>
    <w:rsid w:val="1C566B72"/>
    <w:rsid w:val="1D9CDAB1"/>
    <w:rsid w:val="1E462670"/>
    <w:rsid w:val="1F7FD485"/>
    <w:rsid w:val="1FD81ACE"/>
    <w:rsid w:val="1FE551BA"/>
    <w:rsid w:val="209D7431"/>
    <w:rsid w:val="20BB01D1"/>
    <w:rsid w:val="214A68E4"/>
    <w:rsid w:val="231966A7"/>
    <w:rsid w:val="256E65CD"/>
    <w:rsid w:val="2579669A"/>
    <w:rsid w:val="25D36F81"/>
    <w:rsid w:val="25F25C1A"/>
    <w:rsid w:val="26FA033F"/>
    <w:rsid w:val="271B1AD1"/>
    <w:rsid w:val="283050FB"/>
    <w:rsid w:val="28EF4C5C"/>
    <w:rsid w:val="29921969"/>
    <w:rsid w:val="2A6D5636"/>
    <w:rsid w:val="2B885E95"/>
    <w:rsid w:val="2E4EE619"/>
    <w:rsid w:val="2EE210E8"/>
    <w:rsid w:val="2F4E2FA9"/>
    <w:rsid w:val="2FD55531"/>
    <w:rsid w:val="3009464F"/>
    <w:rsid w:val="35BC7DF1"/>
    <w:rsid w:val="35FFBAC7"/>
    <w:rsid w:val="36184342"/>
    <w:rsid w:val="37491AC0"/>
    <w:rsid w:val="37E21305"/>
    <w:rsid w:val="38363A52"/>
    <w:rsid w:val="384B5912"/>
    <w:rsid w:val="38724802"/>
    <w:rsid w:val="388D35B6"/>
    <w:rsid w:val="3900273C"/>
    <w:rsid w:val="3995580F"/>
    <w:rsid w:val="39B572D8"/>
    <w:rsid w:val="39CF5EB3"/>
    <w:rsid w:val="3AC8778F"/>
    <w:rsid w:val="3CBA3AD2"/>
    <w:rsid w:val="3DF00289"/>
    <w:rsid w:val="3FF360B7"/>
    <w:rsid w:val="424A3F74"/>
    <w:rsid w:val="434268E8"/>
    <w:rsid w:val="43FC1E54"/>
    <w:rsid w:val="47B02DD1"/>
    <w:rsid w:val="47E33234"/>
    <w:rsid w:val="48EF2337"/>
    <w:rsid w:val="499E6BB1"/>
    <w:rsid w:val="4A424F9A"/>
    <w:rsid w:val="4A5101BB"/>
    <w:rsid w:val="4AA0564A"/>
    <w:rsid w:val="4BB22927"/>
    <w:rsid w:val="4D9303E8"/>
    <w:rsid w:val="4FFA854A"/>
    <w:rsid w:val="51774260"/>
    <w:rsid w:val="52D10CEE"/>
    <w:rsid w:val="54C620A2"/>
    <w:rsid w:val="559471D1"/>
    <w:rsid w:val="5614157C"/>
    <w:rsid w:val="565F2DC9"/>
    <w:rsid w:val="568AF34E"/>
    <w:rsid w:val="5882320D"/>
    <w:rsid w:val="58F741EA"/>
    <w:rsid w:val="59444FAC"/>
    <w:rsid w:val="5A4B01B0"/>
    <w:rsid w:val="5B075609"/>
    <w:rsid w:val="5BDA3AC8"/>
    <w:rsid w:val="5BE54F7D"/>
    <w:rsid w:val="5D564930"/>
    <w:rsid w:val="5E5FEDC6"/>
    <w:rsid w:val="5F597892"/>
    <w:rsid w:val="5F7FA171"/>
    <w:rsid w:val="5F922859"/>
    <w:rsid w:val="5FD5E5FB"/>
    <w:rsid w:val="5FEB236A"/>
    <w:rsid w:val="613B6AAF"/>
    <w:rsid w:val="624F5057"/>
    <w:rsid w:val="62522352"/>
    <w:rsid w:val="62965BBE"/>
    <w:rsid w:val="66F96C35"/>
    <w:rsid w:val="67054BE9"/>
    <w:rsid w:val="68195E58"/>
    <w:rsid w:val="6A3301FA"/>
    <w:rsid w:val="6C37119B"/>
    <w:rsid w:val="6DF7F0D0"/>
    <w:rsid w:val="6EEE1E91"/>
    <w:rsid w:val="6F1E26ED"/>
    <w:rsid w:val="6FFF5FA7"/>
    <w:rsid w:val="70721011"/>
    <w:rsid w:val="711C739F"/>
    <w:rsid w:val="721241AC"/>
    <w:rsid w:val="742020BD"/>
    <w:rsid w:val="74C90CAB"/>
    <w:rsid w:val="74DF73E6"/>
    <w:rsid w:val="76E9AF24"/>
    <w:rsid w:val="776B5217"/>
    <w:rsid w:val="77EF454B"/>
    <w:rsid w:val="79E25542"/>
    <w:rsid w:val="7A4D5201"/>
    <w:rsid w:val="7A765426"/>
    <w:rsid w:val="7B2E2E0F"/>
    <w:rsid w:val="7B521B19"/>
    <w:rsid w:val="7B763486"/>
    <w:rsid w:val="7BE1317A"/>
    <w:rsid w:val="7C964B41"/>
    <w:rsid w:val="7CCF4424"/>
    <w:rsid w:val="7D6D4907"/>
    <w:rsid w:val="7DA45C3F"/>
    <w:rsid w:val="7DB42EB3"/>
    <w:rsid w:val="7DF1174F"/>
    <w:rsid w:val="7E27F723"/>
    <w:rsid w:val="7E8D76B1"/>
    <w:rsid w:val="7EB65A35"/>
    <w:rsid w:val="7F6D59A0"/>
    <w:rsid w:val="7FA30D0D"/>
    <w:rsid w:val="7FFF51F5"/>
    <w:rsid w:val="7FFFC0F5"/>
    <w:rsid w:val="95FFE517"/>
    <w:rsid w:val="BCFEC77E"/>
    <w:rsid w:val="CEA33675"/>
    <w:rsid w:val="CFFB64D5"/>
    <w:rsid w:val="D3F6E079"/>
    <w:rsid w:val="D7FF67A7"/>
    <w:rsid w:val="DF1E6277"/>
    <w:rsid w:val="EF971155"/>
    <w:rsid w:val="F5D78B08"/>
    <w:rsid w:val="F77F388D"/>
    <w:rsid w:val="FBFF727A"/>
    <w:rsid w:val="FD7BCD90"/>
    <w:rsid w:val="FDFBF4FB"/>
    <w:rsid w:val="FDFFD601"/>
    <w:rsid w:val="FE5B8179"/>
    <w:rsid w:val="FFEEF161"/>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unhideWhenUsed/>
    <w:qFormat/>
    <w:uiPriority w:val="1"/>
  </w:style>
  <w:style w:type="table" w:default="1" w:styleId="10">
    <w:name w:val="Normal Table"/>
    <w:unhideWhenUsed/>
    <w:qFormat/>
    <w:uiPriority w:val="99"/>
    <w:tblPr>
      <w:tblStyle w:val="10"/>
      <w:tblLayout w:type="fixed"/>
      <w:tblCellMar>
        <w:top w:w="0" w:type="dxa"/>
        <w:left w:w="108" w:type="dxa"/>
        <w:bottom w:w="0" w:type="dxa"/>
        <w:right w:w="108" w:type="dxa"/>
      </w:tblCellMar>
    </w:tblPr>
    <w:tcPr>
      <w:textDirection w:val="lrTb"/>
    </w:tcPr>
  </w:style>
  <w:style w:type="paragraph" w:styleId="2">
    <w:name w:val="annotation text"/>
    <w:basedOn w:val="1"/>
    <w:qFormat/>
    <w:uiPriority w:val="0"/>
    <w:pPr>
      <w:jc w:val="left"/>
    </w:pPr>
  </w:style>
  <w:style w:type="paragraph" w:styleId="3">
    <w:name w:val="Balloon Text"/>
    <w:basedOn w:val="1"/>
    <w:link w:val="19"/>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unhideWhenUsed/>
    <w:qFormat/>
    <w:uiPriority w:val="99"/>
    <w:pPr>
      <w:spacing w:before="100" w:beforeAutospacing="1" w:after="100" w:afterAutospacing="1"/>
      <w:jc w:val="left"/>
    </w:pPr>
    <w:rPr>
      <w:kern w:val="0"/>
      <w:sz w:val="24"/>
    </w:rPr>
  </w:style>
  <w:style w:type="character" w:styleId="8">
    <w:name w:val="Strong"/>
    <w:qFormat/>
    <w:uiPriority w:val="0"/>
    <w:rPr>
      <w:b/>
    </w:rPr>
  </w:style>
  <w:style w:type="character" w:styleId="9">
    <w:name w:val="page number"/>
    <w:qFormat/>
    <w:uiPriority w:val="0"/>
  </w:style>
  <w:style w:type="paragraph" w:customStyle="1" w:styleId="11">
    <w:name w:val="列出段落1"/>
    <w:basedOn w:val="1"/>
    <w:qFormat/>
    <w:uiPriority w:val="34"/>
    <w:pPr>
      <w:ind w:firstLine="420" w:firstLineChars="200"/>
    </w:pPr>
  </w:style>
  <w:style w:type="paragraph" w:customStyle="1" w:styleId="12">
    <w:name w:val="aaa"/>
    <w:basedOn w:val="1"/>
    <w:qFormat/>
    <w:uiPriority w:val="0"/>
    <w:pPr>
      <w:widowControl/>
      <w:spacing w:after="160" w:line="360" w:lineRule="auto"/>
      <w:jc w:val="left"/>
    </w:pPr>
    <w:rPr>
      <w:szCs w:val="24"/>
    </w:rPr>
  </w:style>
  <w:style w:type="character" w:customStyle="1" w:styleId="13">
    <w:name w:val="font81"/>
    <w:qFormat/>
    <w:uiPriority w:val="0"/>
    <w:rPr>
      <w:rFonts w:hint="eastAsia" w:ascii="宋体" w:hAnsi="宋体" w:eastAsia="宋体" w:cs="宋体"/>
      <w:color w:val="000000"/>
      <w:sz w:val="20"/>
      <w:szCs w:val="20"/>
      <w:u w:val="none"/>
    </w:rPr>
  </w:style>
  <w:style w:type="character" w:customStyle="1" w:styleId="14">
    <w:name w:val="font41"/>
    <w:qFormat/>
    <w:uiPriority w:val="0"/>
    <w:rPr>
      <w:rFonts w:hint="eastAsia" w:ascii="方正书宋_GBK" w:hAnsi="方正书宋_GBK" w:eastAsia="方正书宋_GBK" w:cs="方正书宋_GBK"/>
      <w:color w:val="000000"/>
      <w:sz w:val="20"/>
      <w:szCs w:val="20"/>
      <w:u w:val="none"/>
    </w:rPr>
  </w:style>
  <w:style w:type="character" w:customStyle="1" w:styleId="15">
    <w:name w:val="font91"/>
    <w:qFormat/>
    <w:uiPriority w:val="0"/>
    <w:rPr>
      <w:rFonts w:hint="eastAsia" w:ascii="宋体" w:hAnsi="宋体" w:eastAsia="宋体" w:cs="宋体"/>
      <w:color w:val="000000"/>
      <w:sz w:val="20"/>
      <w:szCs w:val="20"/>
      <w:u w:val="none"/>
    </w:rPr>
  </w:style>
  <w:style w:type="character" w:customStyle="1" w:styleId="16">
    <w:name w:val="font101"/>
    <w:qFormat/>
    <w:uiPriority w:val="0"/>
    <w:rPr>
      <w:rFonts w:hint="eastAsia" w:ascii="宋体" w:hAnsi="宋体" w:eastAsia="宋体" w:cs="宋体"/>
      <w:color w:val="000000"/>
      <w:sz w:val="20"/>
      <w:szCs w:val="20"/>
      <w:u w:val="none"/>
    </w:rPr>
  </w:style>
  <w:style w:type="character" w:customStyle="1" w:styleId="17">
    <w:name w:val="font51"/>
    <w:qFormat/>
    <w:uiPriority w:val="0"/>
    <w:rPr>
      <w:rFonts w:hint="eastAsia" w:ascii="宋体" w:hAnsi="宋体" w:eastAsia="宋体" w:cs="宋体"/>
      <w:color w:val="000000"/>
      <w:sz w:val="20"/>
      <w:szCs w:val="20"/>
      <w:u w:val="none"/>
    </w:rPr>
  </w:style>
  <w:style w:type="character" w:customStyle="1" w:styleId="18">
    <w:name w:val="font121"/>
    <w:qFormat/>
    <w:uiPriority w:val="0"/>
    <w:rPr>
      <w:rFonts w:hint="default" w:ascii="Times New Roman" w:hAnsi="Times New Roman" w:cs="Times New Roman"/>
      <w:color w:val="000000"/>
      <w:sz w:val="20"/>
      <w:szCs w:val="20"/>
      <w:u w:val="none"/>
    </w:rPr>
  </w:style>
  <w:style w:type="character" w:customStyle="1" w:styleId="19">
    <w:name w:val="批注框文本 字符"/>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1809</Words>
  <Characters>2113</Characters>
  <Lines>15</Lines>
  <Paragraphs>4</Paragraphs>
  <ScaleCrop>false</ScaleCrop>
  <LinksUpToDate>false</LinksUpToDate>
  <CharactersWithSpaces>0</CharactersWithSpaces>
  <Application>WPS Office 专业版_9.1.0.5012_F1E327BC-269C-435d-A152-05C5408002CA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2024-08-02T14:42:00Z</dcterms:created>
  <dc:creator>scjgj</dc:creator>
  <cp:lastModifiedBy>Administrator</cp:lastModifiedBy>
  <cp:lastPrinted>2025-03-31T22:08:00Z</cp:lastPrinted>
  <dcterms:modified xsi:type="dcterms:W3CDTF">2025-04-29T09:14:48Z</dcterms:modified>
  <dc:title>北京市安全防护类产品质量监督抽查</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2052-9.1.0.5012</vt:lpwstr>
  </property>
  <property fmtid="{D5CDD505-2E9C-101B-9397-08002B2CF9AE}" pid="3" name="ICV">
    <vt:lpwstr>3CB0481B22004CBFA387B848291ECF49_13</vt:lpwstr>
  </property>
</Properties>
</file>