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widowControl/>
        <w:spacing w:before="0" w:beforeAutospacing="0" w:after="0" w:afterAutospacing="0" w:line="680"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北京市油漆涂料产品质量监督抽查结果公告</w:t>
      </w:r>
    </w:p>
    <w:p>
      <w:pPr>
        <w:pStyle w:val="6"/>
        <w:widowControl/>
        <w:spacing w:before="0" w:beforeAutospacing="0" w:after="0" w:afterAutospacing="0" w:line="578" w:lineRule="exact"/>
        <w:jc w:val="center"/>
        <w:textAlignment w:val="baseline"/>
        <w:rPr>
          <w:rFonts w:ascii="方正小标宋简体" w:hAnsi="方正小标宋简体" w:eastAsia="方正小标宋简体" w:cs="方正小标宋简体"/>
          <w:sz w:val="44"/>
          <w:szCs w:val="44"/>
        </w:rPr>
      </w:pPr>
    </w:p>
    <w:p>
      <w:pPr>
        <w:pStyle w:val="6"/>
        <w:widowControl/>
        <w:wordWrap/>
        <w:adjustRightInd/>
        <w:snapToGrid/>
        <w:spacing w:before="0" w:beforeAutospacing="0" w:after="0" w:afterAutospacing="0"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按照《中华人民共和国产品质量法》《产品质量监督抽查管理暂行办法》等法律、规章，以及本市产品质量监督抽查计划和实施细则，北京市市场监督管理局</w:t>
      </w:r>
      <w:r>
        <w:rPr>
          <w:rFonts w:hint="eastAsia" w:ascii="仿宋_GB2312" w:hAnsi="仿宋_GB2312" w:eastAsia="仿宋_GB2312" w:cs="仿宋_GB2312"/>
          <w:sz w:val="32"/>
          <w:szCs w:val="32"/>
          <w:lang w:val="zh-CN"/>
        </w:rPr>
        <w:t>坚持问题导向，</w:t>
      </w:r>
      <w:r>
        <w:rPr>
          <w:rFonts w:hint="eastAsia" w:ascii="仿宋_GB2312" w:hAnsi="仿宋_GB2312" w:eastAsia="仿宋_GB2312" w:cs="仿宋_GB2312"/>
          <w:sz w:val="32"/>
          <w:szCs w:val="32"/>
        </w:rPr>
        <w:t>将近年抽查不合格率较高的检测项目纳入实施细则,组织开展了油漆涂料</w:t>
      </w:r>
      <w:r>
        <w:rPr>
          <w:rFonts w:hint="eastAsia" w:ascii="仿宋_GB2312" w:hAnsi="仿宋_GB2312" w:eastAsia="仿宋_GB2312" w:cs="仿宋_GB2312"/>
          <w:sz w:val="32"/>
          <w:szCs w:val="32"/>
          <w:lang w:val="zh-CN"/>
        </w:rPr>
        <w:t>产品</w:t>
      </w:r>
      <w:r>
        <w:rPr>
          <w:rFonts w:hint="eastAsia" w:ascii="仿宋_GB2312" w:hAnsi="仿宋_GB2312" w:eastAsia="仿宋_GB2312" w:cs="仿宋_GB2312"/>
          <w:sz w:val="32"/>
          <w:szCs w:val="32"/>
        </w:rPr>
        <w:t>质量监督抽查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检出10组批产品不合格，</w:t>
      </w:r>
      <w:r>
        <w:rPr>
          <w:rFonts w:hint="eastAsia" w:ascii="仿宋_GB2312" w:hAnsi="仿宋_GB2312" w:eastAsia="仿宋_GB2312" w:cs="仿宋_GB2312"/>
          <w:sz w:val="32"/>
          <w:szCs w:val="32"/>
          <w:lang w:val="en-US" w:eastAsia="zh-CN"/>
        </w:rPr>
        <w:t>不合格项目主要涉及</w:t>
      </w:r>
      <w:r>
        <w:rPr>
          <w:rFonts w:hint="eastAsia" w:ascii="仿宋_GB2312" w:hAnsi="仿宋_GB2312" w:eastAsia="仿宋_GB2312" w:cs="仿宋_GB2312"/>
          <w:sz w:val="32"/>
          <w:szCs w:val="32"/>
        </w:rPr>
        <w:t>耐洗刷性、包装标志、甲醛含量、透水性、批烷基酚聚氧乙烯醚总和含量</w:t>
      </w:r>
      <w:r>
        <w:rPr>
          <w:rFonts w:hint="eastAsia" w:ascii="仿宋_GB2312" w:hAnsi="仿宋_GB2312" w:eastAsia="仿宋_GB2312" w:cs="仿宋_GB2312"/>
          <w:sz w:val="32"/>
          <w:szCs w:val="32"/>
          <w:lang w:val="en-US" w:eastAsia="zh-CN"/>
        </w:rPr>
        <w:t>等</w:t>
      </w:r>
      <w:bookmarkStart w:id="0" w:name="_GoBack"/>
      <w:bookmarkEnd w:id="0"/>
      <w:r>
        <w:rPr>
          <w:rFonts w:hint="eastAsia" w:ascii="仿宋_GB2312" w:hAnsi="仿宋_GB2312" w:eastAsia="仿宋_GB2312" w:cs="仿宋_GB2312"/>
          <w:sz w:val="32"/>
          <w:szCs w:val="32"/>
        </w:rPr>
        <w:t>。</w:t>
      </w:r>
    </w:p>
    <w:p>
      <w:pPr>
        <w:pStyle w:val="6"/>
        <w:widowControl/>
        <w:wordWrap/>
        <w:adjustRightInd/>
        <w:snapToGrid/>
        <w:spacing w:before="0" w:beforeAutospacing="0" w:after="0" w:afterAutospacing="0"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对于抽查发现的不合格产品生产者、销售者，北京市市场监督管理局已全部移交经营主体所在地市场监管部门依法立案查处，督促相关经营主体及时下架不合格产品，</w:t>
      </w:r>
      <w:r>
        <w:rPr>
          <w:rFonts w:hint="eastAsia" w:ascii="仿宋_GB2312" w:hAnsi="仿宋_GB2312" w:eastAsia="仿宋_GB2312" w:cs="仿宋_GB2312"/>
          <w:sz w:val="32"/>
          <w:szCs w:val="32"/>
          <w:lang w:eastAsia="zh-CN"/>
        </w:rPr>
        <w:t>并消除安全隐患，</w:t>
      </w:r>
      <w:r>
        <w:rPr>
          <w:rFonts w:hint="eastAsia" w:ascii="仿宋_GB2312" w:hAnsi="仿宋_GB2312" w:eastAsia="仿宋_GB2312" w:cs="仿宋_GB2312"/>
          <w:sz w:val="32"/>
          <w:szCs w:val="32"/>
        </w:rPr>
        <w:t>守牢产品质量安全底线。</w:t>
      </w:r>
    </w:p>
    <w:p>
      <w:pPr>
        <w:pStyle w:val="6"/>
        <w:widowControl/>
        <w:wordWrap/>
        <w:adjustRightInd/>
        <w:snapToGrid/>
        <w:spacing w:before="0" w:beforeAutospacing="0" w:after="0" w:afterAutospacing="0"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北京市市场监督管理局建议消费者在购买油漆涂料产品时注意以下几点：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选购产品</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，应注意商品的标识，即产品型号、名称、批号、执行标准、厂名、厂址、生产日期和有效期是否齐全；</w:t>
      </w:r>
      <w:r>
        <w:rPr>
          <w:rFonts w:ascii="仿宋_GB2312" w:hAnsi="仿宋_GB2312" w:eastAsia="仿宋_GB2312" w:cs="仿宋_GB2312"/>
          <w:sz w:val="32"/>
          <w:szCs w:val="32"/>
          <w:highlight w:val="yellow"/>
        </w:rPr>
        <w:t>2.</w:t>
      </w:r>
      <w:r>
        <w:rPr>
          <w:rFonts w:hint="eastAsia" w:ascii="仿宋_GB2312" w:hAnsi="仿宋_GB2312" w:eastAsia="仿宋_GB2312" w:cs="仿宋_GB2312"/>
          <w:sz w:val="32"/>
          <w:szCs w:val="32"/>
          <w:highlight w:val="yellow"/>
        </w:rPr>
        <w:t>选择符合北京市地方标准《建筑类涂料与胶粘剂挥发性有机化合物含量限值标准》（DB11/ 1983—2022）的产品；</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在购买商品时，要索取购货发票等有效凭证；</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避免购买超过保质期的产品。</w:t>
      </w:r>
    </w:p>
    <w:p>
      <w:pPr>
        <w:wordWrap/>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附件：1.不合格产品信息 </w:t>
      </w:r>
      <w:r>
        <w:rPr>
          <w:rFonts w:ascii="仿宋_GB2312" w:hAnsi="仿宋_GB2312" w:eastAsia="仿宋_GB2312" w:cs="仿宋_GB2312"/>
          <w:sz w:val="32"/>
          <w:szCs w:val="32"/>
        </w:rPr>
        <w:t xml:space="preserve">  </w:t>
      </w:r>
    </w:p>
    <w:p>
      <w:pPr>
        <w:wordWrap/>
        <w:adjustRightInd/>
        <w:snapToGrid/>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2.不合格项目说明</w:t>
      </w:r>
    </w:p>
    <w:p>
      <w:pPr>
        <w:wordWrap/>
        <w:adjustRightInd/>
        <w:snapToGrid/>
        <w:spacing w:line="560" w:lineRule="exact"/>
        <w:ind w:firstLine="4960" w:firstLineChars="1550"/>
        <w:rPr>
          <w:rFonts w:ascii="仿宋_GB2312" w:hAnsi="仿宋_GB2312" w:eastAsia="仿宋_GB2312" w:cs="仿宋_GB2312"/>
          <w:sz w:val="32"/>
          <w:szCs w:val="32"/>
        </w:rPr>
        <w:sectPr>
          <w:pgSz w:w="11906" w:h="16838"/>
          <w:pgMar w:top="2098" w:right="1474" w:bottom="1984" w:left="1587" w:header="851" w:footer="992" w:gutter="0"/>
          <w:cols w:space="720" w:num="1"/>
          <w:docGrid w:type="lines" w:linePitch="326" w:charSpace="0"/>
        </w:sectPr>
      </w:pPr>
    </w:p>
    <w:p>
      <w:pPr>
        <w:rPr>
          <w:rFonts w:eastAsia="黑体"/>
          <w:kern w:val="0"/>
          <w:sz w:val="32"/>
          <w:szCs w:val="32"/>
        </w:rPr>
      </w:pPr>
      <w:r>
        <w:rPr>
          <w:rFonts w:hint="eastAsia" w:ascii="黑体" w:hAnsi="黑体" w:eastAsia="黑体" w:cs="黑体"/>
          <w:sz w:val="32"/>
          <w:szCs w:val="32"/>
        </w:rPr>
        <w:t>附件</w:t>
      </w:r>
      <w:r>
        <w:rPr>
          <w:rFonts w:ascii="黑体" w:hAnsi="黑体" w:eastAsia="黑体" w:cs="黑体"/>
          <w:sz w:val="32"/>
          <w:szCs w:val="32"/>
        </w:rPr>
        <w:t>1</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不合格产品信息</w:t>
      </w:r>
    </w:p>
    <w:tbl>
      <w:tblPr>
        <w:tblStyle w:val="10"/>
        <w:tblW w:w="129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35"/>
        <w:gridCol w:w="1622"/>
        <w:gridCol w:w="2087"/>
        <w:gridCol w:w="1598"/>
        <w:gridCol w:w="1120"/>
        <w:gridCol w:w="1643"/>
        <w:gridCol w:w="1985"/>
        <w:gridCol w:w="2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3" w:hRule="atLeast"/>
          <w:tblHeader/>
          <w:jc w:val="center"/>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b/>
                <w:sz w:val="20"/>
              </w:rPr>
            </w:pPr>
            <w:r>
              <w:rPr>
                <w:rFonts w:eastAsia="黑体"/>
                <w:b/>
                <w:kern w:val="0"/>
                <w:sz w:val="20"/>
              </w:rPr>
              <w:t>序号</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b/>
                <w:sz w:val="20"/>
              </w:rPr>
            </w:pPr>
            <w:r>
              <w:rPr>
                <w:rFonts w:eastAsia="黑体"/>
                <w:b/>
                <w:kern w:val="0"/>
                <w:sz w:val="20"/>
              </w:rPr>
              <w:t>被抽样</w:t>
            </w:r>
            <w:r>
              <w:rPr>
                <w:rFonts w:hint="eastAsia" w:eastAsia="黑体"/>
                <w:b/>
                <w:kern w:val="0"/>
                <w:sz w:val="20"/>
              </w:rPr>
              <w:t>销售者</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b/>
                <w:sz w:val="20"/>
              </w:rPr>
            </w:pPr>
            <w:r>
              <w:rPr>
                <w:rFonts w:hint="eastAsia" w:ascii="黑体" w:hAnsi="黑体" w:eastAsia="黑体" w:cs="黑体"/>
                <w:b/>
                <w:bCs/>
                <w:kern w:val="0"/>
                <w:sz w:val="20"/>
              </w:rPr>
              <w:t>标称生产者</w:t>
            </w:r>
          </w:p>
        </w:tc>
        <w:tc>
          <w:tcPr>
            <w:tcW w:w="1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b/>
                <w:sz w:val="20"/>
              </w:rPr>
            </w:pPr>
            <w:r>
              <w:rPr>
                <w:rFonts w:eastAsia="黑体"/>
                <w:b/>
                <w:kern w:val="0"/>
                <w:sz w:val="20"/>
              </w:rPr>
              <w:t>产品名称</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b/>
                <w:sz w:val="20"/>
              </w:rPr>
            </w:pPr>
            <w:r>
              <w:rPr>
                <w:rFonts w:eastAsia="黑体"/>
                <w:b/>
                <w:kern w:val="0"/>
                <w:sz w:val="20"/>
              </w:rPr>
              <w:t>商标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b/>
                <w:sz w:val="20"/>
              </w:rPr>
            </w:pPr>
            <w:r>
              <w:rPr>
                <w:rFonts w:eastAsia="黑体"/>
                <w:b/>
                <w:kern w:val="0"/>
                <w:sz w:val="20"/>
              </w:rPr>
              <w:t>规格型号</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b/>
                <w:sz w:val="20"/>
              </w:rPr>
            </w:pPr>
            <w:r>
              <w:rPr>
                <w:rFonts w:eastAsia="黑体"/>
                <w:b/>
                <w:kern w:val="0"/>
                <w:sz w:val="20"/>
              </w:rPr>
              <w:t>生产日期</w:t>
            </w:r>
            <w:r>
              <w:rPr>
                <w:rFonts w:eastAsia="黑体"/>
                <w:b/>
                <w:kern w:val="0"/>
                <w:sz w:val="20"/>
                <w:lang w:eastAsia="en-US"/>
              </w:rPr>
              <w:t>/</w:t>
            </w:r>
            <w:r>
              <w:rPr>
                <w:rStyle w:val="13"/>
                <w:rFonts w:hint="default" w:ascii="Times New Roman" w:hAnsi="Times New Roman" w:eastAsia="黑体" w:cs="Times New Roman"/>
                <w:b/>
                <w:color w:val="auto"/>
              </w:rPr>
              <w:t>批号</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b/>
                <w:sz w:val="20"/>
              </w:rPr>
            </w:pPr>
            <w:r>
              <w:rPr>
                <w:rFonts w:eastAsia="黑体"/>
                <w:b/>
                <w:kern w:val="0"/>
                <w:sz w:val="20"/>
              </w:rPr>
              <w:t>不符合项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szCs w:val="21"/>
              </w:rPr>
            </w:pPr>
            <w:r>
              <w:rPr>
                <w:rFonts w:ascii="宋体" w:hAnsi="宋体"/>
                <w:kern w:val="0"/>
                <w:szCs w:val="21"/>
              </w:rPr>
              <w:t>1</w:t>
            </w:r>
          </w:p>
        </w:tc>
        <w:tc>
          <w:tcPr>
            <w:tcW w:w="1622" w:type="dxa"/>
            <w:tcBorders>
              <w:top w:val="single" w:color="000000" w:sz="4" w:space="0"/>
              <w:bottom w:val="single" w:color="000000" w:sz="4" w:space="0"/>
              <w:right w:val="single" w:color="000000" w:sz="4" w:space="0"/>
            </w:tcBorders>
            <w:vAlign w:val="center"/>
          </w:tcPr>
          <w:p>
            <w:pPr>
              <w:widowControl/>
              <w:jc w:val="center"/>
              <w:rPr>
                <w:color w:val="000000"/>
                <w:kern w:val="0"/>
                <w:szCs w:val="21"/>
              </w:rPr>
            </w:pPr>
            <w:r>
              <w:rPr>
                <w:rFonts w:hint="eastAsia"/>
                <w:color w:val="000000"/>
                <w:szCs w:val="21"/>
              </w:rPr>
              <w:t>北京明远盛达商贸中心</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Cs w:val="21"/>
              </w:rPr>
            </w:pPr>
            <w:r>
              <w:rPr>
                <w:rFonts w:hint="eastAsia"/>
                <w:color w:val="000000"/>
                <w:szCs w:val="21"/>
              </w:rPr>
              <w:t>北京荣丰正盛建材有限公司</w:t>
            </w:r>
          </w:p>
        </w:tc>
        <w:tc>
          <w:tcPr>
            <w:tcW w:w="1598" w:type="dxa"/>
            <w:tcBorders>
              <w:top w:val="single" w:color="000000" w:sz="4" w:space="0"/>
              <w:bottom w:val="single" w:color="000000" w:sz="4" w:space="0"/>
              <w:right w:val="single" w:color="000000" w:sz="4" w:space="0"/>
            </w:tcBorders>
            <w:vAlign w:val="center"/>
          </w:tcPr>
          <w:p>
            <w:pPr>
              <w:widowControl/>
              <w:jc w:val="center"/>
              <w:rPr>
                <w:color w:val="000000"/>
                <w:kern w:val="0"/>
                <w:szCs w:val="21"/>
              </w:rPr>
            </w:pPr>
            <w:r>
              <w:rPr>
                <w:rFonts w:hint="eastAsia"/>
                <w:color w:val="000000"/>
                <w:szCs w:val="21"/>
              </w:rPr>
              <w:t>田园彩蛋性外墙晴雨漆（外墙乳胶漆）</w:t>
            </w:r>
          </w:p>
        </w:tc>
        <w:tc>
          <w:tcPr>
            <w:tcW w:w="11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荣居彩</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白色C6 20KG/桶</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Cs w:val="21"/>
              </w:rPr>
            </w:pPr>
            <w:r>
              <w:rPr>
                <w:rFonts w:hint="eastAsia"/>
                <w:color w:val="000000"/>
                <w:szCs w:val="21"/>
              </w:rPr>
              <w:t>2024/05/16/未标注</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甲醛含量、耐洗刷性（2000次）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szCs w:val="21"/>
              </w:rPr>
            </w:pPr>
            <w:r>
              <w:rPr>
                <w:rFonts w:ascii="宋体" w:hAnsi="宋体"/>
                <w:kern w:val="0"/>
                <w:szCs w:val="21"/>
              </w:rPr>
              <w:t>2</w:t>
            </w:r>
          </w:p>
        </w:tc>
        <w:tc>
          <w:tcPr>
            <w:tcW w:w="1622" w:type="dxa"/>
            <w:tcBorders>
              <w:top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北京泰琪三合商贸有限责任公司</w:t>
            </w:r>
          </w:p>
        </w:tc>
        <w:tc>
          <w:tcPr>
            <w:tcW w:w="208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国建实业河北有限公司</w:t>
            </w:r>
          </w:p>
        </w:tc>
        <w:tc>
          <w:tcPr>
            <w:tcW w:w="1598" w:type="dxa"/>
            <w:tcBorders>
              <w:top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郸彩高端外墙装饰水漆</w:t>
            </w:r>
          </w:p>
        </w:tc>
        <w:tc>
          <w:tcPr>
            <w:tcW w:w="11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丰源浩业</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6kg/桶/桶</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20240304/20240304211</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包装标志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kern w:val="0"/>
                <w:szCs w:val="21"/>
              </w:rPr>
            </w:pPr>
            <w:r>
              <w:rPr>
                <w:rFonts w:hint="eastAsia" w:ascii="宋体" w:hAnsi="宋体"/>
                <w:kern w:val="0"/>
                <w:szCs w:val="21"/>
              </w:rPr>
              <w:t>3</w:t>
            </w:r>
          </w:p>
        </w:tc>
        <w:tc>
          <w:tcPr>
            <w:tcW w:w="1622" w:type="dxa"/>
            <w:tcBorders>
              <w:top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北京福龙福顺建材有限公司</w:t>
            </w:r>
          </w:p>
        </w:tc>
        <w:tc>
          <w:tcPr>
            <w:tcW w:w="208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北京真德耀新材料科技有限公司</w:t>
            </w:r>
          </w:p>
        </w:tc>
        <w:tc>
          <w:tcPr>
            <w:tcW w:w="1598" w:type="dxa"/>
            <w:tcBorders>
              <w:top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水性抗菌无机矿物涂料（净味抗菌面漆）</w:t>
            </w:r>
          </w:p>
        </w:tc>
        <w:tc>
          <w:tcPr>
            <w:tcW w:w="11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真德耀</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7.5kg/6L/桶</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2023年3月2日/ZDY/SC/001</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耐洗刷性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kern w:val="0"/>
                <w:szCs w:val="21"/>
              </w:rPr>
            </w:pPr>
            <w:r>
              <w:rPr>
                <w:rFonts w:ascii="宋体" w:hAnsi="宋体"/>
                <w:kern w:val="0"/>
                <w:szCs w:val="21"/>
              </w:rPr>
              <w:t>4</w:t>
            </w:r>
          </w:p>
        </w:tc>
        <w:tc>
          <w:tcPr>
            <w:tcW w:w="1622" w:type="dxa"/>
            <w:tcBorders>
              <w:top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北京绿光森林照明科技有限公司</w:t>
            </w:r>
          </w:p>
        </w:tc>
        <w:tc>
          <w:tcPr>
            <w:tcW w:w="208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安徽科亦美建材有限公司</w:t>
            </w:r>
          </w:p>
        </w:tc>
        <w:tc>
          <w:tcPr>
            <w:tcW w:w="1598" w:type="dxa"/>
            <w:tcBorders>
              <w:top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金装五合一防霉防潮内墙漆</w:t>
            </w:r>
          </w:p>
        </w:tc>
        <w:tc>
          <w:tcPr>
            <w:tcW w:w="11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亚夏兄弟</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20kg/桶</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2024.03.15/未标注</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甲醛含量、耐洗刷性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kern w:val="0"/>
                <w:szCs w:val="21"/>
              </w:rPr>
            </w:pPr>
            <w:r>
              <w:rPr>
                <w:rFonts w:ascii="宋体" w:hAnsi="宋体"/>
                <w:kern w:val="0"/>
                <w:szCs w:val="21"/>
              </w:rPr>
              <w:t>5</w:t>
            </w:r>
          </w:p>
        </w:tc>
        <w:tc>
          <w:tcPr>
            <w:tcW w:w="1622" w:type="dxa"/>
            <w:tcBorders>
              <w:top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北京旺奎建材经销部</w:t>
            </w:r>
          </w:p>
        </w:tc>
        <w:tc>
          <w:tcPr>
            <w:tcW w:w="208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北京市瑞格尔涂料厂</w:t>
            </w:r>
          </w:p>
        </w:tc>
        <w:tc>
          <w:tcPr>
            <w:tcW w:w="1598" w:type="dxa"/>
            <w:tcBorders>
              <w:top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丙烯酸耐擦洗外墙墙面漆</w:t>
            </w:r>
          </w:p>
        </w:tc>
        <w:tc>
          <w:tcPr>
            <w:tcW w:w="11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小白</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20公斤/桶</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2024年06月15日/未标注</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烷基酚聚氧乙烯醚总和含量、耐洗刷性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kern w:val="0"/>
                <w:szCs w:val="21"/>
              </w:rPr>
            </w:pPr>
            <w:r>
              <w:rPr>
                <w:rFonts w:hint="eastAsia" w:ascii="宋体" w:hAnsi="宋体"/>
                <w:kern w:val="0"/>
                <w:szCs w:val="21"/>
              </w:rPr>
              <w:t>6</w:t>
            </w:r>
          </w:p>
        </w:tc>
        <w:tc>
          <w:tcPr>
            <w:tcW w:w="1622" w:type="dxa"/>
            <w:tcBorders>
              <w:top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北京百尚家美商贸有限公司</w:t>
            </w:r>
          </w:p>
        </w:tc>
        <w:tc>
          <w:tcPr>
            <w:tcW w:w="208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北京荣丰正盛建材有限公司</w:t>
            </w:r>
          </w:p>
        </w:tc>
        <w:tc>
          <w:tcPr>
            <w:tcW w:w="1598" w:type="dxa"/>
            <w:tcBorders>
              <w:top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内墙乳胶漆  （纯黑漆）</w:t>
            </w:r>
          </w:p>
        </w:tc>
        <w:tc>
          <w:tcPr>
            <w:tcW w:w="11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荣居彩</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20KG/桶 黑色</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2024/03/31/未标注</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甲醛含量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kern w:val="0"/>
                <w:szCs w:val="21"/>
              </w:rPr>
            </w:pPr>
            <w:r>
              <w:rPr>
                <w:rFonts w:hint="eastAsia" w:ascii="宋体" w:hAnsi="宋体"/>
                <w:kern w:val="0"/>
                <w:szCs w:val="21"/>
              </w:rPr>
              <w:t>7</w:t>
            </w:r>
          </w:p>
        </w:tc>
        <w:tc>
          <w:tcPr>
            <w:tcW w:w="1622" w:type="dxa"/>
            <w:tcBorders>
              <w:top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北京海旺鑫达商贸有限公司</w:t>
            </w:r>
          </w:p>
        </w:tc>
        <w:tc>
          <w:tcPr>
            <w:tcW w:w="208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蔚蓝海之韵科贸（北京）有限公司</w:t>
            </w:r>
          </w:p>
        </w:tc>
        <w:tc>
          <w:tcPr>
            <w:tcW w:w="1598" w:type="dxa"/>
            <w:tcBorders>
              <w:top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海之韵缤纷世界外墙漆</w:t>
            </w:r>
          </w:p>
        </w:tc>
        <w:tc>
          <w:tcPr>
            <w:tcW w:w="11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海之韵</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color w:val="000000"/>
                <w:szCs w:val="21"/>
              </w:rPr>
              <w:t>20KG/</w:t>
            </w:r>
            <w:r>
              <w:rPr>
                <w:rFonts w:hint="eastAsia"/>
                <w:color w:val="000000"/>
                <w:szCs w:val="21"/>
              </w:rPr>
              <w:t>桶</w:t>
            </w:r>
            <w:r>
              <w:rPr>
                <w:color w:val="000000"/>
                <w:szCs w:val="21"/>
              </w:rPr>
              <w:t xml:space="preserve"> W-60</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color w:val="000000"/>
                <w:szCs w:val="21"/>
              </w:rPr>
              <w:t>2024年7月28日/未标注</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包装标志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kern w:val="0"/>
                <w:szCs w:val="21"/>
              </w:rPr>
            </w:pPr>
            <w:r>
              <w:rPr>
                <w:rFonts w:hint="eastAsia" w:ascii="宋体" w:hAnsi="宋体"/>
                <w:kern w:val="0"/>
                <w:szCs w:val="21"/>
              </w:rPr>
              <w:t>8</w:t>
            </w:r>
          </w:p>
        </w:tc>
        <w:tc>
          <w:tcPr>
            <w:tcW w:w="1622" w:type="dxa"/>
            <w:tcBorders>
              <w:top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北京兆兴佳业商行</w:t>
            </w:r>
          </w:p>
        </w:tc>
        <w:tc>
          <w:tcPr>
            <w:tcW w:w="208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上海友康涂料有限公司</w:t>
            </w:r>
          </w:p>
        </w:tc>
        <w:tc>
          <w:tcPr>
            <w:tcW w:w="1598" w:type="dxa"/>
            <w:tcBorders>
              <w:top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丙烯酸外墙漆甲醛含量</w:t>
            </w:r>
          </w:p>
        </w:tc>
        <w:tc>
          <w:tcPr>
            <w:tcW w:w="11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嘉美漆</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color w:val="000000"/>
                <w:szCs w:val="21"/>
              </w:rPr>
              <w:t>18</w:t>
            </w:r>
            <w:r>
              <w:rPr>
                <w:rFonts w:hint="eastAsia"/>
                <w:color w:val="000000"/>
                <w:szCs w:val="21"/>
              </w:rPr>
              <w:t>升</w:t>
            </w:r>
            <w:r>
              <w:rPr>
                <w:color w:val="000000"/>
                <w:szCs w:val="21"/>
              </w:rPr>
              <w:t>/</w:t>
            </w:r>
            <w:r>
              <w:rPr>
                <w:rFonts w:hint="eastAsia"/>
                <w:color w:val="000000"/>
                <w:szCs w:val="21"/>
              </w:rPr>
              <w:t>桶</w:t>
            </w:r>
            <w:r>
              <w:rPr>
                <w:color w:val="000000"/>
                <w:szCs w:val="21"/>
              </w:rPr>
              <w:t xml:space="preserve"> </w:t>
            </w:r>
            <w:r>
              <w:rPr>
                <w:rFonts w:hint="eastAsia"/>
                <w:color w:val="000000"/>
                <w:szCs w:val="21"/>
              </w:rPr>
              <w:t>灰色</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color w:val="000000"/>
                <w:szCs w:val="21"/>
              </w:rPr>
              <w:t>2024/04/12/</w:t>
            </w:r>
            <w:r>
              <w:rPr>
                <w:rFonts w:hint="eastAsia"/>
                <w:color w:val="000000"/>
                <w:szCs w:val="21"/>
              </w:rPr>
              <w:t>未标注</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甲醛含量、透水性、耐洗刷性（2000次）、包装标志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kern w:val="0"/>
                <w:szCs w:val="21"/>
              </w:rPr>
            </w:pPr>
            <w:r>
              <w:rPr>
                <w:rFonts w:hint="eastAsia" w:ascii="宋体" w:hAnsi="宋体"/>
                <w:kern w:val="0"/>
                <w:szCs w:val="21"/>
              </w:rPr>
              <w:t>9</w:t>
            </w:r>
          </w:p>
        </w:tc>
        <w:tc>
          <w:tcPr>
            <w:tcW w:w="1622" w:type="dxa"/>
            <w:tcBorders>
              <w:top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北京吉盛祥瑞建材店</w:t>
            </w:r>
          </w:p>
        </w:tc>
        <w:tc>
          <w:tcPr>
            <w:tcW w:w="208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北京瑞格尔涂料厂</w:t>
            </w:r>
          </w:p>
        </w:tc>
        <w:tc>
          <w:tcPr>
            <w:tcW w:w="1598" w:type="dxa"/>
            <w:tcBorders>
              <w:top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耐候专业外墙漆（水性墙面漆）</w:t>
            </w:r>
          </w:p>
        </w:tc>
        <w:tc>
          <w:tcPr>
            <w:tcW w:w="11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交世达</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color w:val="000000"/>
                <w:szCs w:val="21"/>
              </w:rPr>
              <w:t>20公斤/桶 中灰</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color w:val="000000"/>
                <w:szCs w:val="21"/>
              </w:rPr>
              <w:t>2024</w:t>
            </w:r>
            <w:r>
              <w:rPr>
                <w:rFonts w:hint="eastAsia"/>
                <w:color w:val="000000"/>
                <w:szCs w:val="21"/>
              </w:rPr>
              <w:t>年</w:t>
            </w:r>
            <w:r>
              <w:rPr>
                <w:color w:val="000000"/>
                <w:szCs w:val="21"/>
              </w:rPr>
              <w:t>7</w:t>
            </w:r>
            <w:r>
              <w:rPr>
                <w:rFonts w:hint="eastAsia"/>
                <w:color w:val="000000"/>
                <w:szCs w:val="21"/>
              </w:rPr>
              <w:t>月</w:t>
            </w:r>
            <w:r>
              <w:rPr>
                <w:color w:val="000000"/>
                <w:szCs w:val="21"/>
              </w:rPr>
              <w:t>07</w:t>
            </w:r>
            <w:r>
              <w:rPr>
                <w:rFonts w:hint="eastAsia"/>
                <w:color w:val="000000"/>
                <w:szCs w:val="21"/>
              </w:rPr>
              <w:t>日</w:t>
            </w:r>
            <w:r>
              <w:rPr>
                <w:color w:val="000000"/>
                <w:szCs w:val="21"/>
              </w:rPr>
              <w:t>/</w:t>
            </w:r>
            <w:r>
              <w:rPr>
                <w:rFonts w:hint="eastAsia"/>
                <w:color w:val="000000"/>
                <w:szCs w:val="21"/>
              </w:rPr>
              <w:t>未标注</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烷基酚聚氧乙烯醚总和含量、透水性、耐洗刷性（2000次）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kern w:val="0"/>
                <w:szCs w:val="21"/>
              </w:rPr>
            </w:pPr>
            <w:r>
              <w:rPr>
                <w:rFonts w:hint="eastAsia" w:ascii="宋体" w:hAnsi="宋体"/>
                <w:kern w:val="0"/>
                <w:szCs w:val="21"/>
              </w:rPr>
              <w:t>1</w:t>
            </w:r>
            <w:r>
              <w:rPr>
                <w:rFonts w:ascii="宋体" w:hAnsi="宋体"/>
                <w:kern w:val="0"/>
                <w:szCs w:val="21"/>
              </w:rPr>
              <w:t>0</w:t>
            </w:r>
          </w:p>
        </w:tc>
        <w:tc>
          <w:tcPr>
            <w:tcW w:w="1622" w:type="dxa"/>
            <w:tcBorders>
              <w:top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北京盛鑫达隆商贸中心</w:t>
            </w:r>
          </w:p>
        </w:tc>
        <w:tc>
          <w:tcPr>
            <w:tcW w:w="208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北京市金星利明涂料有限公司</w:t>
            </w:r>
          </w:p>
        </w:tc>
        <w:tc>
          <w:tcPr>
            <w:tcW w:w="1598" w:type="dxa"/>
            <w:tcBorders>
              <w:top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纯丙晴雨外墙漆</w:t>
            </w:r>
          </w:p>
        </w:tc>
        <w:tc>
          <w:tcPr>
            <w:tcW w:w="11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嘉丽士</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22kg/桶</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2024年07月01日/未标注</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透水性、对比率（白色和浅色）、耐洗刷性（2000次）</w:t>
            </w:r>
          </w:p>
        </w:tc>
      </w:tr>
    </w:tbl>
    <w:p>
      <w:pPr>
        <w:adjustRightInd w:val="0"/>
        <w:snapToGrid w:val="0"/>
        <w:spacing w:line="560" w:lineRule="exact"/>
        <w:rPr>
          <w:rFonts w:eastAsia="黑体"/>
          <w:sz w:val="32"/>
          <w:szCs w:val="32"/>
        </w:rPr>
        <w:sectPr>
          <w:pgSz w:w="16838" w:h="11906" w:orient="landscape"/>
          <w:pgMar w:top="1587" w:right="2098" w:bottom="1474" w:left="1984" w:header="851" w:footer="992" w:gutter="0"/>
          <w:cols w:space="720" w:num="1"/>
          <w:docGrid w:type="lines" w:linePitch="326" w:charSpace="0"/>
        </w:sectPr>
      </w:pPr>
    </w:p>
    <w:p>
      <w:pPr>
        <w:adjustRightInd w:val="0"/>
        <w:snapToGrid w:val="0"/>
        <w:spacing w:line="578" w:lineRule="exact"/>
        <w:rPr>
          <w:rFonts w:eastAsia="黑体"/>
          <w:sz w:val="32"/>
          <w:szCs w:val="32"/>
        </w:rPr>
      </w:pPr>
      <w:r>
        <w:rPr>
          <w:rFonts w:hint="eastAsia" w:ascii="黑体" w:hAnsi="黑体" w:eastAsia="黑体" w:cs="黑体"/>
          <w:sz w:val="32"/>
          <w:szCs w:val="32"/>
        </w:rPr>
        <w:t>附件2</w:t>
      </w:r>
    </w:p>
    <w:p>
      <w:pPr>
        <w:adjustRightInd w:val="0"/>
        <w:snapToGrid w:val="0"/>
        <w:spacing w:line="578" w:lineRule="exact"/>
        <w:jc w:val="center"/>
        <w:rPr>
          <w:rFonts w:eastAsia="方正小标宋简体"/>
          <w:sz w:val="44"/>
          <w:szCs w:val="44"/>
        </w:rPr>
      </w:pPr>
      <w:r>
        <w:rPr>
          <w:rFonts w:eastAsia="方正小标宋简体"/>
          <w:sz w:val="44"/>
          <w:szCs w:val="44"/>
        </w:rPr>
        <w:t>不合格项目说明</w:t>
      </w:r>
    </w:p>
    <w:p>
      <w:pPr>
        <w:autoSpaceDE w:val="0"/>
        <w:autoSpaceDN w:val="0"/>
        <w:adjustRightInd w:val="0"/>
        <w:spacing w:line="480" w:lineRule="exact"/>
        <w:ind w:firstLine="640" w:firstLineChars="200"/>
        <w:rPr>
          <w:rFonts w:eastAsia="黑体"/>
          <w:sz w:val="32"/>
          <w:szCs w:val="30"/>
        </w:rPr>
      </w:pPr>
    </w:p>
    <w:p>
      <w:pPr>
        <w:widowControl w:val="0"/>
        <w:wordWrap/>
        <w:autoSpaceDE w:val="0"/>
        <w:autoSpaceDN w:val="0"/>
        <w:adjustRightInd w:val="0"/>
        <w:spacing w:line="578" w:lineRule="exact"/>
        <w:ind w:firstLine="640" w:firstLineChars="200"/>
        <w:textAlignment w:val="auto"/>
        <w:rPr>
          <w:rFonts w:eastAsia="黑体"/>
          <w:sz w:val="32"/>
          <w:szCs w:val="30"/>
        </w:rPr>
      </w:pPr>
      <w:r>
        <w:rPr>
          <w:rFonts w:hint="eastAsia" w:eastAsia="黑体"/>
          <w:sz w:val="32"/>
          <w:szCs w:val="30"/>
        </w:rPr>
        <w:t>一、甲醛</w:t>
      </w:r>
    </w:p>
    <w:p>
      <w:pPr>
        <w:widowControl w:val="0"/>
        <w:wordWrap/>
        <w:spacing w:line="578" w:lineRule="exact"/>
        <w:ind w:firstLine="640" w:firstLineChars="200"/>
        <w:textAlignment w:val="auto"/>
        <w:rPr>
          <w:rFonts w:ascii="仿宋_GB2312" w:eastAsia="仿宋_GB2312"/>
          <w:sz w:val="32"/>
          <w:szCs w:val="32"/>
        </w:rPr>
      </w:pPr>
      <w:r>
        <w:rPr>
          <w:rFonts w:ascii="仿宋_GB2312" w:eastAsia="仿宋_GB2312"/>
          <w:sz w:val="32"/>
          <w:szCs w:val="32"/>
        </w:rPr>
        <w:t>甲醛是一种已知的致癌物质，‌长期接触可能</w:t>
      </w:r>
      <w:r>
        <w:rPr>
          <w:rFonts w:hint="eastAsia" w:ascii="仿宋_GB2312" w:eastAsia="仿宋_GB2312"/>
          <w:sz w:val="32"/>
          <w:szCs w:val="32"/>
        </w:rPr>
        <w:t>会对人体造成多种影响，包括：刺激眼睛、鼻腔和喉咙、造成过敏反应、损害呼吸系统、毒害神经系统、影响免疫系统等，</w:t>
      </w:r>
      <w:r>
        <w:rPr>
          <w:rFonts w:ascii="仿宋_GB2312" w:eastAsia="仿宋_GB2312"/>
          <w:sz w:val="32"/>
          <w:szCs w:val="32"/>
        </w:rPr>
        <w:t>对消费者的健康构成威胁</w:t>
      </w:r>
      <w:r>
        <w:rPr>
          <w:rFonts w:hint="eastAsia" w:ascii="Arial" w:hAnsi="Arial" w:cs="Arial"/>
          <w:color w:val="333333"/>
          <w:szCs w:val="21"/>
          <w:shd w:val="clear" w:color="auto" w:fill="FFFFFF"/>
        </w:rPr>
        <w:t>。</w:t>
      </w:r>
      <w:r>
        <w:rPr>
          <w:rFonts w:hint="eastAsia" w:ascii="仿宋_GB2312" w:eastAsia="仿宋_GB2312"/>
          <w:sz w:val="32"/>
          <w:szCs w:val="32"/>
        </w:rPr>
        <w:t>涂料甲醛不合格的原因主要包括原材料中甲醛含量过高、</w:t>
      </w:r>
      <w:r>
        <w:rPr>
          <w:rFonts w:hint="eastAsia" w:ascii="MS Gothic" w:hAnsi="MS Gothic" w:eastAsia="MS Gothic" w:cs="MS Gothic"/>
          <w:sz w:val="32"/>
          <w:szCs w:val="32"/>
        </w:rPr>
        <w:t>‌</w:t>
      </w:r>
      <w:r>
        <w:rPr>
          <w:rFonts w:hint="eastAsia" w:ascii="仿宋_GB2312" w:hAnsi="仿宋_GB2312" w:eastAsia="仿宋_GB2312" w:cs="仿宋_GB2312"/>
          <w:sz w:val="32"/>
          <w:szCs w:val="32"/>
        </w:rPr>
        <w:t>企业对原材料把关不严、</w:t>
      </w:r>
      <w:r>
        <w:rPr>
          <w:rFonts w:hint="eastAsia" w:ascii="MS Gothic" w:hAnsi="MS Gothic" w:eastAsia="MS Gothic" w:cs="MS Gothic"/>
          <w:sz w:val="32"/>
          <w:szCs w:val="32"/>
        </w:rPr>
        <w:t>‌</w:t>
      </w:r>
      <w:r>
        <w:rPr>
          <w:rFonts w:hint="eastAsia" w:ascii="仿宋_GB2312" w:hAnsi="仿宋_GB2312" w:eastAsia="仿宋_GB2312" w:cs="仿宋_GB2312"/>
          <w:sz w:val="32"/>
          <w:szCs w:val="32"/>
        </w:rPr>
        <w:t>以及使用不合格的原材料生产涂料。</w:t>
      </w:r>
      <w:r>
        <w:rPr>
          <w:rFonts w:hint="eastAsia" w:ascii="MS Gothic" w:hAnsi="MS Gothic" w:eastAsia="MS Gothic" w:cs="MS Gothic"/>
          <w:sz w:val="32"/>
          <w:szCs w:val="32"/>
        </w:rPr>
        <w:t>‌</w:t>
      </w:r>
      <w:r>
        <w:rPr>
          <w:rFonts w:hint="eastAsia" w:ascii="仿宋_GB2312" w:eastAsia="仿宋_GB2312"/>
          <w:sz w:val="32"/>
          <w:szCs w:val="32"/>
        </w:rPr>
        <w:t>厂家应检查产品原材料中甲醛含量，通过调整原材料和生产工艺等环节，让产品中甲醛含量符合国家标准</w:t>
      </w:r>
      <w:r>
        <w:rPr>
          <w:rFonts w:eastAsia="仿宋_GB2312"/>
          <w:sz w:val="32"/>
          <w:szCs w:val="32"/>
        </w:rPr>
        <w:t>GB 18582-2020</w:t>
      </w:r>
      <w:r>
        <w:rPr>
          <w:rFonts w:hint="eastAsia" w:ascii="仿宋_GB2312" w:eastAsia="仿宋_GB2312"/>
          <w:sz w:val="32"/>
          <w:szCs w:val="32"/>
        </w:rPr>
        <w:t>中甲醛含量的限量要求。</w:t>
      </w:r>
    </w:p>
    <w:p>
      <w:pPr>
        <w:widowControl w:val="0"/>
        <w:wordWrap/>
        <w:spacing w:line="578" w:lineRule="exact"/>
        <w:ind w:firstLine="640" w:firstLineChars="200"/>
        <w:textAlignment w:val="auto"/>
        <w:rPr>
          <w:rFonts w:eastAsia="黑体"/>
          <w:sz w:val="32"/>
          <w:szCs w:val="30"/>
        </w:rPr>
      </w:pPr>
      <w:r>
        <w:rPr>
          <w:rFonts w:hint="eastAsia" w:eastAsia="黑体"/>
          <w:sz w:val="32"/>
          <w:szCs w:val="30"/>
        </w:rPr>
        <w:t>二、烷基酚聚氧乙烯醚（A</w:t>
      </w:r>
      <w:r>
        <w:rPr>
          <w:rFonts w:eastAsia="黑体"/>
          <w:sz w:val="32"/>
          <w:szCs w:val="30"/>
        </w:rPr>
        <w:t>PEO</w:t>
      </w:r>
      <w:r>
        <w:rPr>
          <w:rFonts w:hint="eastAsia" w:eastAsia="黑体"/>
          <w:sz w:val="32"/>
          <w:szCs w:val="30"/>
        </w:rPr>
        <w:t>）总和</w:t>
      </w:r>
    </w:p>
    <w:p>
      <w:pPr>
        <w:widowControl w:val="0"/>
        <w:tabs>
          <w:tab w:val="left" w:pos="900"/>
        </w:tabs>
        <w:wordWrap/>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APEO是目前被广泛使用的非离子表面活性剂的主要代表，易挥发</w:t>
      </w:r>
      <w:r>
        <w:rPr>
          <w:rFonts w:hint="eastAsia" w:ascii="仿宋_GB2312" w:eastAsia="仿宋_GB2312"/>
          <w:sz w:val="32"/>
          <w:szCs w:val="32"/>
          <w:lang w:eastAsia="zh-CN"/>
        </w:rPr>
        <w:t>，</w:t>
      </w:r>
      <w:r>
        <w:rPr>
          <w:rFonts w:hint="eastAsia" w:ascii="仿宋_GB2312" w:eastAsia="仿宋_GB2312"/>
          <w:sz w:val="32"/>
          <w:szCs w:val="32"/>
        </w:rPr>
        <w:t>很容易就被人体吸收，主要危害有扰乱女性雌激素分泌、刺激人体癌细胞扩散。此类</w:t>
      </w:r>
      <w:r>
        <w:rPr>
          <w:rFonts w:hint="eastAsia" w:ascii="仿宋_GB2312" w:eastAsia="仿宋_GB2312"/>
          <w:sz w:val="32"/>
          <w:szCs w:val="32"/>
          <w:lang w:eastAsia="zh-CN"/>
        </w:rPr>
        <w:t>物质</w:t>
      </w:r>
      <w:r>
        <w:rPr>
          <w:rFonts w:hint="eastAsia" w:ascii="仿宋_GB2312" w:eastAsia="仿宋_GB2312"/>
          <w:sz w:val="32"/>
          <w:szCs w:val="32"/>
        </w:rPr>
        <w:t>不合格大多是因为厂家为了降低成本，将A</w:t>
      </w:r>
      <w:r>
        <w:rPr>
          <w:rFonts w:ascii="仿宋_GB2312" w:eastAsia="仿宋_GB2312"/>
          <w:sz w:val="32"/>
          <w:szCs w:val="32"/>
        </w:rPr>
        <w:t>PEO</w:t>
      </w:r>
      <w:r>
        <w:rPr>
          <w:rFonts w:hint="eastAsia" w:ascii="仿宋_GB2312" w:eastAsia="仿宋_GB2312"/>
          <w:sz w:val="32"/>
          <w:szCs w:val="32"/>
        </w:rPr>
        <w:t>作为助剂添加到产品中起到乳化和渗透的作用。</w:t>
      </w:r>
    </w:p>
    <w:p>
      <w:pPr>
        <w:widowControl w:val="0"/>
        <w:wordWrap/>
        <w:spacing w:line="578" w:lineRule="exact"/>
        <w:ind w:firstLine="640" w:firstLineChars="200"/>
        <w:textAlignment w:val="auto"/>
        <w:rPr>
          <w:rFonts w:eastAsia="黑体"/>
          <w:sz w:val="32"/>
          <w:szCs w:val="30"/>
        </w:rPr>
      </w:pPr>
      <w:r>
        <w:rPr>
          <w:rFonts w:hint="eastAsia" w:eastAsia="黑体"/>
          <w:sz w:val="32"/>
          <w:szCs w:val="30"/>
        </w:rPr>
        <w:t>三、耐洗刷性</w:t>
      </w:r>
    </w:p>
    <w:p>
      <w:pPr>
        <w:widowControl w:val="0"/>
        <w:wordWrap/>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耐洗刷性是衡量涂料质量的重要指标之一，</w:t>
      </w:r>
      <w:r>
        <w:rPr>
          <w:rFonts w:hint="eastAsia" w:ascii="MS Gothic" w:hAnsi="MS Gothic" w:eastAsia="MS Gothic" w:cs="MS Gothic"/>
          <w:sz w:val="32"/>
          <w:szCs w:val="32"/>
        </w:rPr>
        <w:t>‌</w:t>
      </w:r>
      <w:r>
        <w:rPr>
          <w:rFonts w:hint="eastAsia" w:ascii="仿宋_GB2312" w:eastAsia="仿宋_GB2312"/>
          <w:sz w:val="32"/>
          <w:szCs w:val="32"/>
        </w:rPr>
        <w:t>耐洗刷性影响涂料产品使用寿命，不合格的耐洗刷性可能导致墙面在使用过程中出现剥落、</w:t>
      </w:r>
      <w:r>
        <w:rPr>
          <w:rFonts w:hint="eastAsia" w:ascii="MS Gothic" w:hAnsi="MS Gothic" w:eastAsia="MS Gothic" w:cs="MS Gothic"/>
          <w:sz w:val="32"/>
          <w:szCs w:val="32"/>
        </w:rPr>
        <w:t>‌</w:t>
      </w:r>
      <w:r>
        <w:rPr>
          <w:rFonts w:hint="eastAsia" w:ascii="仿宋_GB2312" w:hAnsi="仿宋_GB2312" w:eastAsia="仿宋_GB2312" w:cs="仿宋_GB2312"/>
          <w:sz w:val="32"/>
          <w:szCs w:val="32"/>
        </w:rPr>
        <w:t>掉粉等现象，</w:t>
      </w:r>
      <w:r>
        <w:rPr>
          <w:rFonts w:hint="eastAsia" w:ascii="MS Gothic" w:hAnsi="MS Gothic" w:eastAsia="MS Gothic" w:cs="MS Gothic"/>
          <w:sz w:val="32"/>
          <w:szCs w:val="32"/>
        </w:rPr>
        <w:t>‌</w:t>
      </w:r>
      <w:r>
        <w:rPr>
          <w:rFonts w:hint="eastAsia" w:ascii="仿宋_GB2312" w:hAnsi="仿宋_GB2312" w:eastAsia="仿宋_GB2312" w:cs="仿宋_GB2312"/>
          <w:sz w:val="32"/>
          <w:szCs w:val="32"/>
        </w:rPr>
        <w:t>影响墙面的美观和保护功能。该项目不合格的原因是</w:t>
      </w:r>
      <w:r>
        <w:rPr>
          <w:rFonts w:hint="eastAsia" w:ascii="MS Gothic" w:hAnsi="MS Gothic" w:eastAsia="MS Gothic" w:cs="MS Gothic"/>
          <w:sz w:val="32"/>
          <w:szCs w:val="32"/>
        </w:rPr>
        <w:t>‌</w:t>
      </w:r>
      <w:r>
        <w:rPr>
          <w:rFonts w:ascii="仿宋_GB2312" w:eastAsia="仿宋_GB2312"/>
          <w:sz w:val="32"/>
          <w:szCs w:val="32"/>
        </w:rPr>
        <w:t>部分企业为了降低成本，‌‌在生产过程中减少乳液和钛白粉的加入量</w:t>
      </w:r>
      <w:r>
        <w:rPr>
          <w:rFonts w:hint="eastAsia" w:ascii="仿宋_GB2312" w:eastAsia="仿宋_GB2312"/>
          <w:sz w:val="32"/>
          <w:szCs w:val="32"/>
        </w:rPr>
        <w:t>或是</w:t>
      </w:r>
      <w:r>
        <w:rPr>
          <w:rFonts w:ascii="仿宋_GB2312" w:eastAsia="仿宋_GB2312"/>
          <w:sz w:val="32"/>
          <w:szCs w:val="32"/>
        </w:rPr>
        <w:t>选用价廉质次的原材料‌导致涂料的</w:t>
      </w:r>
      <w:r>
        <w:rPr>
          <w:rFonts w:hint="eastAsia" w:ascii="仿宋_GB2312" w:eastAsia="仿宋_GB2312"/>
          <w:sz w:val="32"/>
          <w:szCs w:val="32"/>
        </w:rPr>
        <w:t>耐洗刷性</w:t>
      </w:r>
      <w:r>
        <w:rPr>
          <w:rFonts w:ascii="仿宋_GB2312" w:eastAsia="仿宋_GB2312"/>
          <w:sz w:val="32"/>
          <w:szCs w:val="32"/>
        </w:rPr>
        <w:t>质量下降。‌</w:t>
      </w:r>
    </w:p>
    <w:p>
      <w:pPr>
        <w:widowControl w:val="0"/>
        <w:wordWrap/>
        <w:spacing w:line="578" w:lineRule="exact"/>
        <w:ind w:firstLine="640" w:firstLineChars="200"/>
        <w:textAlignment w:val="auto"/>
        <w:rPr>
          <w:rFonts w:eastAsia="黑体"/>
          <w:sz w:val="32"/>
          <w:szCs w:val="30"/>
        </w:rPr>
      </w:pPr>
      <w:r>
        <w:rPr>
          <w:rFonts w:hint="eastAsia" w:eastAsia="黑体"/>
          <w:sz w:val="32"/>
          <w:szCs w:val="30"/>
        </w:rPr>
        <w:t>四、透水性</w:t>
      </w:r>
    </w:p>
    <w:p>
      <w:pPr>
        <w:widowControl w:val="0"/>
        <w:wordWrap/>
        <w:snapToGrid w:val="0"/>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涂料透水性是指涂料涂膜阻止水分透过的能力</w:t>
      </w:r>
      <w:r>
        <w:rPr>
          <w:rFonts w:hint="eastAsia" w:ascii="MS Gothic" w:hAnsi="MS Gothic" w:eastAsia="MS Gothic" w:cs="MS Gothic"/>
          <w:sz w:val="32"/>
          <w:szCs w:val="32"/>
        </w:rPr>
        <w:t>‌</w:t>
      </w:r>
      <w:r>
        <w:rPr>
          <w:rFonts w:hint="eastAsia" w:ascii="仿宋_GB2312" w:hAnsi="仿宋_GB2312" w:eastAsia="仿宋_GB2312" w:cs="仿宋_GB2312"/>
          <w:sz w:val="32"/>
          <w:szCs w:val="32"/>
        </w:rPr>
        <w:t>。这种能力对于保护建筑外墙非常重要，因为如果水分能够透过涂层进入墙面，可能会导致墙体结构和保温系统受损。</w:t>
      </w:r>
      <w:r>
        <w:rPr>
          <w:rFonts w:hint="eastAsia" w:ascii="仿宋_GB2312" w:eastAsia="仿宋_GB2312"/>
          <w:sz w:val="32"/>
          <w:szCs w:val="32"/>
        </w:rPr>
        <w:t>造成此项目不合格的原因有：（1）产品配方设计缺陷，成膜物质占比较少，颜填料占比较高，导致涂膜不致密，吸水率较大，不能有效阻挡水分子进入；（2）使用的成膜物质疏水效果较差或未使用疏水助剂；（3）质量把控不严格，生产环节原材料加量不准确导致涂料批次不稳定。透水率不合格的后果是漆膜寿命变短，易引起起泡、脱落、发花等质量问题，不能有效阻挡环境中的水分进入墙体，减少建筑物寿命。</w:t>
      </w:r>
    </w:p>
    <w:p>
      <w:pPr>
        <w:widowControl w:val="0"/>
        <w:wordWrap/>
        <w:spacing w:line="578" w:lineRule="exact"/>
        <w:ind w:firstLine="640" w:firstLineChars="200"/>
        <w:textAlignment w:val="auto"/>
        <w:rPr>
          <w:rFonts w:eastAsia="黑体"/>
          <w:sz w:val="32"/>
          <w:szCs w:val="30"/>
        </w:rPr>
      </w:pPr>
      <w:r>
        <w:rPr>
          <w:rFonts w:hint="eastAsia" w:eastAsia="黑体"/>
          <w:sz w:val="32"/>
          <w:szCs w:val="30"/>
        </w:rPr>
        <w:t>五、对比率</w:t>
      </w:r>
    </w:p>
    <w:p>
      <w:pPr>
        <w:widowControl w:val="0"/>
        <w:wordWrap/>
        <w:snapToGrid w:val="0"/>
        <w:spacing w:line="578" w:lineRule="exact"/>
        <w:ind w:firstLine="640" w:firstLineChars="200"/>
        <w:textAlignment w:val="auto"/>
        <w:rPr>
          <w:rFonts w:ascii="仿宋_GB2312" w:eastAsia="仿宋_GB2312"/>
          <w:sz w:val="32"/>
          <w:szCs w:val="32"/>
        </w:rPr>
      </w:pPr>
      <w:r>
        <w:rPr>
          <w:rFonts w:hint="cs" w:ascii="仿宋_GB2312" w:eastAsia="仿宋_GB2312"/>
          <w:sz w:val="32"/>
          <w:szCs w:val="32"/>
        </w:rPr>
        <w:t>‌</w:t>
      </w:r>
      <w:r>
        <w:rPr>
          <w:rFonts w:hint="eastAsia" w:ascii="仿宋_GB2312" w:eastAsia="仿宋_GB2312"/>
          <w:sz w:val="32"/>
          <w:szCs w:val="32"/>
        </w:rPr>
        <w:t>涂料对比率</w:t>
      </w:r>
      <w:r>
        <w:rPr>
          <w:rFonts w:hint="eastAsia" w:ascii="MS Gothic" w:hAnsi="MS Gothic" w:eastAsia="MS Gothic" w:cs="MS Gothic"/>
          <w:sz w:val="32"/>
          <w:szCs w:val="32"/>
        </w:rPr>
        <w:t>‌</w:t>
      </w:r>
      <w:r>
        <w:rPr>
          <w:rFonts w:hint="eastAsia" w:ascii="仿宋_GB2312" w:hAnsi="仿宋_GB2312" w:eastAsia="仿宋_GB2312" w:cs="仿宋_GB2312"/>
          <w:sz w:val="32"/>
          <w:szCs w:val="32"/>
        </w:rPr>
        <w:t>是衡量涂料遮盖能力的指标，通常用于评估白色及浅色涂料的性</w:t>
      </w:r>
      <w:r>
        <w:rPr>
          <w:rFonts w:hint="eastAsia" w:ascii="仿宋_GB2312" w:eastAsia="仿宋_GB2312"/>
          <w:sz w:val="32"/>
          <w:szCs w:val="32"/>
        </w:rPr>
        <w:t>能。造成此项目不合格的原因有：（1）产品配方设计缺陷，提供遮盖力的关键原材料添加量较少或质量较差，如乳液、钛白粉等；（2）质量把控不严格，生产环节原材料加量不准确，未按标准要求进行出厂检验；（3）原材料质量不稳定造成涂料批次不稳定。对比率不合格造成油漆涂料遮盖不住底材的颜色，使装饰面层看起来颜色不均匀，影响装饰效果。</w:t>
      </w:r>
    </w:p>
    <w:p>
      <w:pPr>
        <w:widowControl w:val="0"/>
        <w:wordWrap/>
        <w:spacing w:line="578" w:lineRule="exact"/>
        <w:ind w:firstLine="640" w:firstLineChars="200"/>
        <w:textAlignment w:val="auto"/>
        <w:rPr>
          <w:rFonts w:eastAsia="黑体"/>
          <w:sz w:val="32"/>
          <w:szCs w:val="30"/>
        </w:rPr>
      </w:pPr>
      <w:r>
        <w:rPr>
          <w:rFonts w:hint="eastAsia" w:eastAsia="黑体"/>
          <w:sz w:val="32"/>
          <w:szCs w:val="30"/>
        </w:rPr>
        <w:t>六、包装标志</w:t>
      </w:r>
    </w:p>
    <w:p>
      <w:pPr>
        <w:widowControl w:val="0"/>
        <w:wordWrap/>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包装标志作为通过文字、图形、符号等说明产品质量、使用方法及其他内容的一种信息载体，不仅是生产经营者对产品质量做出的一种承诺，也是对产品性能、用途、注意事项的说明。完整的标识标签不仅可以传递质量安全信息、确保可追溯性、保护知情消费权、指导用户正确使用，同时还可以降低交易成本、规避风险等。在北京市生产和销售的油漆涂料类产品应严格执行北京市地方标准DB11/ 1983-2022中对于包装标志的规定</w:t>
      </w:r>
      <w:r>
        <w:rPr>
          <w:rFonts w:hint="eastAsia" w:ascii="仿宋_GB2312" w:eastAsia="仿宋_GB2312"/>
          <w:sz w:val="32"/>
          <w:szCs w:val="32"/>
          <w:lang w:eastAsia="zh-CN"/>
        </w:rPr>
        <w:t>，</w:t>
      </w:r>
      <w:r>
        <w:rPr>
          <w:rFonts w:hint="eastAsia" w:ascii="仿宋_GB2312" w:eastAsia="仿宋_GB2312"/>
          <w:sz w:val="32"/>
          <w:szCs w:val="32"/>
        </w:rPr>
        <w:t>否则无法</w:t>
      </w:r>
      <w:r>
        <w:rPr>
          <w:rFonts w:hint="eastAsia" w:ascii="仿宋_GB2312" w:eastAsia="仿宋_GB2312"/>
          <w:sz w:val="32"/>
          <w:szCs w:val="32"/>
          <w:lang w:eastAsia="zh-CN"/>
        </w:rPr>
        <w:t>根据</w:t>
      </w:r>
      <w:r>
        <w:rPr>
          <w:rFonts w:hint="eastAsia" w:ascii="仿宋_GB2312" w:eastAsia="仿宋_GB2312"/>
          <w:sz w:val="32"/>
          <w:szCs w:val="32"/>
        </w:rPr>
        <w:t>产品的使用场景进行正确使用，也无法判断产品的VOC含量，易造成不合理使用。</w:t>
      </w:r>
    </w:p>
    <w:p>
      <w:pPr>
        <w:widowControl w:val="0"/>
        <w:wordWrap/>
        <w:snapToGrid w:val="0"/>
        <w:spacing w:line="578" w:lineRule="exact"/>
        <w:ind w:firstLine="640" w:firstLineChars="200"/>
        <w:textAlignment w:val="auto"/>
        <w:rPr>
          <w:rFonts w:ascii="仿宋_GB2312" w:eastAsia="仿宋_GB2312"/>
          <w:sz w:val="32"/>
          <w:szCs w:val="32"/>
        </w:rPr>
      </w:pPr>
    </w:p>
    <w:p>
      <w:pPr>
        <w:widowControl w:val="0"/>
        <w:wordWrap/>
        <w:spacing w:line="578" w:lineRule="exact"/>
        <w:ind w:firstLine="640" w:firstLineChars="200"/>
        <w:textAlignment w:val="auto"/>
        <w:rPr>
          <w:rFonts w:ascii="仿宋_GB2312" w:eastAsia="仿宋_GB2312"/>
          <w:sz w:val="32"/>
          <w:szCs w:val="32"/>
        </w:rPr>
      </w:pPr>
    </w:p>
    <w:sectPr>
      <w:pgSz w:w="11906" w:h="16838"/>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书宋_GBK">
    <w:altName w:val="Arial Unicode MS"/>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S Gothic">
    <w:panose1 w:val="020B0609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DhkNjQ5NWIzYmE1MTQzMmY2ZmI4ZTFiZjUzZDFkMzcifQ=="/>
  </w:docVars>
  <w:rsids>
    <w:rsidRoot w:val="CEA33675"/>
    <w:rsid w:val="000146A2"/>
    <w:rsid w:val="000657C8"/>
    <w:rsid w:val="00090D80"/>
    <w:rsid w:val="0009429F"/>
    <w:rsid w:val="000F0D7A"/>
    <w:rsid w:val="001138BB"/>
    <w:rsid w:val="0012325C"/>
    <w:rsid w:val="001B041C"/>
    <w:rsid w:val="001C04CD"/>
    <w:rsid w:val="001E27CE"/>
    <w:rsid w:val="0021664F"/>
    <w:rsid w:val="0022088B"/>
    <w:rsid w:val="002273B4"/>
    <w:rsid w:val="00245769"/>
    <w:rsid w:val="00261EFE"/>
    <w:rsid w:val="002F1396"/>
    <w:rsid w:val="00364008"/>
    <w:rsid w:val="003653A8"/>
    <w:rsid w:val="00373505"/>
    <w:rsid w:val="003C0629"/>
    <w:rsid w:val="003D11A1"/>
    <w:rsid w:val="003E2FDE"/>
    <w:rsid w:val="004112E0"/>
    <w:rsid w:val="00430BF5"/>
    <w:rsid w:val="00446D29"/>
    <w:rsid w:val="004A22DF"/>
    <w:rsid w:val="004C614E"/>
    <w:rsid w:val="004D78A7"/>
    <w:rsid w:val="004F1E06"/>
    <w:rsid w:val="005572D1"/>
    <w:rsid w:val="0058387E"/>
    <w:rsid w:val="005A6EB6"/>
    <w:rsid w:val="005D3BD5"/>
    <w:rsid w:val="00652E5D"/>
    <w:rsid w:val="006A196A"/>
    <w:rsid w:val="006E642C"/>
    <w:rsid w:val="00712B8F"/>
    <w:rsid w:val="00720854"/>
    <w:rsid w:val="00723A20"/>
    <w:rsid w:val="007314A3"/>
    <w:rsid w:val="007A7B3E"/>
    <w:rsid w:val="00817C39"/>
    <w:rsid w:val="00853EA4"/>
    <w:rsid w:val="00862D44"/>
    <w:rsid w:val="00874662"/>
    <w:rsid w:val="008A6A3A"/>
    <w:rsid w:val="008D1655"/>
    <w:rsid w:val="008F334B"/>
    <w:rsid w:val="00914BA7"/>
    <w:rsid w:val="009216EE"/>
    <w:rsid w:val="00947BDC"/>
    <w:rsid w:val="00960F42"/>
    <w:rsid w:val="00963FD1"/>
    <w:rsid w:val="009751A3"/>
    <w:rsid w:val="009838F7"/>
    <w:rsid w:val="00991D9C"/>
    <w:rsid w:val="00AB4FEA"/>
    <w:rsid w:val="00AE3BE1"/>
    <w:rsid w:val="00B61E18"/>
    <w:rsid w:val="00BA7A73"/>
    <w:rsid w:val="00BB64A9"/>
    <w:rsid w:val="00C227F8"/>
    <w:rsid w:val="00C42880"/>
    <w:rsid w:val="00C54DAE"/>
    <w:rsid w:val="00C60ABB"/>
    <w:rsid w:val="00C955F2"/>
    <w:rsid w:val="00CE2867"/>
    <w:rsid w:val="00D46C9C"/>
    <w:rsid w:val="00D51619"/>
    <w:rsid w:val="00D723AC"/>
    <w:rsid w:val="00DA70C5"/>
    <w:rsid w:val="00DC23F6"/>
    <w:rsid w:val="00DE2A68"/>
    <w:rsid w:val="00E060BD"/>
    <w:rsid w:val="00E6424F"/>
    <w:rsid w:val="00E86B28"/>
    <w:rsid w:val="00EC6502"/>
    <w:rsid w:val="00ED13E8"/>
    <w:rsid w:val="00EF45D4"/>
    <w:rsid w:val="00F90C23"/>
    <w:rsid w:val="00F94DEE"/>
    <w:rsid w:val="00FC7064"/>
    <w:rsid w:val="012C72FF"/>
    <w:rsid w:val="01E62953"/>
    <w:rsid w:val="051B624A"/>
    <w:rsid w:val="06D00421"/>
    <w:rsid w:val="06D2735E"/>
    <w:rsid w:val="08DA663E"/>
    <w:rsid w:val="0AF43FA5"/>
    <w:rsid w:val="0B607C96"/>
    <w:rsid w:val="0BFA31FD"/>
    <w:rsid w:val="0F5C44E0"/>
    <w:rsid w:val="10334CEB"/>
    <w:rsid w:val="114F36F3"/>
    <w:rsid w:val="11F76F13"/>
    <w:rsid w:val="129A3715"/>
    <w:rsid w:val="12EA5F3C"/>
    <w:rsid w:val="152F114F"/>
    <w:rsid w:val="157C7D44"/>
    <w:rsid w:val="180F7009"/>
    <w:rsid w:val="19A759A9"/>
    <w:rsid w:val="1A453AD4"/>
    <w:rsid w:val="1ABA6BE8"/>
    <w:rsid w:val="1BF530EC"/>
    <w:rsid w:val="1C566B72"/>
    <w:rsid w:val="1D9CDAB1"/>
    <w:rsid w:val="1E462670"/>
    <w:rsid w:val="1FD81ACE"/>
    <w:rsid w:val="1FE551BA"/>
    <w:rsid w:val="209D7431"/>
    <w:rsid w:val="20BB01D1"/>
    <w:rsid w:val="214A68E4"/>
    <w:rsid w:val="256E65CD"/>
    <w:rsid w:val="2579669A"/>
    <w:rsid w:val="25D36F81"/>
    <w:rsid w:val="25F25C1A"/>
    <w:rsid w:val="26FA033F"/>
    <w:rsid w:val="271B1AD1"/>
    <w:rsid w:val="283050FB"/>
    <w:rsid w:val="29921969"/>
    <w:rsid w:val="2A6D5636"/>
    <w:rsid w:val="2B885E95"/>
    <w:rsid w:val="2EB20D10"/>
    <w:rsid w:val="2EE210E8"/>
    <w:rsid w:val="2F4E2FA9"/>
    <w:rsid w:val="2FD55531"/>
    <w:rsid w:val="3009464F"/>
    <w:rsid w:val="35BC7DF1"/>
    <w:rsid w:val="35FFBAC7"/>
    <w:rsid w:val="36184342"/>
    <w:rsid w:val="37491AC0"/>
    <w:rsid w:val="37E21305"/>
    <w:rsid w:val="38363A52"/>
    <w:rsid w:val="384B5912"/>
    <w:rsid w:val="38724802"/>
    <w:rsid w:val="388D35B6"/>
    <w:rsid w:val="3900273C"/>
    <w:rsid w:val="3995580F"/>
    <w:rsid w:val="39B572D8"/>
    <w:rsid w:val="39CF5EB3"/>
    <w:rsid w:val="3AC8778F"/>
    <w:rsid w:val="3CBA3AD2"/>
    <w:rsid w:val="3DEC62BF"/>
    <w:rsid w:val="3DF00289"/>
    <w:rsid w:val="424A3F74"/>
    <w:rsid w:val="434268E8"/>
    <w:rsid w:val="43FC1E54"/>
    <w:rsid w:val="47B02DD1"/>
    <w:rsid w:val="47C769B8"/>
    <w:rsid w:val="47E33234"/>
    <w:rsid w:val="48EF2337"/>
    <w:rsid w:val="499E6BB1"/>
    <w:rsid w:val="4A424F9A"/>
    <w:rsid w:val="4A5101BB"/>
    <w:rsid w:val="4AA0564A"/>
    <w:rsid w:val="4BB22927"/>
    <w:rsid w:val="4D637434"/>
    <w:rsid w:val="4D9303E8"/>
    <w:rsid w:val="4FBD69B4"/>
    <w:rsid w:val="51774260"/>
    <w:rsid w:val="52D10CEE"/>
    <w:rsid w:val="54C620A2"/>
    <w:rsid w:val="559471D1"/>
    <w:rsid w:val="5614157C"/>
    <w:rsid w:val="565F2DC9"/>
    <w:rsid w:val="568AF34E"/>
    <w:rsid w:val="5882320D"/>
    <w:rsid w:val="58ED14F8"/>
    <w:rsid w:val="59444FAC"/>
    <w:rsid w:val="5A4B01B0"/>
    <w:rsid w:val="5B075609"/>
    <w:rsid w:val="5BDA3AC8"/>
    <w:rsid w:val="5BE54F7D"/>
    <w:rsid w:val="5D564930"/>
    <w:rsid w:val="5E5FEDC6"/>
    <w:rsid w:val="5F597892"/>
    <w:rsid w:val="5F922859"/>
    <w:rsid w:val="5FA738A6"/>
    <w:rsid w:val="5FEB236A"/>
    <w:rsid w:val="613B6AAF"/>
    <w:rsid w:val="624F5057"/>
    <w:rsid w:val="62522352"/>
    <w:rsid w:val="62965BBE"/>
    <w:rsid w:val="67054BE9"/>
    <w:rsid w:val="6775C452"/>
    <w:rsid w:val="68195E58"/>
    <w:rsid w:val="6A3301FA"/>
    <w:rsid w:val="6C37119B"/>
    <w:rsid w:val="6EEE1E91"/>
    <w:rsid w:val="6F6F9EAB"/>
    <w:rsid w:val="6F7BEE00"/>
    <w:rsid w:val="6FFF5FA7"/>
    <w:rsid w:val="70721011"/>
    <w:rsid w:val="711C739F"/>
    <w:rsid w:val="721241AC"/>
    <w:rsid w:val="742020BD"/>
    <w:rsid w:val="748B4A78"/>
    <w:rsid w:val="74C90CAB"/>
    <w:rsid w:val="74DF73E6"/>
    <w:rsid w:val="76A7C3DC"/>
    <w:rsid w:val="776B5217"/>
    <w:rsid w:val="77CEB182"/>
    <w:rsid w:val="77EF454B"/>
    <w:rsid w:val="79E25542"/>
    <w:rsid w:val="7A4D5201"/>
    <w:rsid w:val="7A765426"/>
    <w:rsid w:val="7AF7E53A"/>
    <w:rsid w:val="7B2E2E0F"/>
    <w:rsid w:val="7B521B19"/>
    <w:rsid w:val="7B763486"/>
    <w:rsid w:val="7BE1317A"/>
    <w:rsid w:val="7BEEE464"/>
    <w:rsid w:val="7BFFA55C"/>
    <w:rsid w:val="7C7DB1F4"/>
    <w:rsid w:val="7C964B41"/>
    <w:rsid w:val="7CCF4424"/>
    <w:rsid w:val="7D5F0483"/>
    <w:rsid w:val="7D6D4907"/>
    <w:rsid w:val="7DA45C3F"/>
    <w:rsid w:val="7DB42EB3"/>
    <w:rsid w:val="7DEF0A84"/>
    <w:rsid w:val="7DF1174F"/>
    <w:rsid w:val="7E8D76B1"/>
    <w:rsid w:val="7EB65A35"/>
    <w:rsid w:val="7F2BA95C"/>
    <w:rsid w:val="7FA30D0D"/>
    <w:rsid w:val="7FF51143"/>
    <w:rsid w:val="7FFF51F5"/>
    <w:rsid w:val="7FFF6AD9"/>
    <w:rsid w:val="7FFFC0F5"/>
    <w:rsid w:val="9DCFDC35"/>
    <w:rsid w:val="BCFEC77E"/>
    <w:rsid w:val="BE7FEF8E"/>
    <w:rsid w:val="BF5C8D35"/>
    <w:rsid w:val="CEA33675"/>
    <w:rsid w:val="CEFF7CEC"/>
    <w:rsid w:val="CFFD8A47"/>
    <w:rsid w:val="D3F6E079"/>
    <w:rsid w:val="DF1D8AC5"/>
    <w:rsid w:val="DF1E6277"/>
    <w:rsid w:val="DFF27B18"/>
    <w:rsid w:val="F57E7CC7"/>
    <w:rsid w:val="F5D78B08"/>
    <w:rsid w:val="F7798F7E"/>
    <w:rsid w:val="FAFE4190"/>
    <w:rsid w:val="FBFF727A"/>
    <w:rsid w:val="FD7BCD90"/>
    <w:rsid w:val="FDFBF4FB"/>
    <w:rsid w:val="FDFFD601"/>
    <w:rsid w:val="FE5B8179"/>
    <w:rsid w:val="FEF0A5AA"/>
    <w:rsid w:val="FF544FB8"/>
    <w:rsid w:val="FFD7AD13"/>
    <w:rsid w:val="FFEEF161"/>
    <w:rsid w:val="FFEF974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2">
    <w:name w:val="annotation text"/>
    <w:basedOn w:val="1"/>
    <w:qFormat/>
    <w:uiPriority w:val="0"/>
    <w:pPr>
      <w:jc w:val="left"/>
    </w:pPr>
  </w:style>
  <w:style w:type="paragraph" w:styleId="3">
    <w:name w:val="Balloon Text"/>
    <w:basedOn w:val="1"/>
    <w:link w:val="1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100" w:beforeAutospacing="1" w:after="100" w:afterAutospacing="1"/>
      <w:jc w:val="left"/>
    </w:pPr>
    <w:rPr>
      <w:kern w:val="0"/>
      <w:sz w:val="24"/>
    </w:rPr>
  </w:style>
  <w:style w:type="character" w:styleId="8">
    <w:name w:val="Strong"/>
    <w:qFormat/>
    <w:uiPriority w:val="0"/>
    <w:rPr>
      <w:b/>
    </w:rPr>
  </w:style>
  <w:style w:type="character" w:styleId="9">
    <w:name w:val="page number"/>
    <w:qFormat/>
    <w:uiPriority w:val="0"/>
  </w:style>
  <w:style w:type="paragraph" w:customStyle="1" w:styleId="11">
    <w:name w:val="列出段落1"/>
    <w:basedOn w:val="1"/>
    <w:qFormat/>
    <w:uiPriority w:val="34"/>
    <w:pPr>
      <w:ind w:firstLine="420" w:firstLineChars="200"/>
    </w:pPr>
  </w:style>
  <w:style w:type="paragraph" w:customStyle="1" w:styleId="12">
    <w:name w:val="aaa"/>
    <w:basedOn w:val="1"/>
    <w:qFormat/>
    <w:uiPriority w:val="0"/>
    <w:pPr>
      <w:widowControl/>
      <w:spacing w:after="160" w:line="360" w:lineRule="auto"/>
      <w:jc w:val="left"/>
    </w:pPr>
    <w:rPr>
      <w:szCs w:val="24"/>
    </w:rPr>
  </w:style>
  <w:style w:type="character" w:customStyle="1" w:styleId="13">
    <w:name w:val="font81"/>
    <w:qFormat/>
    <w:uiPriority w:val="0"/>
    <w:rPr>
      <w:rFonts w:hint="eastAsia" w:ascii="宋体" w:hAnsi="宋体" w:eastAsia="宋体" w:cs="宋体"/>
      <w:color w:val="000000"/>
      <w:sz w:val="20"/>
      <w:szCs w:val="20"/>
      <w:u w:val="none"/>
    </w:rPr>
  </w:style>
  <w:style w:type="character" w:customStyle="1" w:styleId="14">
    <w:name w:val="font41"/>
    <w:qFormat/>
    <w:uiPriority w:val="0"/>
    <w:rPr>
      <w:rFonts w:hint="eastAsia" w:ascii="方正书宋_GBK" w:hAnsi="方正书宋_GBK" w:eastAsia="方正书宋_GBK" w:cs="方正书宋_GBK"/>
      <w:color w:val="000000"/>
      <w:sz w:val="20"/>
      <w:szCs w:val="20"/>
      <w:u w:val="none"/>
    </w:rPr>
  </w:style>
  <w:style w:type="character" w:customStyle="1" w:styleId="15">
    <w:name w:val="font91"/>
    <w:qFormat/>
    <w:uiPriority w:val="0"/>
    <w:rPr>
      <w:rFonts w:hint="eastAsia" w:ascii="宋体" w:hAnsi="宋体" w:eastAsia="宋体" w:cs="宋体"/>
      <w:color w:val="000000"/>
      <w:sz w:val="20"/>
      <w:szCs w:val="20"/>
      <w:u w:val="none"/>
    </w:rPr>
  </w:style>
  <w:style w:type="character" w:customStyle="1" w:styleId="16">
    <w:name w:val="font101"/>
    <w:qFormat/>
    <w:uiPriority w:val="0"/>
    <w:rPr>
      <w:rFonts w:hint="eastAsia" w:ascii="宋体" w:hAnsi="宋体" w:eastAsia="宋体" w:cs="宋体"/>
      <w:color w:val="000000"/>
      <w:sz w:val="20"/>
      <w:szCs w:val="20"/>
      <w:u w:val="none"/>
    </w:rPr>
  </w:style>
  <w:style w:type="character" w:customStyle="1" w:styleId="17">
    <w:name w:val="font51"/>
    <w:qFormat/>
    <w:uiPriority w:val="0"/>
    <w:rPr>
      <w:rFonts w:hint="eastAsia" w:ascii="宋体" w:hAnsi="宋体" w:eastAsia="宋体" w:cs="宋体"/>
      <w:color w:val="000000"/>
      <w:sz w:val="20"/>
      <w:szCs w:val="20"/>
      <w:u w:val="none"/>
    </w:rPr>
  </w:style>
  <w:style w:type="character" w:customStyle="1" w:styleId="18">
    <w:name w:val="font121"/>
    <w:qFormat/>
    <w:uiPriority w:val="0"/>
    <w:rPr>
      <w:rFonts w:hint="default" w:ascii="Times New Roman" w:hAnsi="Times New Roman" w:cs="Times New Roman"/>
      <w:color w:val="000000"/>
      <w:sz w:val="20"/>
      <w:szCs w:val="20"/>
      <w:u w:val="none"/>
    </w:rPr>
  </w:style>
  <w:style w:type="character" w:customStyle="1" w:styleId="19">
    <w:name w:val="批注框文本 字符"/>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406</Words>
  <Characters>2317</Characters>
  <Lines>19</Lines>
  <Paragraphs>5</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2023-11-29T03:11:00Z</dcterms:created>
  <dc:creator>scjgj</dc:creator>
  <cp:lastModifiedBy>Administrator</cp:lastModifiedBy>
  <cp:lastPrinted>2025-01-17T16:46:00Z</cp:lastPrinted>
  <dcterms:modified xsi:type="dcterms:W3CDTF">2025-04-29T08:59:20Z</dcterms:modified>
  <dc:title>北京市安全防护类产品质量监督抽查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580396D119674C5095CE7C59F0CE1E39_13</vt:lpwstr>
  </property>
</Properties>
</file>