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4" w:lineRule="exact"/>
        <w:jc w:val="both"/>
        <w:rPr>
          <w:rFonts w:hint="default" w:ascii="仿宋_GB2312" w:hAnsi="仿宋_GB2312" w:eastAsia="仿宋_GB2312" w:cs="仿宋_GB2312"/>
          <w:spacing w:val="-12"/>
          <w:sz w:val="32"/>
          <w:szCs w:val="32"/>
          <w:lang w:val="en" w:eastAsia="zh-CN"/>
        </w:rPr>
      </w:pPr>
      <w:r>
        <w:rPr>
          <w:rFonts w:hint="eastAsia" w:ascii="仿宋_GB2312" w:hAnsi="仿宋_GB2312" w:eastAsia="仿宋_GB2312" w:cs="仿宋_GB2312"/>
          <w:spacing w:val="-12"/>
          <w:sz w:val="32"/>
          <w:szCs w:val="32"/>
          <w:lang w:eastAsia="zh-CN"/>
        </w:rPr>
        <w:t>附件</w:t>
      </w:r>
      <w:r>
        <w:rPr>
          <w:rFonts w:hint="default" w:ascii="仿宋_GB2312" w:hAnsi="仿宋_GB2312" w:eastAsia="仿宋_GB2312" w:cs="仿宋_GB2312"/>
          <w:spacing w:val="-12"/>
          <w:sz w:val="32"/>
          <w:szCs w:val="32"/>
          <w:lang w:val="en" w:eastAsia="zh-CN"/>
        </w:rPr>
        <w:t>3</w:t>
      </w:r>
    </w:p>
    <w:p>
      <w:pPr>
        <w:spacing w:line="594" w:lineRule="exact"/>
        <w:jc w:val="center"/>
        <w:rPr>
          <w:rFonts w:ascii="方正小标宋简体" w:eastAsia="方正小标宋简体"/>
          <w:spacing w:val="-12"/>
          <w:sz w:val="44"/>
          <w:szCs w:val="44"/>
        </w:rPr>
      </w:pPr>
      <w:r>
        <w:rPr>
          <w:rFonts w:hint="eastAsia" w:ascii="方正小标宋简体" w:eastAsia="方正小标宋简体"/>
          <w:spacing w:val="-12"/>
          <w:sz w:val="44"/>
          <w:szCs w:val="44"/>
        </w:rPr>
        <w:t>部分不合格检验项目小知识</w:t>
      </w:r>
    </w:p>
    <w:p>
      <w:pPr>
        <w:pStyle w:val="7"/>
        <w:keepNext w:val="0"/>
        <w:keepLines w:val="0"/>
        <w:pageBreakBefore w:val="0"/>
        <w:widowControl w:val="0"/>
        <w:numPr>
          <w:ilvl w:val="0"/>
          <w:numId w:val="0"/>
        </w:numPr>
        <w:kinsoku/>
        <w:wordWrap/>
        <w:overflowPunct/>
        <w:topLinePunct w:val="0"/>
        <w:autoSpaceDE/>
        <w:autoSpaceDN/>
        <w:bidi w:val="0"/>
        <w:snapToGrid/>
        <w:spacing w:after="120" w:line="560" w:lineRule="exact"/>
        <w:textAlignment w:val="auto"/>
        <w:rPr>
          <w:rFonts w:hint="eastAsia" w:ascii="黑体" w:hAnsi="黑体" w:eastAsia="黑体" w:cs="黑体"/>
          <w:b w:val="0"/>
          <w:bCs w:val="0"/>
          <w:color w:val="000000" w:themeColor="text1"/>
          <w:kern w:val="32"/>
          <w:sz w:val="32"/>
          <w:szCs w:val="32"/>
          <w:lang w:val="en-US" w:eastAsia="zh-CN" w:bidi="ar-SA"/>
          <w14:textFill>
            <w14:solidFill>
              <w14:schemeClr w14:val="tx1"/>
            </w14:solidFill>
          </w14:textFill>
        </w:rPr>
      </w:pPr>
      <w:r>
        <w:rPr>
          <w:rFonts w:hint="eastAsia" w:ascii="黑体" w:hAnsi="黑体" w:eastAsia="黑体" w:cs="黑体"/>
          <w:b w:val="0"/>
          <w:bCs w:val="0"/>
          <w:color w:val="000000" w:themeColor="text1"/>
          <w:kern w:val="32"/>
          <w:sz w:val="32"/>
          <w:szCs w:val="32"/>
          <w:lang w:val="en-US" w:eastAsia="zh-CN" w:bidi="ar-SA"/>
          <w14:textFill>
            <w14:solidFill>
              <w14:schemeClr w14:val="tx1"/>
            </w14:solidFill>
          </w14:textFill>
        </w:rPr>
        <w:t xml:space="preserve"> </w:t>
      </w:r>
    </w:p>
    <w:p>
      <w:pPr>
        <w:keepNext w:val="0"/>
        <w:keepLines w:val="0"/>
        <w:pageBreakBefore w:val="0"/>
        <w:numPr>
          <w:ilvl w:val="0"/>
          <w:numId w:val="0"/>
        </w:numPr>
        <w:kinsoku/>
        <w:wordWrap/>
        <w:overflowPunct/>
        <w:topLinePunct w:val="0"/>
        <w:autoSpaceDE/>
        <w:autoSpaceDN/>
        <w:bidi w:val="0"/>
        <w:snapToGrid/>
        <w:spacing w:line="560" w:lineRule="exact"/>
        <w:ind w:firstLine="640" w:firstLineChars="200"/>
        <w:textAlignment w:val="auto"/>
        <w:rPr>
          <w:rFonts w:hint="eastAsia" w:ascii="黑体" w:hAnsi="黑体" w:eastAsia="黑体" w:cs="黑体"/>
          <w:b w:val="0"/>
          <w:bCs w:val="0"/>
          <w:color w:val="auto"/>
          <w:sz w:val="32"/>
          <w:szCs w:val="32"/>
          <w:highlight w:val="none"/>
          <w:lang w:eastAsia="zh-CN"/>
        </w:rPr>
      </w:pPr>
      <w:r>
        <w:rPr>
          <w:rFonts w:hint="eastAsia" w:ascii="黑体" w:hAnsi="黑体" w:eastAsia="黑体" w:cs="黑体"/>
          <w:b w:val="0"/>
          <w:bCs w:val="0"/>
          <w:color w:val="auto"/>
          <w:kern w:val="32"/>
          <w:sz w:val="32"/>
          <w:szCs w:val="32"/>
          <w:lang w:val="en-US" w:eastAsia="zh-CN" w:bidi="ar-SA"/>
        </w:rPr>
        <w:t>一、4-氯苯氧乙酸钠（以4-氯苯氧乙酸计）</w:t>
      </w:r>
    </w:p>
    <w:p>
      <w:pPr>
        <w:keepNext w:val="0"/>
        <w:keepLines w:val="0"/>
        <w:pageBreakBefore w:val="0"/>
        <w:tabs>
          <w:tab w:val="left" w:pos="1094"/>
        </w:tabs>
        <w:kinsoku/>
        <w:wordWrap/>
        <w:overflowPunct/>
        <w:topLinePunct w:val="0"/>
        <w:autoSpaceDE/>
        <w:autoSpaceDN/>
        <w:bidi w:val="0"/>
        <w:snapToGrid/>
        <w:spacing w:line="560" w:lineRule="exact"/>
        <w:ind w:firstLine="640" w:firstLineChars="200"/>
        <w:textAlignment w:val="auto"/>
        <w:rPr>
          <w:rFonts w:hint="default" w:ascii="黑体" w:hAnsi="黑体" w:eastAsia="黑体" w:cs="黑体"/>
          <w:b w:val="0"/>
          <w:bCs w:val="0"/>
          <w:color w:val="auto"/>
          <w:kern w:val="3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4-氯苯氧乙酸钠又称防落素，是一种多功能植物生长调节剂，主要用于防止落花、落果，抑制豆类生根等。《国家食品药品监督管理总局农业部国家卫生和计划生育委员会关于豆芽生产过程中禁止使用6-苄基腺嘌呤等物质的公告》（2015年第11号）中规定，生产者不得在豆芽生产过程中使用6-苄基腺嘌呤、4-氯苯氧乙酸钠、赤霉素等物质。黄豆芽中检出4-氯苯氧乙酸钠的原因，可能是生产者为提高豆芽产量，从而违规使用相关农药。</w:t>
      </w:r>
    </w:p>
    <w:p>
      <w:pPr>
        <w:pStyle w:val="7"/>
        <w:keepNext w:val="0"/>
        <w:keepLines w:val="0"/>
        <w:pageBreakBefore w:val="0"/>
        <w:widowControl w:val="0"/>
        <w:numPr>
          <w:numId w:val="0"/>
        </w:numPr>
        <w:kinsoku/>
        <w:wordWrap/>
        <w:overflowPunct/>
        <w:topLinePunct w:val="0"/>
        <w:autoSpaceDE/>
        <w:autoSpaceDN/>
        <w:bidi w:val="0"/>
        <w:snapToGrid/>
        <w:spacing w:after="0" w:line="560" w:lineRule="exact"/>
        <w:ind w:leftChars="200" w:firstLine="320" w:firstLineChars="100"/>
        <w:textAlignment w:val="auto"/>
        <w:rPr>
          <w:rFonts w:hint="eastAsia" w:ascii="黑体" w:hAnsi="黑体" w:eastAsia="黑体" w:cs="黑体"/>
          <w:b w:val="0"/>
          <w:bCs w:val="0"/>
          <w:color w:val="auto"/>
          <w:kern w:val="32"/>
          <w:sz w:val="32"/>
          <w:szCs w:val="32"/>
          <w:lang w:val="en-US" w:eastAsia="zh-CN" w:bidi="ar-SA"/>
        </w:rPr>
      </w:pPr>
      <w:r>
        <w:rPr>
          <w:rFonts w:hint="eastAsia" w:ascii="黑体" w:hAnsi="黑体" w:eastAsia="黑体" w:cs="黑体"/>
          <w:b w:val="0"/>
          <w:bCs w:val="0"/>
          <w:color w:val="auto"/>
          <w:kern w:val="32"/>
          <w:sz w:val="32"/>
          <w:szCs w:val="32"/>
          <w:lang w:val="en-US" w:eastAsia="zh-CN" w:bidi="ar-SA"/>
        </w:rPr>
        <w:t>二、镉(以 Cd 计)</w:t>
      </w:r>
    </w:p>
    <w:p>
      <w:pPr>
        <w:pStyle w:val="7"/>
        <w:keepNext w:val="0"/>
        <w:keepLines w:val="0"/>
        <w:pageBreakBefore w:val="0"/>
        <w:kinsoku/>
        <w:wordWrap/>
        <w:overflowPunct/>
        <w:topLinePunct w:val="0"/>
        <w:autoSpaceDE/>
        <w:autoSpaceDN/>
        <w:bidi w:val="0"/>
        <w:snapToGrid/>
        <w:spacing w:after="0" w:line="560" w:lineRule="exact"/>
        <w:textAlignment w:val="auto"/>
        <w:rPr>
          <w:rFonts w:hint="eastAsia" w:ascii="黑体" w:hAnsi="黑体" w:eastAsia="黑体" w:cs="黑体"/>
          <w:b w:val="0"/>
          <w:bCs w:val="0"/>
          <w:color w:val="auto"/>
          <w:kern w:val="32"/>
          <w:sz w:val="32"/>
          <w:szCs w:val="32"/>
          <w:lang w:val="en-US" w:eastAsia="zh-CN" w:bidi="ar-SA"/>
        </w:rPr>
      </w:pPr>
      <w:r>
        <w:rPr>
          <w:rFonts w:ascii="Times New Roman" w:hAnsi="Times New Roman" w:eastAsia="仿宋_GB2312"/>
          <w:color w:val="auto"/>
          <w:spacing w:val="0"/>
          <w:szCs w:val="32"/>
        </w:rPr>
        <w:t>镉是一种蓄积性的重金属元素，可通过食物链进入人体。长期食用镉超标的食品，可能会对人体肾脏和肝脏造成损害，还会影响免疫系统，甚至可能对儿童高级神经活动有损害。《食品安全国家标准 食品中污染物限量》（GB 2762</w:t>
      </w:r>
      <w:r>
        <w:rPr>
          <w:rFonts w:hint="eastAsia" w:ascii="仿宋_GB2312" w:eastAsia="仿宋_GB2312"/>
          <w:color w:val="auto"/>
          <w:spacing w:val="0"/>
          <w:szCs w:val="32"/>
        </w:rPr>
        <w:t>—</w:t>
      </w:r>
      <w:r>
        <w:rPr>
          <w:rFonts w:ascii="Times New Roman" w:hAnsi="Times New Roman" w:eastAsia="仿宋_GB2312"/>
          <w:color w:val="auto"/>
          <w:spacing w:val="0"/>
          <w:szCs w:val="32"/>
        </w:rPr>
        <w:t>2017）</w:t>
      </w:r>
      <w:r>
        <w:rPr>
          <w:rFonts w:hint="eastAsia" w:ascii="Times New Roman" w:hAnsi="Times New Roman" w:eastAsia="仿宋_GB2312"/>
          <w:color w:val="auto"/>
          <w:spacing w:val="0"/>
          <w:szCs w:val="32"/>
        </w:rPr>
        <w:t>中</w:t>
      </w:r>
      <w:r>
        <w:rPr>
          <w:rFonts w:ascii="Times New Roman" w:hAnsi="Times New Roman" w:eastAsia="仿宋_GB2312"/>
          <w:color w:val="auto"/>
          <w:spacing w:val="0"/>
          <w:szCs w:val="32"/>
        </w:rPr>
        <w:t>规定，镉</w:t>
      </w:r>
      <w:r>
        <w:rPr>
          <w:rFonts w:hint="eastAsia" w:ascii="仿宋_GB2312" w:eastAsia="仿宋_GB2312"/>
          <w:color w:val="auto"/>
          <w:spacing w:val="0"/>
          <w:szCs w:val="32"/>
        </w:rPr>
        <w:t>（以</w:t>
      </w:r>
      <w:r>
        <w:rPr>
          <w:rFonts w:ascii="Times New Roman" w:hAnsi="Times New Roman" w:eastAsia="仿宋_GB2312"/>
          <w:color w:val="auto"/>
          <w:spacing w:val="0"/>
          <w:szCs w:val="32"/>
        </w:rPr>
        <w:t>Cd</w:t>
      </w:r>
      <w:r>
        <w:rPr>
          <w:rFonts w:hint="eastAsia" w:ascii="仿宋_GB2312" w:eastAsia="仿宋_GB2312"/>
          <w:color w:val="auto"/>
          <w:spacing w:val="0"/>
          <w:szCs w:val="32"/>
        </w:rPr>
        <w:t>计）</w:t>
      </w:r>
      <w:r>
        <w:rPr>
          <w:rFonts w:ascii="Times New Roman" w:hAnsi="Times New Roman" w:eastAsia="仿宋_GB2312"/>
          <w:color w:val="auto"/>
          <w:spacing w:val="0"/>
          <w:szCs w:val="32"/>
        </w:rPr>
        <w:t>在</w:t>
      </w:r>
      <w:r>
        <w:rPr>
          <w:rFonts w:hint="eastAsia" w:ascii="Times New Roman" w:hAnsi="Times New Roman" w:eastAsia="仿宋_GB2312"/>
          <w:color w:val="auto"/>
          <w:spacing w:val="0"/>
          <w:szCs w:val="32"/>
        </w:rPr>
        <w:t>葱</w:t>
      </w:r>
      <w:r>
        <w:rPr>
          <w:rFonts w:ascii="Times New Roman" w:hAnsi="Times New Roman" w:eastAsia="仿宋_GB2312"/>
          <w:color w:val="auto"/>
          <w:spacing w:val="0"/>
          <w:szCs w:val="32"/>
        </w:rPr>
        <w:t>中的限量值为</w:t>
      </w:r>
      <w:r>
        <w:rPr>
          <w:rFonts w:hint="eastAsia" w:ascii="Times New Roman" w:hAnsi="Times New Roman" w:eastAsia="仿宋_GB2312"/>
          <w:color w:val="auto"/>
          <w:spacing w:val="0"/>
          <w:szCs w:val="32"/>
          <w:lang w:val="en-US" w:eastAsia="zh-CN"/>
        </w:rPr>
        <w:t>0.05</w:t>
      </w:r>
      <w:r>
        <w:rPr>
          <w:rFonts w:ascii="Times New Roman" w:hAnsi="Times New Roman" w:eastAsia="仿宋_GB2312"/>
          <w:color w:val="auto"/>
          <w:spacing w:val="0"/>
          <w:szCs w:val="32"/>
        </w:rPr>
        <w:t>mg/kg。</w:t>
      </w:r>
      <w:r>
        <w:rPr>
          <w:rFonts w:hint="eastAsia" w:ascii="Times New Roman" w:hAnsi="Times New Roman" w:eastAsia="仿宋_GB2312"/>
          <w:color w:val="auto"/>
          <w:spacing w:val="0"/>
          <w:szCs w:val="32"/>
        </w:rPr>
        <w:t>葱</w:t>
      </w:r>
      <w:r>
        <w:rPr>
          <w:rFonts w:ascii="Times New Roman" w:hAnsi="Times New Roman" w:eastAsia="仿宋_GB2312"/>
          <w:color w:val="auto"/>
          <w:spacing w:val="0"/>
          <w:szCs w:val="32"/>
        </w:rPr>
        <w:t>中镉（以Cd计）</w:t>
      </w:r>
      <w:r>
        <w:rPr>
          <w:rFonts w:hint="eastAsia" w:ascii="Times New Roman" w:hAnsi="Times New Roman" w:eastAsia="仿宋_GB2312"/>
          <w:color w:val="auto"/>
          <w:spacing w:val="0"/>
          <w:szCs w:val="32"/>
        </w:rPr>
        <w:t>检测值</w:t>
      </w:r>
      <w:r>
        <w:rPr>
          <w:rFonts w:ascii="Times New Roman" w:hAnsi="Times New Roman" w:eastAsia="仿宋_GB2312"/>
          <w:color w:val="auto"/>
          <w:spacing w:val="0"/>
          <w:szCs w:val="32"/>
        </w:rPr>
        <w:t>超标的原因</w:t>
      </w:r>
      <w:r>
        <w:rPr>
          <w:rFonts w:hint="eastAsia" w:ascii="Times New Roman" w:hAnsi="Times New Roman" w:eastAsia="仿宋_GB2312"/>
          <w:color w:val="auto"/>
          <w:spacing w:val="0"/>
          <w:szCs w:val="32"/>
        </w:rPr>
        <w:t>，</w:t>
      </w:r>
      <w:r>
        <w:rPr>
          <w:rFonts w:ascii="Times New Roman" w:hAnsi="Times New Roman" w:eastAsia="仿宋_GB2312"/>
          <w:color w:val="auto"/>
          <w:spacing w:val="0"/>
          <w:szCs w:val="32"/>
        </w:rPr>
        <w:t>可能是其生长过程中富集环境中的镉元素。</w:t>
      </w:r>
    </w:p>
    <w:p>
      <w:pPr>
        <w:keepNext w:val="0"/>
        <w:keepLines w:val="0"/>
        <w:pageBreakBefore w:val="0"/>
        <w:kinsoku/>
        <w:wordWrap/>
        <w:overflowPunct/>
        <w:topLinePunct w:val="0"/>
        <w:autoSpaceDE/>
        <w:autoSpaceDN/>
        <w:bidi w:val="0"/>
        <w:snapToGrid/>
        <w:spacing w:line="560" w:lineRule="exact"/>
        <w:ind w:firstLine="640" w:firstLineChars="200"/>
        <w:textAlignment w:val="auto"/>
        <w:rPr>
          <w:rFonts w:ascii="黑体" w:hAnsi="黑体" w:eastAsia="黑体"/>
          <w:color w:val="auto"/>
          <w:kern w:val="32"/>
          <w:sz w:val="32"/>
          <w:szCs w:val="32"/>
        </w:rPr>
      </w:pPr>
      <w:r>
        <w:rPr>
          <w:rFonts w:hint="eastAsia" w:ascii="黑体" w:hAnsi="黑体" w:eastAsia="黑体" w:cs="黑体"/>
          <w:b w:val="0"/>
          <w:bCs w:val="0"/>
          <w:color w:val="auto"/>
          <w:kern w:val="32"/>
          <w:sz w:val="32"/>
          <w:szCs w:val="32"/>
          <w:lang w:val="en-US" w:eastAsia="zh-CN" w:bidi="ar-SA"/>
        </w:rPr>
        <w:t>三、</w:t>
      </w:r>
      <w:r>
        <w:rPr>
          <w:rFonts w:hint="eastAsia" w:ascii="黑体" w:hAnsi="黑体" w:eastAsia="黑体"/>
          <w:color w:val="auto"/>
          <w:kern w:val="32"/>
          <w:sz w:val="32"/>
          <w:szCs w:val="32"/>
        </w:rPr>
        <w:t>联苯菊酯</w:t>
      </w:r>
    </w:p>
    <w:p>
      <w:pPr>
        <w:keepNext w:val="0"/>
        <w:keepLines w:val="0"/>
        <w:pageBreakBefore w:val="0"/>
        <w:kinsoku/>
        <w:wordWrap/>
        <w:overflowPunct/>
        <w:topLinePunct w:val="0"/>
        <w:autoSpaceDE/>
        <w:autoSpaceDN/>
        <w:bidi w:val="0"/>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Times New Roman" w:hAnsi="Times New Roman" w:eastAsia="仿宋_GB2312"/>
          <w:color w:val="auto"/>
          <w:kern w:val="32"/>
          <w:sz w:val="32"/>
          <w:szCs w:val="32"/>
        </w:rPr>
        <w:t>联苯菊酯是一种中等毒性的拟除虫菊酯类杀虫剂，具有触杀、胃毒作用，无内吸、熏蒸作用。《食品安全国家标准 食品中农药最大残留限量》（GB 2763—2021）中规定，联苯菊酯在冰糖橙中的最大残留限量值为0.05mg/kg。冰糖橙中联苯菊酯残留量超标的原因，可能是果农为快速控制虫害，加大用药量或未遵守采摘间隔期规定，致使上市销售的产品中该农药残留量超标。少量的农药残留不会引起人体急性中毒，但长期食用联苯菊酯残留超标的食品，可能会对人体健康有一定影响。</w:t>
      </w:r>
    </w:p>
    <w:p>
      <w:pPr>
        <w:keepNext w:val="0"/>
        <w:keepLines w:val="0"/>
        <w:pageBreakBefore w:val="0"/>
        <w:widowControl/>
        <w:numPr>
          <w:ilvl w:val="0"/>
          <w:numId w:val="0"/>
        </w:numPr>
        <w:suppressLineNumbers w:val="0"/>
        <w:kinsoku/>
        <w:wordWrap/>
        <w:overflowPunct/>
        <w:topLinePunct w:val="0"/>
        <w:autoSpaceDE/>
        <w:autoSpaceDN/>
        <w:bidi w:val="0"/>
        <w:snapToGrid/>
        <w:spacing w:line="560" w:lineRule="exact"/>
        <w:ind w:firstLine="640" w:firstLineChars="200"/>
        <w:jc w:val="left"/>
        <w:textAlignment w:val="auto"/>
        <w:rPr>
          <w:rFonts w:hint="eastAsia" w:ascii="黑体" w:hAnsi="黑体" w:eastAsia="黑体" w:cs="黑体"/>
          <w:b w:val="0"/>
          <w:bCs w:val="0"/>
          <w:color w:val="auto"/>
          <w:sz w:val="32"/>
          <w:szCs w:val="32"/>
        </w:rPr>
      </w:pPr>
      <w:r>
        <w:rPr>
          <w:rFonts w:hint="eastAsia" w:ascii="黑体" w:hAnsi="黑体" w:eastAsia="黑体" w:cs="黑体"/>
          <w:b w:val="0"/>
          <w:bCs w:val="0"/>
          <w:color w:val="auto"/>
          <w:kern w:val="32"/>
          <w:sz w:val="32"/>
          <w:szCs w:val="32"/>
          <w:lang w:val="en-US" w:eastAsia="zh-CN" w:bidi="ar-SA"/>
        </w:rPr>
        <w:t>四、毒死蜱</w:t>
      </w:r>
    </w:p>
    <w:p>
      <w:pPr>
        <w:pStyle w:val="7"/>
        <w:keepNext w:val="0"/>
        <w:keepLines w:val="0"/>
        <w:pageBreakBefore w:val="0"/>
        <w:numPr>
          <w:ilvl w:val="0"/>
          <w:numId w:val="0"/>
        </w:numPr>
        <w:kinsoku/>
        <w:wordWrap/>
        <w:overflowPunct/>
        <w:topLinePunct w:val="0"/>
        <w:autoSpaceDE/>
        <w:autoSpaceDN/>
        <w:bidi w:val="0"/>
        <w:snapToGrid/>
        <w:spacing w:after="0"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毒死蜱，又名氯蜱硫磷，目前是全世界使用最广泛的有机磷酸酯杀虫剂之一，具有触杀、胃毒和熏蒸等作用。少量的残留不会引起人体急性中毒，但长期食用毒死蜱超标的食品，对人体健康可能有一定影响。《食品安全国家标准食品中农药最大残留限量》（GB 2763—20</w:t>
      </w:r>
      <w:r>
        <w:rPr>
          <w:rFonts w:hint="eastAsia" w:ascii="仿宋_GB2312" w:hAnsi="仿宋_GB2312" w:eastAsia="仿宋_GB2312" w:cs="仿宋_GB2312"/>
          <w:color w:val="auto"/>
          <w:sz w:val="32"/>
          <w:szCs w:val="32"/>
          <w:lang w:val="en-US" w:eastAsia="zh-CN"/>
        </w:rPr>
        <w:t>21</w:t>
      </w:r>
      <w:r>
        <w:rPr>
          <w:rFonts w:hint="eastAsia" w:ascii="仿宋_GB2312" w:hAnsi="仿宋_GB2312" w:eastAsia="仿宋_GB2312" w:cs="仿宋_GB2312"/>
          <w:color w:val="auto"/>
          <w:sz w:val="32"/>
          <w:szCs w:val="32"/>
        </w:rPr>
        <w:t>）中规定，毒死蜱</w:t>
      </w:r>
      <w:r>
        <w:rPr>
          <w:rFonts w:hint="eastAsia" w:ascii="仿宋_GB2312" w:hAnsi="仿宋_GB2312" w:eastAsia="仿宋_GB2312" w:cs="仿宋_GB2312"/>
          <w:color w:val="auto"/>
          <w:sz w:val="32"/>
          <w:szCs w:val="32"/>
          <w:lang w:eastAsia="zh-CN"/>
        </w:rPr>
        <w:t>在</w:t>
      </w:r>
      <w:r>
        <w:rPr>
          <w:rFonts w:hint="eastAsia" w:ascii="仿宋_GB2312" w:hAnsi="仿宋_GB2312" w:eastAsia="仿宋_GB2312" w:cs="仿宋_GB2312"/>
          <w:color w:val="auto"/>
          <w:sz w:val="32"/>
          <w:szCs w:val="32"/>
        </w:rPr>
        <w:t>大红椒（甜椒）中的最大残留限量值为0.</w:t>
      </w:r>
      <w:r>
        <w:rPr>
          <w:rFonts w:hint="eastAsia" w:ascii="仿宋_GB2312" w:hAnsi="仿宋_GB2312" w:eastAsia="仿宋_GB2312" w:cs="仿宋_GB2312"/>
          <w:color w:val="auto"/>
          <w:sz w:val="32"/>
          <w:szCs w:val="32"/>
          <w:lang w:val="en-US" w:eastAsia="zh-CN"/>
        </w:rPr>
        <w:t>02</w:t>
      </w:r>
      <w:r>
        <w:rPr>
          <w:rFonts w:hint="eastAsia" w:ascii="仿宋_GB2312" w:hAnsi="仿宋_GB2312" w:eastAsia="仿宋_GB2312" w:cs="仿宋_GB2312"/>
          <w:color w:val="auto"/>
          <w:sz w:val="32"/>
          <w:szCs w:val="32"/>
        </w:rPr>
        <w:t>mg/kg。大红椒（甜椒）中毒死蜱超标的原因，可能是为快速控制虫害而违规使用。</w:t>
      </w:r>
    </w:p>
    <w:p>
      <w:pPr>
        <w:keepNext w:val="0"/>
        <w:keepLines w:val="0"/>
        <w:pageBreakBefore w:val="0"/>
        <w:numPr>
          <w:ilvl w:val="0"/>
          <w:numId w:val="0"/>
        </w:numPr>
        <w:kinsoku/>
        <w:wordWrap/>
        <w:overflowPunct/>
        <w:topLinePunct w:val="0"/>
        <w:autoSpaceDE/>
        <w:autoSpaceDN/>
        <w:bidi w:val="0"/>
        <w:snapToGrid/>
        <w:spacing w:line="560" w:lineRule="exact"/>
        <w:ind w:firstLine="640" w:firstLineChars="200"/>
        <w:textAlignment w:val="auto"/>
        <w:rPr>
          <w:rFonts w:hint="eastAsia" w:ascii="黑体" w:hAnsi="黑体" w:eastAsia="黑体" w:cs="黑体"/>
          <w:b w:val="0"/>
          <w:bCs w:val="0"/>
          <w:color w:val="auto"/>
          <w:sz w:val="32"/>
          <w:szCs w:val="32"/>
          <w:highlight w:val="none"/>
          <w:lang w:eastAsia="zh-CN"/>
        </w:rPr>
      </w:pPr>
      <w:r>
        <w:rPr>
          <w:rFonts w:hint="eastAsia" w:ascii="黑体" w:hAnsi="黑体" w:eastAsia="黑体" w:cs="黑体"/>
          <w:b w:val="0"/>
          <w:bCs w:val="0"/>
          <w:color w:val="auto"/>
          <w:kern w:val="32"/>
          <w:sz w:val="32"/>
          <w:szCs w:val="32"/>
          <w:lang w:val="en-US" w:eastAsia="zh-CN" w:bidi="ar-SA"/>
        </w:rPr>
        <w:t>五、噻虫胺</w:t>
      </w:r>
    </w:p>
    <w:p>
      <w:pPr>
        <w:keepNext w:val="0"/>
        <w:keepLines w:val="0"/>
        <w:pageBreakBefore w:val="0"/>
        <w:kinsoku/>
        <w:wordWrap/>
        <w:overflowPunct/>
        <w:topLinePunct w:val="0"/>
        <w:autoSpaceDE/>
        <w:autoSpaceDN/>
        <w:bidi w:val="0"/>
        <w:snapToGrid/>
        <w:spacing w:line="560" w:lineRule="exact"/>
        <w:ind w:firstLine="640" w:firstLineChars="200"/>
        <w:textAlignment w:val="auto"/>
        <w:rPr>
          <w:rFonts w:ascii="仿宋_GB2312" w:hAnsi="Times New Roman" w:eastAsia="仿宋_GB2312"/>
          <w:color w:val="auto"/>
          <w:sz w:val="32"/>
          <w:szCs w:val="32"/>
        </w:rPr>
      </w:pPr>
      <w:r>
        <w:rPr>
          <w:rFonts w:hint="eastAsia" w:ascii="仿宋_GB2312" w:hAnsi="仿宋_GB2312" w:eastAsia="仿宋_GB2312" w:cs="仿宋_GB2312"/>
          <w:color w:val="auto"/>
          <w:sz w:val="32"/>
          <w:szCs w:val="32"/>
        </w:rPr>
        <w:t>噻虫胺是一种高效安全、高选择性的新型杀虫剂，具有触杀、胃毒和内吸活性。少量的残留不会引起人体急性中毒，但长期食用噻虫胺超标的食品，对人体健康可能有一定影响。《食品安全国家标准 食品中农药最大残留限量》（</w:t>
      </w:r>
      <w:r>
        <w:rPr>
          <w:rFonts w:hint="eastAsia" w:ascii="仿宋_GB2312" w:hAnsi="仿宋_GB2312" w:eastAsia="仿宋_GB2312" w:cs="仿宋_GB2312"/>
          <w:color w:val="auto"/>
          <w:sz w:val="32"/>
          <w:szCs w:val="32"/>
          <w:lang w:val="en-US" w:eastAsia="zh-CN"/>
        </w:rPr>
        <w:t>GB 2763—2021</w:t>
      </w:r>
      <w:r>
        <w:rPr>
          <w:rFonts w:hint="eastAsia" w:ascii="仿宋_GB2312" w:hAnsi="仿宋_GB2312" w:eastAsia="仿宋_GB2312" w:cs="仿宋_GB2312"/>
          <w:color w:val="auto"/>
          <w:sz w:val="32"/>
          <w:szCs w:val="32"/>
        </w:rPr>
        <w:t>）中规定，噻虫胺在香蕉中的最大残留限量值</w:t>
      </w:r>
      <w:r>
        <w:rPr>
          <w:rFonts w:hint="eastAsia" w:ascii="仿宋_GB2312" w:hAnsi="仿宋_GB2312" w:eastAsia="仿宋_GB2312" w:cs="仿宋_GB2312"/>
          <w:color w:val="auto"/>
          <w:sz w:val="32"/>
          <w:szCs w:val="32"/>
          <w:lang w:eastAsia="zh-CN"/>
        </w:rPr>
        <w:t>分别为</w:t>
      </w:r>
      <w:r>
        <w:rPr>
          <w:rFonts w:hint="eastAsia" w:ascii="仿宋_GB2312" w:hAnsi="仿宋_GB2312" w:eastAsia="仿宋_GB2312" w:cs="仿宋_GB2312"/>
          <w:color w:val="auto"/>
          <w:sz w:val="32"/>
          <w:szCs w:val="32"/>
          <w:lang w:val="en-US" w:eastAsia="zh-CN"/>
        </w:rPr>
        <w:t>0.02</w:t>
      </w:r>
      <w:r>
        <w:rPr>
          <w:rFonts w:hint="eastAsia" w:ascii="仿宋_GB2312" w:hAnsi="仿宋_GB2312" w:eastAsia="仿宋_GB2312" w:cs="仿宋_GB2312"/>
          <w:color w:val="auto"/>
          <w:sz w:val="32"/>
          <w:szCs w:val="32"/>
        </w:rPr>
        <w:t>mg/kg。</w:t>
      </w:r>
      <w:r>
        <w:rPr>
          <w:rFonts w:hint="eastAsia" w:ascii="仿宋_GB2312" w:hAnsi="仿宋_GB2312" w:eastAsia="仿宋_GB2312" w:cs="仿宋_GB2312"/>
          <w:color w:val="auto"/>
          <w:sz w:val="32"/>
          <w:szCs w:val="32"/>
          <w:lang w:eastAsia="zh-CN"/>
        </w:rPr>
        <w:t>香蕉</w:t>
      </w:r>
      <w:r>
        <w:rPr>
          <w:rFonts w:hint="eastAsia" w:ascii="仿宋_GB2312" w:hAnsi="仿宋_GB2312" w:eastAsia="仿宋_GB2312" w:cs="仿宋_GB2312"/>
          <w:color w:val="auto"/>
          <w:sz w:val="32"/>
          <w:szCs w:val="32"/>
        </w:rPr>
        <w:t>中噻虫胺残留量超标的原因，可能是为快速控制虫害而违规使用。</w:t>
      </w:r>
    </w:p>
    <w:p>
      <w:pPr>
        <w:keepNext w:val="0"/>
        <w:keepLines w:val="0"/>
        <w:pageBreakBefore w:val="0"/>
        <w:numPr>
          <w:ilvl w:val="0"/>
          <w:numId w:val="0"/>
        </w:numPr>
        <w:kinsoku/>
        <w:wordWrap/>
        <w:overflowPunct/>
        <w:topLinePunct w:val="0"/>
        <w:autoSpaceDE/>
        <w:autoSpaceDN/>
        <w:bidi w:val="0"/>
        <w:snapToGrid/>
        <w:spacing w:line="560" w:lineRule="exact"/>
        <w:ind w:firstLine="640" w:firstLineChars="200"/>
        <w:textAlignment w:val="auto"/>
        <w:rPr>
          <w:rFonts w:hint="eastAsia" w:ascii="黑体" w:hAnsi="黑体" w:eastAsia="黑体" w:cs="黑体"/>
          <w:b w:val="0"/>
          <w:bCs w:val="0"/>
          <w:color w:val="auto"/>
          <w:kern w:val="32"/>
          <w:sz w:val="32"/>
          <w:szCs w:val="32"/>
          <w:lang w:val="en-US" w:eastAsia="zh-CN" w:bidi="ar-SA"/>
        </w:rPr>
      </w:pPr>
      <w:r>
        <w:rPr>
          <w:rFonts w:hint="eastAsia" w:ascii="黑体" w:hAnsi="黑体" w:eastAsia="黑体" w:cs="黑体"/>
          <w:b w:val="0"/>
          <w:bCs w:val="0"/>
          <w:color w:val="auto"/>
          <w:kern w:val="32"/>
          <w:sz w:val="32"/>
          <w:szCs w:val="32"/>
          <w:lang w:val="en-US" w:eastAsia="zh-CN" w:bidi="ar-SA"/>
        </w:rPr>
        <w:t>六、</w:t>
      </w:r>
      <w:r>
        <w:rPr>
          <w:rFonts w:hint="default" w:ascii="黑体" w:hAnsi="黑体" w:eastAsia="黑体" w:cs="黑体"/>
          <w:b w:val="0"/>
          <w:bCs w:val="0"/>
          <w:color w:val="auto"/>
          <w:kern w:val="32"/>
          <w:sz w:val="32"/>
          <w:szCs w:val="32"/>
          <w:lang w:val="en-US" w:eastAsia="zh-CN" w:bidi="ar-SA"/>
        </w:rPr>
        <w:t>烯酰吗啉</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仿宋_GB2312" w:hAnsi="仿宋_GB2312" w:eastAsia="仿宋_GB2312" w:cs="仿宋_GB2312"/>
          <w:color w:val="auto"/>
          <w:kern w:val="2"/>
          <w:sz w:val="32"/>
          <w:szCs w:val="32"/>
          <w:lang w:val="en-US" w:eastAsia="zh-CN" w:bidi="ar-SA"/>
        </w:rPr>
      </w:pPr>
      <w:r>
        <w:rPr>
          <w:rFonts w:hint="default" w:ascii="仿宋_GB2312" w:hAnsi="仿宋_GB2312" w:eastAsia="仿宋_GB2312" w:cs="仿宋_GB2312"/>
          <w:color w:val="auto"/>
          <w:kern w:val="2"/>
          <w:sz w:val="32"/>
          <w:szCs w:val="32"/>
          <w:lang w:val="en-US" w:eastAsia="zh-CN" w:bidi="ar-SA"/>
        </w:rPr>
        <w:t>烯酰吗啉是一种具有良好保护性能和抗芽孢形成的内吸性杀菌剂，对卵菌纲真菌具有杀灭作用，一般用于葡萄、马铃薯、番茄和其他作物。《食品安全国家标准 食品中农药最大残留限量》（GB 2763-2021）中规定，烯酰吗啉在豆类蔬菜中的最大残留限量为0.15mg/kg。超标的原因可能是菜农违规使用。少量的农药残留不会引起人体急性中毒，但长期食用农药残留超标的食品，对人体健康可能有一定影响。</w:t>
      </w:r>
    </w:p>
    <w:p>
      <w:pPr>
        <w:keepNext w:val="0"/>
        <w:keepLines w:val="0"/>
        <w:pageBreakBefore w:val="0"/>
        <w:numPr>
          <w:ilvl w:val="0"/>
          <w:numId w:val="0"/>
        </w:numPr>
        <w:kinsoku/>
        <w:wordWrap/>
        <w:overflowPunct/>
        <w:topLinePunct w:val="0"/>
        <w:autoSpaceDE/>
        <w:autoSpaceDN/>
        <w:bidi w:val="0"/>
        <w:snapToGrid/>
        <w:spacing w:line="560" w:lineRule="exact"/>
        <w:ind w:firstLine="640" w:firstLineChars="200"/>
        <w:textAlignment w:val="auto"/>
        <w:rPr>
          <w:rFonts w:hint="eastAsia" w:ascii="黑体" w:hAnsi="黑体" w:eastAsia="黑体" w:cs="黑体"/>
          <w:b w:val="0"/>
          <w:bCs w:val="0"/>
          <w:color w:val="auto"/>
          <w:kern w:val="32"/>
          <w:sz w:val="32"/>
          <w:szCs w:val="32"/>
          <w:lang w:val="en-US" w:eastAsia="zh-CN" w:bidi="ar-SA"/>
        </w:rPr>
      </w:pPr>
      <w:r>
        <w:rPr>
          <w:rFonts w:hint="eastAsia" w:ascii="黑体" w:hAnsi="黑体" w:eastAsia="黑体" w:cs="黑体"/>
          <w:b w:val="0"/>
          <w:bCs w:val="0"/>
          <w:color w:val="auto"/>
          <w:kern w:val="32"/>
          <w:sz w:val="32"/>
          <w:szCs w:val="32"/>
          <w:lang w:val="en-US" w:eastAsia="zh-CN" w:bidi="ar-SA"/>
        </w:rPr>
        <w:t>七、氯氟氰菊酯和高效氯氟氰菊酯</w:t>
      </w:r>
    </w:p>
    <w:p>
      <w:pPr>
        <w:keepNext w:val="0"/>
        <w:keepLines w:val="0"/>
        <w:pageBreakBefore w:val="0"/>
        <w:widowControl w:val="0"/>
        <w:numPr>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kern w:val="2"/>
          <w:sz w:val="32"/>
          <w:szCs w:val="32"/>
          <w:lang w:val="en" w:eastAsia="zh-CN" w:bidi="ar-SA"/>
        </w:rPr>
      </w:pPr>
      <w:r>
        <w:rPr>
          <w:rFonts w:hint="eastAsia" w:ascii="仿宋_GB2312" w:hAnsi="Times New Roman" w:eastAsia="仿宋_GB2312"/>
          <w:color w:val="auto"/>
          <w:sz w:val="32"/>
          <w:szCs w:val="32"/>
        </w:rPr>
        <w:t>氯氟氰菊酯又叫三氟氯氰菊酯，高效氯氟氰菊酯是其同分异构体。氯氟氰菊酯是中等毒杀虫剂，具有杀虫广谱、高效、速度快、持效期长的特点。</w:t>
      </w:r>
      <w:r>
        <w:rPr>
          <w:rFonts w:ascii="仿宋_GB2312" w:hAnsi="Times New Roman" w:eastAsia="仿宋_GB2312"/>
          <w:color w:val="auto"/>
          <w:sz w:val="32"/>
          <w:szCs w:val="32"/>
        </w:rPr>
        <w:t>少量的残留不会引起人体急性中毒，但长期食用</w:t>
      </w:r>
      <w:r>
        <w:rPr>
          <w:rFonts w:hint="eastAsia" w:ascii="仿宋_GB2312" w:hAnsi="Times New Roman" w:eastAsia="仿宋_GB2312"/>
          <w:color w:val="auto"/>
          <w:sz w:val="32"/>
          <w:szCs w:val="32"/>
        </w:rPr>
        <w:t>氯氟氰菊酯</w:t>
      </w:r>
      <w:r>
        <w:rPr>
          <w:rFonts w:ascii="仿宋_GB2312" w:hAnsi="Times New Roman" w:eastAsia="仿宋_GB2312"/>
          <w:color w:val="auto"/>
          <w:sz w:val="32"/>
          <w:szCs w:val="32"/>
        </w:rPr>
        <w:t>超标的食品，对人体健康可能有一定影响。</w:t>
      </w:r>
      <w:r>
        <w:rPr>
          <w:rFonts w:hint="eastAsia" w:ascii="仿宋_GB2312" w:hAnsi="Times New Roman" w:eastAsia="仿宋_GB2312"/>
          <w:color w:val="auto"/>
          <w:sz w:val="32"/>
          <w:szCs w:val="32"/>
        </w:rPr>
        <w:t>《食品安全国家标准 食品中农药最大残留限量》（</w:t>
      </w:r>
      <w:r>
        <w:rPr>
          <w:rFonts w:hint="eastAsia" w:ascii="仿宋_GB2312" w:eastAsia="仿宋_GB2312"/>
          <w:color w:val="auto"/>
          <w:sz w:val="32"/>
          <w:szCs w:val="32"/>
          <w:lang w:val="en-US" w:eastAsia="zh-CN"/>
        </w:rPr>
        <w:t>GB 2763—2021</w:t>
      </w:r>
      <w:r>
        <w:rPr>
          <w:rFonts w:hint="eastAsia" w:ascii="仿宋_GB2312" w:hAnsi="Times New Roman" w:eastAsia="仿宋_GB2312"/>
          <w:color w:val="auto"/>
          <w:sz w:val="32"/>
          <w:szCs w:val="32"/>
        </w:rPr>
        <w:t>）中规定，氯氟氰菊酯和高效氯氟氰菊酯在</w:t>
      </w:r>
      <w:r>
        <w:rPr>
          <w:rFonts w:hint="eastAsia" w:ascii="仿宋_GB2312" w:hAnsi="Times New Roman" w:eastAsia="仿宋_GB2312"/>
          <w:color w:val="auto"/>
          <w:sz w:val="32"/>
          <w:szCs w:val="32"/>
          <w:highlight w:val="none"/>
        </w:rPr>
        <w:t>中的青蒜</w:t>
      </w:r>
      <w:r>
        <w:rPr>
          <w:rFonts w:hint="eastAsia" w:ascii="仿宋_GB2312" w:hAnsi="Times New Roman" w:eastAsia="仿宋_GB2312"/>
          <w:color w:val="auto"/>
          <w:sz w:val="32"/>
          <w:szCs w:val="32"/>
          <w:highlight w:val="none"/>
          <w:lang w:eastAsia="zh-CN"/>
        </w:rPr>
        <w:t>、</w:t>
      </w:r>
      <w:r>
        <w:rPr>
          <w:rFonts w:hint="eastAsia" w:ascii="仿宋_GB2312" w:hAnsi="Times New Roman" w:eastAsia="仿宋_GB2312"/>
          <w:color w:val="auto"/>
          <w:sz w:val="32"/>
          <w:szCs w:val="32"/>
          <w:highlight w:val="none"/>
        </w:rPr>
        <w:t>莴苣（茎用莴苣）最大残留限量值分别为</w:t>
      </w:r>
      <w:r>
        <w:rPr>
          <w:rFonts w:hint="eastAsia" w:ascii="仿宋_GB2312" w:hAnsi="Times New Roman" w:eastAsia="仿宋_GB2312"/>
          <w:color w:val="auto"/>
          <w:sz w:val="32"/>
          <w:szCs w:val="32"/>
          <w:highlight w:val="none"/>
          <w:lang w:val="en-US" w:eastAsia="zh-CN"/>
        </w:rPr>
        <w:t>0.2</w:t>
      </w:r>
      <w:r>
        <w:rPr>
          <w:rFonts w:hint="eastAsia" w:ascii="仿宋_GB2312" w:hAnsi="Times New Roman" w:eastAsia="仿宋_GB2312"/>
          <w:color w:val="auto"/>
          <w:sz w:val="32"/>
          <w:szCs w:val="32"/>
          <w:highlight w:val="none"/>
        </w:rPr>
        <w:t>mg/kg</w:t>
      </w:r>
      <w:r>
        <w:rPr>
          <w:rFonts w:hint="eastAsia" w:ascii="仿宋_GB2312" w:hAnsi="Times New Roman" w:eastAsia="仿宋_GB2312"/>
          <w:color w:val="auto"/>
          <w:sz w:val="32"/>
          <w:szCs w:val="32"/>
          <w:highlight w:val="none"/>
          <w:lang w:val="en-US" w:eastAsia="zh-CN"/>
        </w:rPr>
        <w:t>、0.2</w:t>
      </w:r>
      <w:r>
        <w:rPr>
          <w:rFonts w:hint="eastAsia" w:ascii="仿宋_GB2312" w:hAnsi="Times New Roman" w:eastAsia="仿宋_GB2312"/>
          <w:color w:val="auto"/>
          <w:sz w:val="32"/>
          <w:szCs w:val="32"/>
          <w:highlight w:val="none"/>
        </w:rPr>
        <w:t>mg/kg</w:t>
      </w:r>
      <w:r>
        <w:rPr>
          <w:rFonts w:hint="eastAsia" w:ascii="仿宋_GB2312" w:hAnsi="Times New Roman" w:eastAsia="仿宋_GB2312"/>
          <w:color w:val="auto"/>
          <w:sz w:val="32"/>
          <w:szCs w:val="32"/>
        </w:rPr>
        <w:t>。</w:t>
      </w:r>
      <w:r>
        <w:rPr>
          <w:rFonts w:hint="eastAsia" w:ascii="仿宋_GB2312" w:hAnsi="Times New Roman" w:eastAsia="仿宋_GB2312"/>
          <w:color w:val="auto"/>
          <w:sz w:val="32"/>
          <w:szCs w:val="32"/>
          <w:highlight w:val="none"/>
        </w:rPr>
        <w:t>青蒜</w:t>
      </w:r>
      <w:r>
        <w:rPr>
          <w:rFonts w:hint="eastAsia" w:ascii="仿宋_GB2312" w:hAnsi="Times New Roman" w:eastAsia="仿宋_GB2312"/>
          <w:color w:val="auto"/>
          <w:sz w:val="32"/>
          <w:szCs w:val="32"/>
          <w:highlight w:val="none"/>
          <w:lang w:eastAsia="zh-CN"/>
        </w:rPr>
        <w:t>、</w:t>
      </w:r>
      <w:r>
        <w:rPr>
          <w:rFonts w:hint="eastAsia" w:ascii="仿宋_GB2312" w:hAnsi="Times New Roman" w:eastAsia="仿宋_GB2312"/>
          <w:color w:val="auto"/>
          <w:sz w:val="32"/>
          <w:szCs w:val="32"/>
          <w:highlight w:val="none"/>
        </w:rPr>
        <w:t>莴苣（茎用莴苣）</w:t>
      </w:r>
      <w:r>
        <w:rPr>
          <w:rFonts w:ascii="仿宋_GB2312" w:hAnsi="Times New Roman" w:eastAsia="仿宋_GB2312"/>
          <w:color w:val="auto"/>
          <w:sz w:val="32"/>
          <w:szCs w:val="32"/>
        </w:rPr>
        <w:t>中</w:t>
      </w:r>
      <w:r>
        <w:rPr>
          <w:rFonts w:hint="eastAsia" w:ascii="仿宋_GB2312" w:hAnsi="Times New Roman" w:eastAsia="仿宋_GB2312"/>
          <w:color w:val="auto"/>
          <w:sz w:val="32"/>
          <w:szCs w:val="32"/>
        </w:rPr>
        <w:t>氯氟氰菊酯和高效氯氟氰菊酯</w:t>
      </w:r>
      <w:r>
        <w:rPr>
          <w:rFonts w:ascii="仿宋_GB2312" w:hAnsi="Times New Roman" w:eastAsia="仿宋_GB2312"/>
          <w:color w:val="auto"/>
          <w:sz w:val="32"/>
          <w:szCs w:val="32"/>
        </w:rPr>
        <w:t>残留量超标的原因，可能是为快速控制虫害而违规使用。</w:t>
      </w:r>
    </w:p>
    <w:p>
      <w:pPr>
        <w:keepNext w:val="0"/>
        <w:keepLines w:val="0"/>
        <w:pageBreakBefore w:val="0"/>
        <w:numPr>
          <w:ilvl w:val="0"/>
          <w:numId w:val="0"/>
        </w:numPr>
        <w:kinsoku/>
        <w:wordWrap/>
        <w:overflowPunct/>
        <w:topLinePunct w:val="0"/>
        <w:autoSpaceDE/>
        <w:autoSpaceDN/>
        <w:bidi w:val="0"/>
        <w:snapToGrid/>
        <w:spacing w:line="560" w:lineRule="exact"/>
        <w:ind w:firstLine="640" w:firstLineChars="200"/>
        <w:textAlignment w:val="auto"/>
        <w:rPr>
          <w:rFonts w:hint="eastAsia" w:ascii="黑体" w:hAnsi="黑体" w:eastAsia="黑体" w:cs="黑体"/>
          <w:b w:val="0"/>
          <w:bCs w:val="0"/>
          <w:color w:val="auto"/>
          <w:kern w:val="32"/>
          <w:sz w:val="32"/>
          <w:szCs w:val="32"/>
          <w:lang w:val="en-US" w:eastAsia="zh-CN" w:bidi="ar-SA"/>
        </w:rPr>
      </w:pPr>
      <w:r>
        <w:rPr>
          <w:rFonts w:hint="eastAsia" w:ascii="黑体" w:hAnsi="黑体" w:eastAsia="黑体" w:cs="黑体"/>
          <w:b w:val="0"/>
          <w:bCs w:val="0"/>
          <w:color w:val="auto"/>
          <w:kern w:val="32"/>
          <w:sz w:val="32"/>
          <w:szCs w:val="32"/>
          <w:lang w:val="en-US" w:eastAsia="zh-CN" w:bidi="ar-SA"/>
        </w:rPr>
        <w:t>八、氧乐果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Times New Roman" w:eastAsia="仿宋_GB2312"/>
          <w:color w:val="auto"/>
          <w:sz w:val="32"/>
          <w:szCs w:val="32"/>
          <w:lang w:val="en-US" w:eastAsia="zh-CN"/>
        </w:rPr>
      </w:pPr>
      <w:r>
        <w:rPr>
          <w:rFonts w:hint="eastAsia" w:ascii="仿宋_GB2312" w:hAnsi="Times New Roman" w:eastAsia="仿宋_GB2312"/>
          <w:color w:val="auto"/>
          <w:sz w:val="32"/>
          <w:szCs w:val="32"/>
        </w:rPr>
        <w:t>氧乐果属于有机磷类杀虫剂，具有较强的内吸、触杀和胃毒作用，主要用于防治吮吸式口器害虫和植物性螨。少量的残留不会引起人体急性中毒，但长期食用氧乐果超标的食品，对人体健康可能有一定影响。《食品安全国家标准 食品中农药最大残留限量》（</w:t>
      </w:r>
      <w:r>
        <w:rPr>
          <w:rFonts w:hint="eastAsia" w:ascii="仿宋_GB2312" w:hAnsi="Times New Roman" w:eastAsia="仿宋_GB2312"/>
          <w:color w:val="auto"/>
          <w:sz w:val="32"/>
          <w:szCs w:val="32"/>
          <w:lang w:val="en-US" w:eastAsia="zh-CN"/>
        </w:rPr>
        <w:t>GB 2763—2021</w:t>
      </w:r>
      <w:r>
        <w:rPr>
          <w:rFonts w:hint="eastAsia" w:ascii="仿宋_GB2312" w:hAnsi="Times New Roman" w:eastAsia="仿宋_GB2312"/>
          <w:color w:val="auto"/>
          <w:sz w:val="32"/>
          <w:szCs w:val="32"/>
        </w:rPr>
        <w:t>）中规定，氧乐果在蒜薹中的最大残留限量值</w:t>
      </w:r>
      <w:r>
        <w:rPr>
          <w:rFonts w:hint="eastAsia" w:ascii="仿宋_GB2312" w:hAnsi="Times New Roman" w:eastAsia="仿宋_GB2312"/>
          <w:color w:val="auto"/>
          <w:sz w:val="32"/>
          <w:szCs w:val="32"/>
          <w:lang w:val="en-US" w:eastAsia="zh-CN"/>
        </w:rPr>
        <w:t>均</w:t>
      </w:r>
      <w:r>
        <w:rPr>
          <w:rFonts w:hint="eastAsia" w:ascii="仿宋_GB2312" w:hAnsi="Times New Roman" w:eastAsia="仿宋_GB2312"/>
          <w:color w:val="auto"/>
          <w:sz w:val="32"/>
          <w:szCs w:val="32"/>
        </w:rPr>
        <w:t>为0.02mg/kg。蒜薹中氧乐果残留量超标的原因，可能是为快速控制虫害而违规使用。</w:t>
      </w:r>
    </w:p>
    <w:p>
      <w:pPr>
        <w:keepNext w:val="0"/>
        <w:keepLines w:val="0"/>
        <w:pageBreakBefore w:val="0"/>
        <w:numPr>
          <w:ilvl w:val="0"/>
          <w:numId w:val="0"/>
        </w:numPr>
        <w:kinsoku/>
        <w:wordWrap/>
        <w:overflowPunct/>
        <w:topLinePunct w:val="0"/>
        <w:autoSpaceDE/>
        <w:autoSpaceDN/>
        <w:bidi w:val="0"/>
        <w:snapToGrid/>
        <w:spacing w:line="560" w:lineRule="exact"/>
        <w:ind w:firstLine="640" w:firstLineChars="200"/>
        <w:textAlignment w:val="auto"/>
        <w:rPr>
          <w:rFonts w:hint="eastAsia" w:ascii="黑体" w:hAnsi="黑体" w:eastAsia="黑体" w:cs="黑体"/>
          <w:b w:val="0"/>
          <w:bCs w:val="0"/>
          <w:color w:val="auto"/>
          <w:kern w:val="32"/>
          <w:sz w:val="32"/>
          <w:szCs w:val="32"/>
          <w:lang w:val="en-US" w:eastAsia="zh-CN" w:bidi="ar-SA"/>
        </w:rPr>
      </w:pPr>
      <w:r>
        <w:rPr>
          <w:rFonts w:hint="eastAsia" w:ascii="黑体" w:hAnsi="黑体" w:eastAsia="黑体" w:cs="黑体"/>
          <w:b w:val="0"/>
          <w:bCs w:val="0"/>
          <w:color w:val="auto"/>
          <w:kern w:val="32"/>
          <w:sz w:val="32"/>
          <w:szCs w:val="32"/>
          <w:lang w:val="en-US" w:eastAsia="zh-CN" w:bidi="ar-SA"/>
        </w:rPr>
        <w:t>九、腈苯唑</w:t>
      </w:r>
      <w:bookmarkStart w:id="0" w:name="_GoBack"/>
      <w:bookmarkEnd w:id="0"/>
    </w:p>
    <w:p>
      <w:pPr>
        <w:keepNext w:val="0"/>
        <w:keepLines w:val="0"/>
        <w:pageBreakBefore w:val="0"/>
        <w:widowControl w:val="0"/>
        <w:numPr>
          <w:numId w:val="0"/>
        </w:numPr>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olor w:val="auto"/>
          <w:sz w:val="32"/>
          <w:szCs w:val="32"/>
        </w:rPr>
      </w:pPr>
      <w:r>
        <w:rPr>
          <w:rFonts w:hint="eastAsia" w:ascii="仿宋_GB2312" w:hAnsi="Times New Roman" w:eastAsia="仿宋_GB2312"/>
          <w:color w:val="auto"/>
          <w:sz w:val="32"/>
          <w:szCs w:val="32"/>
        </w:rPr>
        <w:t>腈苯唑又叫唑菌腈、苯腈唑，是三唑类内吸杀菌剂，能阻止已发芽的病菌孢子侵入作物组织，抑制菌丝的伸长。少量的残留不会引起人体急性中毒，但长期食用腈苯唑超标的食品，对人体健康可能有一定影响。《食品安全国家标准 食品中农药最大残留限量》（</w:t>
      </w:r>
      <w:r>
        <w:rPr>
          <w:rFonts w:hint="eastAsia" w:ascii="仿宋_GB2312" w:hAnsi="Times New Roman" w:eastAsia="仿宋_GB2312"/>
          <w:color w:val="auto"/>
          <w:sz w:val="32"/>
          <w:szCs w:val="32"/>
          <w:lang w:val="en-US" w:eastAsia="zh-CN"/>
        </w:rPr>
        <w:t>GB 2763—2021</w:t>
      </w:r>
      <w:r>
        <w:rPr>
          <w:rFonts w:hint="eastAsia" w:ascii="仿宋_GB2312" w:hAnsi="Times New Roman" w:eastAsia="仿宋_GB2312"/>
          <w:color w:val="auto"/>
          <w:sz w:val="32"/>
          <w:szCs w:val="32"/>
        </w:rPr>
        <w:t>）中规定，腈苯唑在香蕉中的最大残留限量值为0.05mg/kg。香蕉中腈苯唑残留量超标的原因，可能是为</w:t>
      </w:r>
      <w:r>
        <w:rPr>
          <w:rFonts w:ascii="仿宋_GB2312" w:hAnsi="Times New Roman" w:eastAsia="仿宋_GB2312"/>
          <w:color w:val="auto"/>
          <w:sz w:val="32"/>
          <w:szCs w:val="32"/>
        </w:rPr>
        <w:t>快速控制虫害而违规使用。</w:t>
      </w:r>
    </w:p>
    <w:p>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default"/>
        </w:rPr>
      </w:pPr>
    </w:p>
    <w:p>
      <w:pPr>
        <w:keepNext w:val="0"/>
        <w:keepLines w:val="0"/>
        <w:pageBreakBefore w:val="0"/>
        <w:numPr>
          <w:ilvl w:val="0"/>
          <w:numId w:val="0"/>
        </w:numPr>
        <w:kinsoku/>
        <w:wordWrap/>
        <w:overflowPunct/>
        <w:topLinePunct w:val="0"/>
        <w:autoSpaceDE/>
        <w:autoSpaceDN/>
        <w:bidi w:val="0"/>
        <w:snapToGrid/>
        <w:spacing w:line="560" w:lineRule="exact"/>
        <w:ind w:firstLine="640" w:firstLineChars="200"/>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p>
    <w:p>
      <w:pPr>
        <w:pStyle w:val="2"/>
        <w:rPr>
          <w:rFonts w:hint="eastAsia"/>
          <w:lang w:val="en-US" w:eastAsia="zh-CN"/>
        </w:rPr>
      </w:pPr>
    </w:p>
    <w:p>
      <w:pPr>
        <w:pStyle w:val="2"/>
        <w:rPr>
          <w:rFonts w:hint="eastAsia"/>
          <w:lang w:val="en-US" w:eastAsia="zh-CN"/>
        </w:rPr>
      </w:pPr>
    </w:p>
    <w:sectPr>
      <w:footerReference r:id="rId3" w:type="default"/>
      <w:pgSz w:w="11906" w:h="16838"/>
      <w:pgMar w:top="1701" w:right="1474" w:bottom="1701" w:left="158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pci88sBAACcAwAADgAAAGRycy9lMm9Eb2MueG1srVPNjtMwEL4j8Q6W&#10;79RpJ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rFTaDEcYsDv3z/dvnx6/LzK1lW&#10;q9dZoT5AjYkPAVPTcOeHnD35AZ2Z+KCizV+kRDCO+p6v+sohEZEfrVfrdYUhgbH5gjjs8XmIkN5K&#10;b0k2GhpxgEVXfnoPaUydU3I15++1MejntXF/ORAze1jufewxW2nYD1Pje9+ekU+Ps2+ow1WnxLxz&#10;KG1ek9mIs7GfjWOI+tCVPcr1INweEzZRessVRtipMA6tsJsWLG/Fn/eS9fhTbX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EqXIvPLAQAAnAMAAA4AAAAAAAAAAQAgAAAAHgEAAGRycy9lMm9E&#10;b2MueG1sUEsFBgAAAAAGAAYAWQEAAFsFAAAAAA==&#10;">
              <v:fill on="f" focussize="0,0"/>
              <v:stroke on="f"/>
              <v:imagedata o:title=""/>
              <o:lock v:ext="edit" aspectratio="f"/>
              <v:textbox inset="0mm,0mm,0mm,0mm" style="mso-fit-shape-to-text:t;">
                <w:txbxContent>
                  <w:p>
                    <w:pPr>
                      <w:pStyle w:val="4"/>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VhOTc3OTc5ZDFlZmE2OTQ2YzAwNTQ0NDAwMGRlODMifQ=="/>
    <w:docVar w:name="KSO_WPS_MARK_KEY" w:val="090c17a4-2419-4ee7-a5c9-bd926ea6000b"/>
  </w:docVars>
  <w:rsids>
    <w:rsidRoot w:val="716D3460"/>
    <w:rsid w:val="00395BA8"/>
    <w:rsid w:val="00656EDF"/>
    <w:rsid w:val="00F95434"/>
    <w:rsid w:val="021D6458"/>
    <w:rsid w:val="080A77D2"/>
    <w:rsid w:val="0EA637A2"/>
    <w:rsid w:val="10B44742"/>
    <w:rsid w:val="19FDC604"/>
    <w:rsid w:val="3B5DF5CB"/>
    <w:rsid w:val="49A83EE6"/>
    <w:rsid w:val="4B794DC5"/>
    <w:rsid w:val="4F8165A1"/>
    <w:rsid w:val="53936EEE"/>
    <w:rsid w:val="57882E88"/>
    <w:rsid w:val="5BEFB9BD"/>
    <w:rsid w:val="5FBF031E"/>
    <w:rsid w:val="651F7488"/>
    <w:rsid w:val="66222CF8"/>
    <w:rsid w:val="689508E1"/>
    <w:rsid w:val="6B69393A"/>
    <w:rsid w:val="6C3C4515"/>
    <w:rsid w:val="6FEB2D75"/>
    <w:rsid w:val="70E8037A"/>
    <w:rsid w:val="716D3460"/>
    <w:rsid w:val="778D920B"/>
    <w:rsid w:val="78CC359D"/>
    <w:rsid w:val="7C5F1E3A"/>
    <w:rsid w:val="7D101855"/>
    <w:rsid w:val="7EBF2E71"/>
    <w:rsid w:val="7F7B1F7F"/>
    <w:rsid w:val="9BF78D07"/>
    <w:rsid w:val="9EDD3FC1"/>
    <w:rsid w:val="9FBF21BF"/>
    <w:rsid w:val="ABFFF57B"/>
    <w:rsid w:val="BF6BC155"/>
    <w:rsid w:val="D7EA686B"/>
    <w:rsid w:val="DFB7F0EE"/>
    <w:rsid w:val="DFFE8D9E"/>
    <w:rsid w:val="F2BB8CB4"/>
    <w:rsid w:val="FCFFE2A6"/>
    <w:rsid w:val="FDE23701"/>
    <w:rsid w:val="FF7B1CF6"/>
    <w:rsid w:val="FF9AE331"/>
    <w:rsid w:val="FFFB9E8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99"/>
    <w:pPr>
      <w:spacing w:after="120"/>
    </w:pPr>
    <w:rPr>
      <w:rFonts w:asciiTheme="minorHAnsi" w:hAnsiTheme="minorHAnsi"/>
    </w:rPr>
  </w:style>
  <w:style w:type="paragraph" w:styleId="3">
    <w:name w:val="Body Text Indent"/>
    <w:basedOn w:val="1"/>
    <w:qFormat/>
    <w:uiPriority w:val="0"/>
    <w:pPr>
      <w:spacing w:after="120"/>
      <w:ind w:left="200" w:leftChars="200"/>
    </w:pPr>
  </w:style>
  <w:style w:type="paragraph" w:styleId="4">
    <w:name w:val="footer"/>
    <w:basedOn w:val="1"/>
    <w:unhideWhenUsed/>
    <w:qFormat/>
    <w:uiPriority w:val="99"/>
    <w:pPr>
      <w:tabs>
        <w:tab w:val="center" w:pos="4153"/>
        <w:tab w:val="right" w:pos="8306"/>
      </w:tabs>
      <w:snapToGrid w:val="0"/>
      <w:jc w:val="left"/>
    </w:pPr>
    <w:rPr>
      <w:rFonts w:ascii="Times New Roman" w:hAnsi="Times New Roman"/>
      <w:kern w:val="0"/>
      <w:sz w:val="18"/>
      <w:szCs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unhideWhenUsed/>
    <w:qFormat/>
    <w:uiPriority w:val="99"/>
    <w:pPr>
      <w:spacing w:before="100" w:beforeAutospacing="1" w:after="100" w:afterAutospacing="1"/>
    </w:pPr>
    <w:rPr>
      <w:rFonts w:ascii="宋体" w:hAnsi="宋体" w:cs="宋体"/>
    </w:rPr>
  </w:style>
  <w:style w:type="paragraph" w:styleId="7">
    <w:name w:val="Body Text First Indent 2"/>
    <w:basedOn w:val="3"/>
    <w:qFormat/>
    <w:uiPriority w:val="0"/>
    <w:pPr>
      <w:adjustRightInd w:val="0"/>
      <w:ind w:left="0" w:leftChars="0" w:firstLine="200" w:firstLineChars="200"/>
    </w:pPr>
    <w:rPr>
      <w:rFonts w:ascii="Calibri" w:hAnsi="Calibri" w:eastAsia="仿宋" w:cs="Times New Roman"/>
      <w:sz w:val="32"/>
      <w:lang w:bidi="ar-SA"/>
    </w:rPr>
  </w:style>
  <w:style w:type="character" w:styleId="10">
    <w:name w:val="Strong"/>
    <w:basedOn w:val="9"/>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4</Pages>
  <Words>1435</Words>
  <Characters>1537</Characters>
  <Lines>1</Lines>
  <Paragraphs>1</Paragraphs>
  <TotalTime>51</TotalTime>
  <ScaleCrop>false</ScaleCrop>
  <LinksUpToDate>false</LinksUpToDate>
  <CharactersWithSpaces>1555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2021-03-22T08:30:00Z</dcterms:created>
  <dc:creator>睿睿</dc:creator>
  <cp:lastModifiedBy>Administrator</cp:lastModifiedBy>
  <dcterms:modified xsi:type="dcterms:W3CDTF">2024-12-11T02:25:56Z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2B8532DE0D9C4F8E898764A8A8DA1FB7_13</vt:lpwstr>
  </property>
</Properties>
</file>