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napToGrid w:val="0"/>
        <w:spacing w:line="560" w:lineRule="exact"/>
        <w:jc w:val="both"/>
        <w:rPr>
          <w:rFonts w:eastAsia="方正公文黑体"/>
          <w:color w:val="000000"/>
          <w:spacing w:val="-12"/>
          <w:sz w:val="32"/>
          <w:szCs w:val="32"/>
          <w:lang w:bidi="ar-SA"/>
        </w:rPr>
      </w:pPr>
      <w:r>
        <w:rPr>
          <w:rFonts w:eastAsia="方正公文黑体"/>
          <w:color w:val="000000"/>
          <w:sz w:val="32"/>
          <w:szCs w:val="32"/>
          <w:lang w:bidi="ar-SA"/>
        </w:rPr>
        <w:t>附件2</w:t>
      </w:r>
    </w:p>
    <w:p>
      <w:pPr>
        <w:snapToGrid w:val="0"/>
        <w:spacing w:line="560" w:lineRule="exact"/>
        <w:ind w:firstLineChars="200" w:firstLine="832"/>
        <w:jc w:val="both"/>
        <w:rPr>
          <w:rFonts w:eastAsia="方正公文小标宋"/>
          <w:color w:val="000000"/>
          <w:spacing w:val="-12"/>
          <w:sz w:val="44"/>
          <w:szCs w:val="44"/>
          <w:lang w:bidi="ar-SA"/>
        </w:rPr>
      </w:pPr>
    </w:p>
    <w:p>
      <w:pPr>
        <w:snapToGrid w:val="0"/>
        <w:spacing w:line="560" w:lineRule="exact"/>
        <w:ind w:left="0"/>
        <w:jc w:val="center"/>
        <w:rPr>
          <w:rFonts w:eastAsia="方正公文小标宋"/>
          <w:color w:val="000000"/>
          <w:spacing w:val="-12"/>
          <w:sz w:val="44"/>
          <w:szCs w:val="44"/>
        </w:rPr>
      </w:pPr>
      <w:r>
        <w:rPr>
          <w:rFonts w:eastAsia="方正公文小标宋"/>
          <w:color w:val="000000"/>
          <w:spacing w:val="-12"/>
          <w:sz w:val="44"/>
          <w:szCs w:val="44"/>
          <w:lang w:bidi="ar-SA"/>
        </w:rPr>
        <w:t>部分不合格检验项目小知识</w:t>
      </w:r>
    </w:p>
    <w:p>
      <w:pPr>
        <w:widowControl/>
        <w:snapToGrid w:val="0"/>
        <w:spacing w:line="560" w:lineRule="exact"/>
        <w:ind w:firstLineChars="200" w:firstLine="640"/>
        <w:rPr>
          <w:rFonts w:eastAsia="黑体"/>
          <w:kern w:val="32"/>
          <w:sz w:val="32"/>
          <w:szCs w:val="32"/>
        </w:rPr>
      </w:pPr>
    </w:p>
    <w:p>
      <w:pPr>
        <w:widowControl/>
        <w:snapToGrid w:val="0"/>
        <w:spacing w:line="560" w:lineRule="exact"/>
        <w:ind w:firstLineChars="200" w:firstLine="640"/>
        <w:rPr>
          <w:rStyle w:val="0"/>
          <w:rFonts w:ascii="方正公文黑体" w:eastAsia="方正公文黑体" w:cs="方正公文黑体" w:hAnsi="方正公文黑体" w:hint="eastAsia"/>
          <w:kern w:val="32"/>
          <w:sz w:val="32"/>
          <w:szCs w:val="32"/>
        </w:rPr>
      </w:pPr>
      <w:r>
        <w:rPr>
          <w:rStyle w:val="0"/>
          <w:rFonts w:ascii="方正公文黑体" w:eastAsia="方正公文黑体" w:cs="方正公文黑体" w:hAnsi="方正公文黑体" w:hint="eastAsia"/>
          <w:kern w:val="32"/>
          <w:sz w:val="32"/>
          <w:szCs w:val="32"/>
        </w:rPr>
        <w:t>一、脱氢乙酸及其钠盐（以脱氢乙酸计）</w:t>
      </w:r>
    </w:p>
    <w:p>
      <w:pPr>
        <w:widowControl/>
        <w:snapToGrid w:val="0"/>
        <w:spacing w:line="560" w:lineRule="exact"/>
        <w:ind w:firstLineChars="200" w:firstLine="640"/>
        <w:jc w:val="both"/>
        <w:rPr>
          <w:rFonts w:eastAsia="方正公文仿宋"/>
          <w:sz w:val="32"/>
          <w:szCs w:val="32"/>
        </w:rPr>
      </w:pPr>
      <w:r>
        <w:rPr>
          <w:rFonts w:eastAsia="方正公文仿宋"/>
          <w:sz w:val="32"/>
          <w:szCs w:val="32"/>
        </w:rPr>
        <w:t>脱氢乙酸及其钠盐作为一种广谱食品防腐剂，对霉菌和酵母菌的抑制能力强。脱氢乙酸及其钠盐能被人体吸收，并能抑制人体内多种氧化酶，长期过量摄入脱氢乙酸及其钠盐会危害人体健康。《食品安全国家标准 食品添加剂使用标准》（GB 2760—2014）中规定，调味面制品中不得使用脱氢乙酸及其钠盐（以脱氢乙酸计）。调味面制品中脱氢乙酸及其钠盐（以脱氢乙酸计）不合格的原因，可能是生产企业为防止食品腐败变质超范围使用了该食品添加剂。</w:t>
      </w:r>
    </w:p>
    <w:p>
      <w:pPr>
        <w:widowControl/>
        <w:snapToGrid w:val="0"/>
        <w:spacing w:line="560" w:lineRule="exact"/>
        <w:ind w:firstLineChars="200" w:firstLine="640"/>
        <w:rPr>
          <w:rStyle w:val="0"/>
          <w:rFonts w:ascii="方正公文黑体" w:eastAsia="方正公文黑体" w:cs="方正公文黑体" w:hAnsi="方正公文黑体" w:hint="eastAsia"/>
          <w:kern w:val="32"/>
          <w:sz w:val="32"/>
          <w:szCs w:val="32"/>
        </w:rPr>
      </w:pPr>
      <w:r>
        <w:rPr>
          <w:rStyle w:val="0"/>
          <w:rFonts w:ascii="方正公文黑体" w:eastAsia="方正公文黑体" w:cs="方正公文黑体" w:hAnsi="方正公文黑体" w:hint="eastAsia"/>
          <w:kern w:val="32"/>
          <w:sz w:val="32"/>
          <w:szCs w:val="32"/>
        </w:rPr>
        <w:t>二、克百威</w:t>
      </w:r>
    </w:p>
    <w:p>
      <w:pPr>
        <w:widowControl/>
        <w:snapToGrid w:val="0"/>
        <w:spacing w:line="560" w:lineRule="exact"/>
        <w:ind w:firstLineChars="200" w:firstLine="640"/>
        <w:rPr>
          <w:rFonts w:eastAsia="方正公文仿宋"/>
          <w:kern w:val="2"/>
          <w:sz w:val="32"/>
          <w:szCs w:val="32"/>
          <w:lang w:val="en-US" w:eastAsia="zh-CN" w:bidi="ar-SA"/>
        </w:rPr>
      </w:pPr>
      <w:r>
        <w:rPr>
          <w:rFonts w:eastAsia="方正公文仿宋"/>
          <w:bCs/>
          <w:kern w:val="2"/>
          <w:sz w:val="32"/>
          <w:szCs w:val="32"/>
          <w:lang w:val="en-US" w:eastAsia="zh-CN"/>
        </w:rPr>
        <w:t>克百威，又名呋喃丹，是一种广谱、高效、低残留、高毒性的氨基甲酸酯类杀虫、杀螨、杀线虫剂，具有内吸、触杀、胃毒作用，并有一定的杀卵作用。克百威不易降解，容易造成环境污染。‌虽然少量的农药残留不会引起人体急性中毒，‌但长期食用农药残留超标的食品，‌对人体健康有一定影响。</w:t>
      </w:r>
      <w:r>
        <w:rPr>
          <w:rFonts w:eastAsia="方正公文仿宋"/>
          <w:kern w:val="2"/>
          <w:sz w:val="32"/>
          <w:szCs w:val="32"/>
          <w:lang w:val="en-US" w:eastAsia="zh-CN" w:bidi="ar-SA"/>
        </w:rPr>
        <w:t>《食品安全国家标准 食品中农药最大残留限量》（GB 2763-2021）中规定，克百威在核果类水果中的最大残留限量值为0.02mg/kg。造成不合格的原因可能是种植者没有正确使用农药，在喷洒农药之后没有等待农药渡过分解期就急于上市；也可能是长期不规范使用，导致在土壤等环境中蓄积，进而导致其在水果中的再残留。</w:t>
      </w:r>
    </w:p>
    <w:p>
      <w:pPr>
        <w:widowControl/>
        <w:snapToGrid w:val="0"/>
        <w:spacing w:line="560" w:lineRule="exact"/>
        <w:ind w:firstLineChars="200" w:firstLine="640"/>
        <w:rPr>
          <w:rStyle w:val="0"/>
          <w:rFonts w:ascii="方正公文黑体" w:eastAsia="方正公文黑体" w:cs="方正公文黑体" w:hAnsi="方正公文黑体" w:hint="eastAsia"/>
          <w:kern w:val="32"/>
          <w:sz w:val="32"/>
          <w:szCs w:val="32"/>
        </w:rPr>
      </w:pPr>
      <w:r>
        <w:rPr>
          <w:rStyle w:val="0"/>
          <w:rFonts w:ascii="方正公文黑体" w:eastAsia="方正公文黑体" w:cs="方正公文黑体" w:hAnsi="方正公文黑体" w:hint="eastAsia"/>
          <w:kern w:val="32"/>
          <w:sz w:val="32"/>
          <w:szCs w:val="32"/>
        </w:rPr>
        <w:t>三、氧乐果</w:t>
      </w:r>
    </w:p>
    <w:p>
      <w:pPr>
        <w:widowControl/>
        <w:snapToGrid w:val="0"/>
        <w:spacing w:line="560" w:lineRule="exact"/>
        <w:ind w:firstLineChars="200" w:firstLine="640"/>
        <w:jc w:val="both"/>
        <w:rPr>
          <w:rFonts w:ascii="Times New Roman" w:eastAsia="方正公文仿宋" w:hAnsi="Times New Roman"/>
          <w:b w:val="0"/>
          <w:sz w:val="32"/>
          <w:szCs w:val="32"/>
          <w:lang w:val="en-US" w:eastAsia="zh-CN" w:bidi="ar-SA"/>
        </w:rPr>
      </w:pPr>
      <w:r>
        <w:rPr>
          <w:rFonts w:ascii="Times New Roman" w:eastAsia="方正公文仿宋" w:hAnsi="Times New Roman"/>
          <w:b w:val="0"/>
          <w:bCs/>
          <w:sz w:val="32"/>
          <w:szCs w:val="32"/>
          <w:lang w:val="en-US" w:eastAsia="zh-CN"/>
        </w:rPr>
        <w:t>氧乐果属于有机磷类杀虫剂，具有较强的内吸、触杀和胃毒作用，主要用于防治吮吸式口器害虫和植物性螨。少量的农药残留不会引起人体急性中毒，但长期食用农药残留超标的蔬菜，对人体健康有一定影响。</w:t>
      </w:r>
      <w:r>
        <w:rPr>
          <w:rFonts w:ascii="Times New Roman" w:eastAsia="方正公文仿宋" w:hAnsi="Times New Roman"/>
          <w:b w:val="0"/>
          <w:sz w:val="32"/>
          <w:szCs w:val="32"/>
          <w:lang w:val="en-US" w:eastAsia="zh-CN" w:bidi="ar-SA"/>
        </w:rPr>
        <w:t>《食品安全国家标准 食品中农药最大残留限量》（GB 2763-2021）中规定，氧乐果在茄果类蔬菜中的最大残留限量值为0.02mg/kg。</w:t>
      </w:r>
      <w:r>
        <w:rPr>
          <w:rFonts w:eastAsia="方正公文仿宋"/>
          <w:kern w:val="2"/>
          <w:sz w:val="32"/>
          <w:szCs w:val="32"/>
          <w:lang w:val="en-US" w:eastAsia="zh-CN" w:bidi="ar-SA"/>
        </w:rPr>
        <w:t>造成不合格的原因可能是</w:t>
      </w:r>
      <w:r>
        <w:rPr>
          <w:rFonts w:ascii="Times New Roman" w:eastAsia="方正公文仿宋" w:hAnsi="Times New Roman"/>
          <w:b w:val="0"/>
          <w:sz w:val="32"/>
          <w:szCs w:val="32"/>
          <w:lang w:val="en-US" w:eastAsia="zh-CN" w:bidi="ar-SA"/>
        </w:rPr>
        <w:t>种植者没有正确使用农药，在喷洒农药之后没有等待农药渡过分解期就急于上市；也可能是长期不规范使用，导致在土壤等环境中蓄积，进而导致其在蔬菜中的再残留。</w:t>
      </w:r>
    </w:p>
    <w:p>
      <w:pPr>
        <w:widowControl/>
        <w:snapToGrid w:val="0"/>
        <w:spacing w:line="560" w:lineRule="exact"/>
        <w:ind w:firstLineChars="200" w:firstLine="640"/>
        <w:rPr>
          <w:rStyle w:val="0"/>
          <w:rFonts w:ascii="方正公文黑体" w:eastAsia="方正公文黑体" w:cs="方正公文黑体" w:hAnsi="方正公文黑体"/>
          <w:kern w:val="32"/>
          <w:sz w:val="32"/>
          <w:szCs w:val="32"/>
          <w:lang w:val="en-US" w:eastAsia="zh-CN"/>
        </w:rPr>
      </w:pPr>
      <w:r>
        <w:rPr>
          <w:rFonts w:ascii="方正公文黑体" w:eastAsia="方正公文黑体" w:cs="方正公文黑体" w:hAnsi="方正公文黑体"/>
          <w:b w:val="0"/>
          <w:sz w:val="32"/>
          <w:szCs w:val="32"/>
          <w:lang w:val="en-US" w:eastAsia="zh-CN"/>
        </w:rPr>
        <w:t>四</w:t>
      </w:r>
      <w:r>
        <w:rPr>
          <w:rFonts w:ascii="方正公文黑体" w:eastAsia="方正公文黑体" w:cs="方正公文黑体" w:hAnsi="方正公文黑体" w:hint="eastAsia"/>
          <w:b w:val="0"/>
          <w:sz w:val="32"/>
          <w:szCs w:val="32"/>
          <w:lang w:val="en-US" w:eastAsia="zh-CN"/>
        </w:rPr>
        <w:t>、</w:t>
      </w:r>
      <w:r>
        <w:rPr>
          <w:rStyle w:val="0"/>
          <w:rFonts w:ascii="方正公文黑体" w:eastAsia="方正公文黑体" w:cs="方正公文黑体" w:hAnsi="方正公文黑体" w:hint="eastAsia"/>
          <w:kern w:val="32"/>
          <w:sz w:val="32"/>
          <w:szCs w:val="32"/>
          <w:lang w:val="en-US" w:eastAsia="zh-CN"/>
        </w:rPr>
        <w:t>乐果</w:t>
      </w:r>
    </w:p>
    <w:p>
      <w:pPr>
        <w:widowControl/>
        <w:snapToGrid w:val="0"/>
        <w:spacing w:line="560" w:lineRule="exact"/>
        <w:ind w:firstLineChars="200" w:firstLine="640"/>
        <w:rPr>
          <w:rFonts w:ascii="Times New Roman" w:eastAsia="方正公文仿宋" w:hAnsi="Times New Roman"/>
          <w:b w:val="0"/>
          <w:sz w:val="32"/>
          <w:szCs w:val="32"/>
        </w:rPr>
      </w:pPr>
      <w:r>
        <w:rPr>
          <w:rFonts w:ascii="Times New Roman" w:eastAsia="方正公文仿宋" w:hAnsi="Times New Roman"/>
          <w:b w:val="0"/>
          <w:bCs/>
          <w:sz w:val="32"/>
          <w:szCs w:val="32"/>
        </w:rPr>
        <w:t>乐果是高效广谱具有触杀性和内吸性的杀虫杀螨剂。对多种害虫特别是刺吸口器害虫，具有更高的毒效，杀虫范围广，能潜入植物体内保持药效达一星期左右。</w:t>
      </w:r>
      <w:r>
        <w:rPr>
          <w:rFonts w:ascii="Times New Roman" w:eastAsia="方正公文仿宋" w:hAnsi="Times New Roman"/>
          <w:b w:val="0"/>
          <w:sz w:val="32"/>
          <w:szCs w:val="32"/>
        </w:rPr>
        <w:t>乐果在植物体内外和昆虫体内均可被迅速氧化成氧化乐果而增加毒效。</w:t>
      </w:r>
      <w:r>
        <w:rPr>
          <w:rFonts w:ascii="Times New Roman" w:eastAsia="方正公文仿宋" w:hAnsi="Times New Roman"/>
          <w:b w:val="0"/>
          <w:bCs/>
          <w:sz w:val="32"/>
          <w:szCs w:val="32"/>
          <w:lang w:eastAsia="zh-CN"/>
        </w:rPr>
        <w:t>根据农业部公告第</w:t>
      </w:r>
      <w:r>
        <w:rPr>
          <w:rFonts w:ascii="Times New Roman" w:eastAsia="方正公文仿宋" w:hAnsi="Times New Roman"/>
          <w:b w:val="0"/>
          <w:bCs/>
          <w:sz w:val="32"/>
          <w:szCs w:val="32"/>
          <w:lang w:val="en-US" w:eastAsia="zh-CN"/>
        </w:rPr>
        <w:t>2552号</w:t>
      </w:r>
      <w:r>
        <w:rPr>
          <w:rFonts w:ascii="Times New Roman" w:eastAsia="方正公文仿宋" w:hAnsi="Times New Roman"/>
          <w:b w:val="0"/>
          <w:bCs/>
          <w:sz w:val="32"/>
          <w:szCs w:val="32"/>
          <w:lang w:eastAsia="zh-CN"/>
        </w:rPr>
        <w:t>规定，自</w:t>
      </w:r>
      <w:r>
        <w:rPr>
          <w:rFonts w:ascii="Times New Roman" w:eastAsia="方正公文仿宋" w:hAnsi="Times New Roman"/>
          <w:b w:val="0"/>
          <w:bCs/>
          <w:sz w:val="32"/>
          <w:szCs w:val="32"/>
          <w:lang w:val="en-US" w:eastAsia="zh-CN"/>
        </w:rPr>
        <w:t>2019年8月1日起，禁止乐果在蔬菜中使用。</w:t>
      </w:r>
      <w:r>
        <w:rPr>
          <w:rFonts w:ascii="Times New Roman" w:eastAsia="方正公文仿宋" w:hAnsi="Times New Roman"/>
          <w:b w:val="0"/>
          <w:sz w:val="32"/>
          <w:szCs w:val="32"/>
          <w:lang w:val="en-US" w:eastAsia="zh-CN"/>
        </w:rPr>
        <w:t xml:space="preserve">《食品安全国家标准 </w:t>
      </w:r>
      <w:r>
        <w:rPr>
          <w:rFonts w:ascii="Times New Roman" w:eastAsia="方正公文仿宋" w:hAnsi="Times New Roman"/>
          <w:b w:val="0"/>
          <w:sz w:val="32"/>
          <w:szCs w:val="32"/>
        </w:rPr>
        <w:t>食品中农药最大残留限量</w:t>
      </w:r>
      <w:r>
        <w:rPr>
          <w:rFonts w:ascii="Times New Roman" w:eastAsia="方正公文仿宋" w:hAnsi="Times New Roman"/>
          <w:b w:val="0"/>
          <w:sz w:val="32"/>
          <w:szCs w:val="32"/>
          <w:lang w:val="en-US" w:eastAsia="zh-CN"/>
        </w:rPr>
        <w:t>》（GB2763-2021）中规定，</w:t>
      </w:r>
      <w:r>
        <w:rPr>
          <w:rFonts w:ascii="Times New Roman" w:eastAsia="方正公文仿宋" w:hAnsi="Times New Roman"/>
          <w:b w:val="0"/>
          <w:sz w:val="32"/>
          <w:szCs w:val="32"/>
          <w:lang w:eastAsia="zh-CN"/>
        </w:rPr>
        <w:t>瓜类蔬菜</w:t>
      </w:r>
      <w:r>
        <w:rPr>
          <w:rFonts w:ascii="Times New Roman" w:eastAsia="方正公文仿宋" w:hAnsi="Times New Roman"/>
          <w:b w:val="0"/>
          <w:sz w:val="32"/>
          <w:szCs w:val="32"/>
          <w:lang w:val="en-US" w:eastAsia="zh-CN"/>
        </w:rPr>
        <w:t>最大限量值为0.01mg/kg。</w:t>
      </w:r>
      <w:r>
        <w:rPr>
          <w:rFonts w:ascii="Times New Roman" w:eastAsia="方正公文仿宋" w:hAnsi="Times New Roman"/>
          <w:b w:val="0"/>
          <w:sz w:val="32"/>
          <w:szCs w:val="32"/>
          <w:lang w:eastAsia="zh-CN"/>
        </w:rPr>
        <w:t>蔬菜中检出</w:t>
      </w:r>
      <w:r>
        <w:rPr>
          <w:rFonts w:ascii="Times New Roman" w:eastAsia="方正公文仿宋" w:hAnsi="Times New Roman"/>
          <w:b w:val="0"/>
          <w:sz w:val="32"/>
          <w:szCs w:val="32"/>
        </w:rPr>
        <w:t>的原因，可能是为快速控制虫害</w:t>
      </w:r>
      <w:r>
        <w:rPr>
          <w:rFonts w:ascii="Times New Roman" w:eastAsia="方正公文仿宋" w:hAnsi="Times New Roman"/>
          <w:b w:val="0"/>
          <w:sz w:val="32"/>
          <w:szCs w:val="32"/>
          <w:lang w:eastAsia="zh-CN"/>
        </w:rPr>
        <w:t>违规使用，且</w:t>
      </w:r>
      <w:r>
        <w:rPr>
          <w:rFonts w:ascii="Times New Roman" w:eastAsia="方正公文仿宋" w:hAnsi="Times New Roman"/>
          <w:b w:val="0"/>
          <w:sz w:val="32"/>
          <w:szCs w:val="32"/>
        </w:rPr>
        <w:t>未遵守采摘间隔期规定，致使上市销售时产品中的药物残留量未降解至标准限量值以下</w:t>
      </w:r>
    </w:p>
    <w:p>
      <w:pPr>
        <w:widowControl/>
        <w:snapToGrid w:val="0"/>
        <w:spacing w:line="560" w:lineRule="exact"/>
        <w:ind w:firstLineChars="200" w:firstLine="640"/>
        <w:rPr>
          <w:rFonts w:ascii="方正公文黑体" w:eastAsia="方正公文黑体" w:cs="方正公文黑体" w:hAnsi="方正公文黑体" w:hint="eastAsia"/>
          <w:b w:val="0"/>
          <w:sz w:val="32"/>
          <w:szCs w:val="32"/>
        </w:rPr>
      </w:pPr>
      <w:r>
        <w:rPr>
          <w:rFonts w:ascii="方正公文黑体" w:eastAsia="方正公文黑体" w:cs="方正公文黑体" w:hAnsi="方正公文黑体"/>
          <w:b w:val="0"/>
          <w:sz w:val="32"/>
          <w:szCs w:val="32"/>
        </w:rPr>
        <w:t>五</w:t>
      </w:r>
      <w:r>
        <w:rPr>
          <w:rFonts w:ascii="方正公文黑体" w:eastAsia="方正公文黑体" w:cs="方正公文黑体" w:hAnsi="方正公文黑体" w:hint="eastAsia"/>
          <w:b w:val="0"/>
          <w:sz w:val="32"/>
          <w:szCs w:val="32"/>
        </w:rPr>
        <w:t>、腈菌唑</w:t>
      </w:r>
    </w:p>
    <w:p>
      <w:pPr>
        <w:widowControl/>
        <w:snapToGrid w:val="0"/>
        <w:spacing w:line="560" w:lineRule="exact"/>
        <w:ind w:firstLineChars="200" w:firstLine="640"/>
        <w:rPr>
          <w:rFonts w:ascii="方正公文黑体" w:eastAsia="方正公文黑体" w:cs="方正公文黑体" w:hAnsi="方正公文黑体" w:hint="eastAsia"/>
          <w:kern w:val="2"/>
          <w:sz w:val="32"/>
          <w:szCs w:val="32"/>
        </w:rPr>
      </w:pPr>
      <w:r>
        <w:rPr>
          <w:rFonts w:ascii="Times New Roman" w:eastAsia="方正公文仿宋" w:hAnsi="Times New Roman"/>
          <w:b w:val="0"/>
          <w:sz w:val="32"/>
          <w:szCs w:val="32"/>
        </w:rPr>
        <w:t>腈菌唑是具有保护、治疗性的内吸性杀菌剂，用于多种作物防治子囊菌、半知菌、担子菌、白粉病等病害。少量的农药残留不会引起人体急性中毒，但长期食用腈菌唑残留超标的食品，可能对人体健康有一定影响。</w:t>
      </w:r>
      <w:r>
        <w:rPr>
          <w:rFonts w:ascii="Times New Roman" w:eastAsia="方正公文仿宋" w:hAnsi="Times New Roman"/>
          <w:b w:val="0"/>
          <w:sz w:val="32"/>
          <w:szCs w:val="32"/>
          <w:lang w:val="en-US" w:eastAsia="zh-CN"/>
        </w:rPr>
        <w:t xml:space="preserve">《食品安全国家标准 </w:t>
      </w:r>
      <w:r>
        <w:rPr>
          <w:rFonts w:ascii="Times New Roman" w:eastAsia="方正公文仿宋" w:hAnsi="Times New Roman"/>
          <w:b w:val="0"/>
          <w:color w:val="231F20"/>
          <w:sz w:val="32"/>
          <w:szCs w:val="32"/>
        </w:rPr>
        <w:t>食品中农药最大残留限量</w:t>
      </w:r>
      <w:r>
        <w:rPr>
          <w:rFonts w:ascii="Times New Roman" w:eastAsia="方正公文仿宋" w:hAnsi="Times New Roman"/>
          <w:b w:val="0"/>
          <w:sz w:val="32"/>
          <w:szCs w:val="32"/>
          <w:lang w:val="en-US" w:eastAsia="zh-CN"/>
        </w:rPr>
        <w:t>》（GB2763-2021）中规定，</w:t>
      </w:r>
      <w:r>
        <w:rPr>
          <w:rFonts w:ascii="Times New Roman" w:eastAsia="方正公文仿宋" w:hAnsi="Times New Roman"/>
          <w:b w:val="0"/>
          <w:color w:val="000000"/>
          <w:sz w:val="32"/>
          <w:szCs w:val="32"/>
        </w:rPr>
        <w:t>叶菜类蔬菜</w:t>
      </w:r>
      <w:r>
        <w:rPr>
          <w:rFonts w:ascii="Times New Roman" w:eastAsia="方正公文仿宋" w:hAnsi="Times New Roman"/>
          <w:b w:val="0"/>
          <w:sz w:val="32"/>
          <w:szCs w:val="32"/>
          <w:lang w:val="en-US" w:eastAsia="zh-CN"/>
        </w:rPr>
        <w:t>最大限量值为0.05mg/kg。</w:t>
      </w:r>
      <w:r>
        <w:rPr>
          <w:rFonts w:ascii="Times New Roman" w:eastAsia="方正公文仿宋" w:hAnsi="Times New Roman"/>
          <w:b w:val="0"/>
          <w:sz w:val="32"/>
          <w:szCs w:val="32"/>
        </w:rPr>
        <w:t>芹菜中腈菌唑残留量超标的原因，可能菜农是为快速控制病情，加大用药量或未遵守采摘间隔期规定，致使上市销售的产品中残留量超标。</w:t>
      </w:r>
    </w:p>
    <w:p>
      <w:pPr>
        <w:pStyle w:val="21"/>
        <w:snapToGrid w:val="0"/>
        <w:spacing w:line="560" w:lineRule="exact"/>
        <w:ind w:left="0" w:firstLineChars="200" w:firstLine="640"/>
        <w:rPr>
          <w:rFonts w:eastAsia="方正公文黑体" w:cs="Times New Roman"/>
          <w:b w:val="0"/>
          <w:sz w:val="32"/>
          <w:szCs w:val="32"/>
          <w:lang w:val="en-US" w:eastAsia="zh-CN"/>
        </w:rPr>
      </w:pPr>
      <w:r>
        <w:rPr>
          <w:rFonts w:eastAsia="方正公文黑体" w:cs="Times New Roman"/>
          <w:b w:val="0"/>
          <w:sz w:val="32"/>
          <w:szCs w:val="32"/>
          <w:lang w:val="en-US" w:eastAsia="zh-CN"/>
        </w:rPr>
        <w:t>六</w:t>
      </w:r>
      <w:bookmarkStart w:id="0" w:name="_GoBack"/>
      <w:bookmarkEnd w:id="0"/>
      <w:r>
        <w:rPr>
          <w:rFonts w:eastAsia="方正公文黑体" w:cs="Times New Roman"/>
          <w:b w:val="0"/>
          <w:sz w:val="32"/>
          <w:szCs w:val="32"/>
          <w:lang w:val="en-US" w:eastAsia="zh-CN"/>
        </w:rPr>
        <w:t>、阴离子合成洗涤剂(以十二烷基苯磺酸钠计)</w:t>
      </w:r>
    </w:p>
    <w:p>
      <w:pPr>
        <w:pStyle w:val="21"/>
        <w:snapToGrid w:val="0"/>
        <w:spacing w:line="560" w:lineRule="exact"/>
        <w:ind w:left="0" w:firstLineChars="200" w:firstLine="640"/>
        <w:rPr>
          <w:rFonts w:eastAsia="方正公文仿宋" w:cs="Times New Roman"/>
          <w:b w:val="0"/>
          <w:kern w:val="2"/>
          <w:sz w:val="32"/>
          <w:szCs w:val="32"/>
          <w:lang w:val="en-US" w:eastAsia="zh-CN" w:bidi="ar-SA"/>
        </w:rPr>
      </w:pPr>
      <w:r>
        <w:rPr>
          <w:rFonts w:eastAsia="方正公文仿宋" w:cs="Times New Roman"/>
          <w:b w:val="0"/>
          <w:bCs/>
          <w:sz w:val="32"/>
          <w:szCs w:val="32"/>
          <w:lang w:val="en-US" w:eastAsia="zh-CN"/>
        </w:rPr>
        <w:t>阴离子合成洗涤剂的主要活性成分是十二烷基苯磺酸钠，是一种低毒的化学物质，是我们日常生活中经常用的洗洁精的主要成分。阴离子合成洗涤剂中的阴离子表面活性剂有一部分不易分解，如摄入体内可蓄积，当超过一定浓度时，就会影响人体健康。</w:t>
      </w:r>
      <w:r>
        <w:rPr>
          <w:rFonts w:eastAsia="方正公文仿宋" w:cs="Times New Roman"/>
          <w:b w:val="0"/>
          <w:kern w:val="2"/>
          <w:sz w:val="32"/>
          <w:szCs w:val="32"/>
          <w:lang w:val="en-US" w:eastAsia="zh-CN" w:bidi="ar-SA"/>
        </w:rPr>
        <w:t>《食品安全国家标准 消毒餐（饮）具》（GB 14934-2016）中规定，阴离子合成洗涤剂（以十二烷基苯磺酸钠计）在消毒餐（饮）具中不得检出。造成餐饮具中阴离子合成洗涤剂不合格的原因，可能是清洗餐饮具所用洗涤剂、消毒剂不符合标准要求；也可能是由于使用了过量的洗涤剂、消毒剂或水冲洗不充分、不彻底，造成餐饮具洗涤剂、消毒剂残留；洗涤剂、消毒剂浸泡餐饮具重复使用，造成交叉污染，也会使得阴离子合成洗涤剂的残留。</w:t>
      </w:r>
    </w:p>
    <w:p>
      <w:pPr>
        <w:snapToGrid w:val="0"/>
        <w:spacing w:line="560" w:lineRule="exact"/>
        <w:rPr>
          <w:rStyle w:val="0"/>
          <w:rFonts w:eastAsia="方正公文黑体"/>
          <w:color w:val="000000"/>
          <w:spacing w:val="-12"/>
          <w:sz w:val="32"/>
          <w:szCs w:val="32"/>
          <w:shd w:val="clear" w:color="auto" w:fill="auto"/>
        </w:rPr>
      </w:pPr>
    </w:p>
    <w:sect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公文黑体">
    <w:panose1 w:val="02000500000000000000"/>
    <w:charset w:val="86"/>
    <w:family w:val="script"/>
    <w:pitch w:val="variable"/>
    <w:sig w:usb0="A00002BF" w:usb1="38CF7CFA" w:usb2="00000016" w:usb3="00000000" w:csb0="00040001" w:csb1="00000000"/>
  </w:font>
  <w:font w:name="方正公文小标宋">
    <w:panose1 w:val="02000500000000000000"/>
    <w:charset w:val="86"/>
    <w:family w:val="script"/>
    <w:pitch w:val="variable"/>
    <w:sig w:usb0="A00002BF" w:usb1="38CF7CFA" w:usb2="00000016" w:usb3="00000000" w:csb0="00040001" w:csb1="00000000"/>
  </w:font>
  <w:font w:name="黑体">
    <w:panose1 w:val="02010600030101010101"/>
    <w:charset w:val="86"/>
    <w:family w:val="auto"/>
    <w:pitch w:val="variable"/>
    <w:sig w:usb0="00000001" w:usb1="080E0000" w:usb2="00000000" w:usb3="00000000" w:csb0="00040000" w:csb1="00000000"/>
  </w:font>
  <w:font w:name="方正公文仿宋">
    <w:panose1 w:val="02000500000000000000"/>
    <w:charset w:val="86"/>
    <w:family w:val="script"/>
    <w:pitch w:val="variable"/>
    <w:sig w:usb0="A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Lucida Sans">
    <w:altName w:val="Arial"/>
    <w:panose1 w:val="020B0602030504020204"/>
    <w:charset w:val="00"/>
    <w:family w:val="auto"/>
    <w:pitch w:val="variable"/>
    <w:sig w:usb0="00000003" w:usb1="00000000" w:usb2="00000000" w:usb3="00000000" w:csb0="20000001" w:csb1="00000000"/>
  </w:font>
  <w:font w:name="Arial">
    <w:panose1 w:val="020B0604020202020204"/>
    <w:charset w:val="00"/>
    <w:family w:val="auto"/>
    <w:pitch w:val="variable"/>
    <w:sig w:usb0="00007A87" w:usb1="80000000" w:usb2="00000008" w:usb3="00000000" w:csb0="400001FF" w:csb1="FFFF0000"/>
  </w:font>
  <w:font w:name="Courier New">
    <w:panose1 w:val="02070409020205090404"/>
    <w:charset w:val="00"/>
    <w:family w:val="auto"/>
    <w:pitch w:val="variable"/>
    <w:sig w:usb0="00007A87" w:usb1="80000000" w:usb2="00000008" w:usb3="00000000" w:csb0="400001FF" w:csb1="FFFF0000"/>
  </w:font>
  <w:font w:name="仿宋_GB2312">
    <w:altName w:val="仿宋"/>
    <w:panose1 w:val="02010609030101010101"/>
    <w:charset w:val="86"/>
    <w:family w:val="modern"/>
    <w:pitch w:val="variable"/>
    <w:sig w:usb0="00000000" w:usb1="00000000" w:usb2="00000000" w:usb3="00000000" w:csb0="00040000" w:csb1="00000000"/>
  </w:font>
  <w:font w:name="Calibri">
    <w:panose1 w:val="020F0502020204030204"/>
    <w:charset w:val="00"/>
    <w:family w:val="swiss"/>
    <w:pitch w:val="variable"/>
    <w:sig w:usb0="E4002EFF" w:usb1="C000247B" w:usb2="00000009" w:usb3="00000000" w:csb0="2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6"/>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rPr>
      <w:rFonts w:ascii="Times New Roman" w:eastAsia="宋体" w:cs="Times New Roman" w:hAnsi="Times New Roman"/>
      <w:sz w:val="24"/>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paragraph" w:styleId="4">
    <w:name w:val="heading 4"/>
    <w:basedOn w:val="0"/>
    <w:next w:val="0"/>
    <w:pPr>
      <w:keepNext/>
      <w:keepLines/>
      <w:widowControl w:val="0"/>
      <w:snapToGrid w:val="0"/>
      <w:spacing w:before="160" w:beforeAutospacing="0" w:after="160" w:afterAutospacing="0" w:line="324" w:lineRule="auto"/>
      <w:jc w:val="both"/>
      <w:outlineLvl w:val="3"/>
    </w:pPr>
    <w:rPr>
      <w:rFonts w:ascii="Arial" w:eastAsia="黑体" w:cs="Times New Roman" w:hAnsi="Arial"/>
      <w:b/>
      <w:kern w:val="2"/>
      <w:sz w:val="28"/>
      <w:szCs w:val="21"/>
      <w:lang w:val="en-US" w:eastAsia="zh-CN" w:bidi="ar-SA"/>
    </w:rPr>
  </w:style>
  <w:style w:type="character" w:default="1" w:styleId="10">
    <w:name w:val="Default Paragraph Font"/>
  </w:style>
  <w:style w:type="paragraph" w:styleId="15">
    <w:name w:val="index 5"/>
    <w:basedOn w:val="0"/>
    <w:autoRedefine/>
    <w:next w:val="0"/>
    <w:pPr>
      <w:ind w:left="1680"/>
      <w:jc w:val="center"/>
    </w:pPr>
    <w:rPr>
      <w:rFonts w:ascii="方正公文黑体" w:eastAsia="方正公文黑体" w:cs="方正公文黑体" w:hAnsi="方正公文黑体"/>
    </w:rPr>
  </w:style>
  <w:style w:type="paragraph" w:styleId="16">
    <w:name w:val="Body Text First Indent 2"/>
    <w:basedOn w:val="0"/>
    <w:next w:val="15"/>
    <w:pPr>
      <w:spacing w:after="120"/>
      <w:ind w:leftChars="200" w:left="200" w:firstLineChars="200" w:firstLine="200"/>
    </w:pPr>
    <w:rPr>
      <w:rFonts w:ascii="Times New Roman" w:eastAsia="宋体" w:cs="Times New Roman" w:hAnsi="Times New Roman"/>
      <w:sz w:val="24"/>
      <w:szCs w:val="24"/>
      <w:lang w:val="en-US" w:eastAsia="zh-CN" w:bidi="ar-SA"/>
    </w:rPr>
  </w:style>
  <w:style w:type="character" w:styleId="17">
    <w:name w:val="Hyperlink"/>
    <w:basedOn w:val="10"/>
    <w:rPr>
      <w:color w:val="0000FF"/>
      <w:u w:val="single"/>
    </w:rPr>
  </w:style>
  <w:style w:type="paragraph" w:styleId="18">
    <w:name w:val="Normal (Web)"/>
    <w:basedOn w:val="0"/>
    <w:next w:val="16"/>
    <w:pPr>
      <w:widowControl w:val="0"/>
      <w:spacing w:beforeAutospacing="1" w:afterAutospacing="1"/>
      <w:jc w:val="left"/>
    </w:pPr>
    <w:rPr>
      <w:rFonts w:ascii="Times New Roman" w:eastAsia="宋体" w:cs="Times New Roman" w:hAnsi="Times New Roman"/>
      <w:kern w:val="0"/>
      <w:sz w:val="24"/>
      <w:szCs w:val="21"/>
      <w:lang w:val="en-US" w:eastAsia="zh-CN" w:bidi="ar-SA"/>
    </w:rPr>
  </w:style>
  <w:style w:type="paragraph" w:styleId="19">
    <w:name w:val="HTML Preformatted"/>
    <w:basedOn w:val="0"/>
    <w:next w:val="15"/>
    <w:rPr>
      <w:rFonts w:ascii="Courier New" w:eastAsia="宋体" w:cs="Courier New" w:hAnsi="Courier New"/>
      <w:sz w:val="20"/>
      <w:szCs w:val="20"/>
      <w:lang w:val="en-US" w:eastAsia="zh-CN" w:bidi="ar-SA"/>
    </w:rPr>
  </w:style>
  <w:style w:type="paragraph" w:styleId="20">
    <w:name w:val="table of authorities"/>
    <w:basedOn w:val="0"/>
    <w:next w:val="0"/>
    <w:pPr>
      <w:ind w:leftChars="200" w:left="200"/>
    </w:pPr>
    <w:rPr>
      <w:rFonts w:ascii="Times New Roman" w:eastAsia="宋体" w:cs="Times New Roman" w:hAnsi="Times New Roman"/>
      <w:sz w:val="24"/>
      <w:szCs w:val="24"/>
      <w:lang w:val="en-US" w:eastAsia="zh-CN" w:bidi="ar-SA"/>
    </w:rPr>
  </w:style>
  <w:style w:type="paragraph" w:customStyle="1" w:styleId="21">
    <w:name w:val="样式 样式 左侧:  2 字符 + 左侧:  0.85 厘米 首行缩进:  2 字符1"/>
    <w:basedOn w:val="0"/>
    <w:next w:val="19"/>
    <w:pPr>
      <w:widowControl w:val="0"/>
      <w:ind w:left="482" w:firstLineChars="200" w:firstLine="200"/>
      <w:jc w:val="both"/>
    </w:pPr>
    <w:rPr>
      <w:rFonts w:ascii="Times New Roman" w:eastAsia="宋体" w:cs="宋体" w:hAnsi="Times New Roman"/>
      <w:kern w:val="2"/>
      <w:sz w:val="28"/>
      <w:szCs w:val="21"/>
      <w:lang w:val="en-US" w:eastAsia="zh-CN" w:bidi="ar-SA"/>
    </w:rPr>
  </w:style>
  <w:style w:type="paragraph" w:customStyle="1" w:styleId="22">
    <w:name w:val="Default"/>
    <w:next w:val="15"/>
    <w:pPr>
      <w:widowControl w:val="0"/>
      <w:autoSpaceDE w:val="0"/>
      <w:autoSpaceDN w:val="0"/>
      <w:adjustRightInd w:val="0"/>
    </w:pPr>
    <w:rPr>
      <w:rFonts w:ascii="仿宋_GB2312" w:eastAsia="仿宋_GB2312" w:cs="仿宋_GB2312" w:hAnsi="Times New Roman"/>
      <w:color w:val="000000"/>
      <w:sz w:val="24"/>
      <w:szCs w:val="24"/>
      <w:lang w:val="en-US" w:eastAsia="zh-CN" w:bidi="ar-SA"/>
    </w:rPr>
  </w:style>
  <w:style w:type="paragraph" w:customStyle="1" w:styleId="23">
    <w:name w:val="List Paragraph"/>
    <w:basedOn w:val="0"/>
    <w:pPr>
      <w:widowControl w:val="0"/>
      <w:ind w:firstLineChars="200" w:firstLine="200"/>
      <w:jc w:val="both"/>
    </w:pPr>
    <w:rPr>
      <w:rFonts w:ascii="Times New Roman" w:eastAsia="宋体" w:cs="Times New Roman" w:hAnsi="Times New Roman"/>
      <w:kern w:val="2"/>
      <w:sz w:val="28"/>
      <w:szCs w:val="21"/>
      <w:lang w:val="en-US" w:eastAsia="zh-CN" w:bidi="ar-SA"/>
    </w:rPr>
  </w:style>
  <w:style w:type="paragraph" w:styleId="24">
    <w:name w:val="List Paragraph"/>
    <w:basedOn w:val="0"/>
    <w:pPr>
      <w:widowControl w:val="0"/>
      <w:ind w:firstLineChars="200" w:firstLine="200"/>
      <w:jc w:val="both"/>
    </w:pPr>
    <w:rPr>
      <w:rFonts w:ascii="Calibri" w:eastAsia="宋体" w:cs="Times New Roman"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sectPr/>
  </customProps>
</customData>
</file>

<file path=customXml/itemProps1.xml><?xml version="1.0" encoding="utf-8"?>
<ds:datastoreItem xmlns:ds="http://schemas.openxmlformats.org/officeDocument/2006/customXml" ds:itemID="{C6ACDB87-66E4-462A-9EA7-F97F8405781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16500</TotalTime>
  <Application>Yozo_Office27021597764231179</Application>
  <Pages>3</Pages>
  <Words>0</Words>
  <Characters>1216</Characters>
  <Lines>0</Lines>
  <Paragraphs>17</Paragraphs>
  <CharactersWithSpaces>1622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dcterms:created xsi:type="dcterms:W3CDTF">2024-09-10T03:10:59Z</dcterms:created>
  <dcterms:modified xsi:type="dcterms:W3CDTF">2024-12-09T07:48:33Z</dcterms:modified>
</cp:coreProperties>
</file>