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电动自行车电池产品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2023年，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" w:hAnsi="仿宋" w:eastAsia="仿宋" w:cs="仿宋"/>
          <w:kern w:val="0"/>
          <w:szCs w:val="32"/>
        </w:rPr>
        <w:t>电动自行车电池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产品质量进行了质量监督抽查，共抽查了</w:t>
      </w:r>
      <w:r>
        <w:rPr>
          <w:rFonts w:hint="eastAsia" w:ascii="仿宋" w:hAnsi="仿宋" w:eastAsia="仿宋" w:cs="仿宋"/>
          <w:kern w:val="0"/>
          <w:szCs w:val="32"/>
        </w:rPr>
        <w:t>55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</w:t>
      </w:r>
      <w:bookmarkStart w:id="0" w:name="_Hlk138583661"/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经检验，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20批次产品不符合标准要求。</w:t>
      </w:r>
      <w:bookmarkEnd w:id="0"/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本次抽查依据GB/T 36972-2018《电动自行车用锂离子蓄电池》、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QB/T 2947.3-2008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《电动自行车用蓄电池及充电器 第3部分 锂离子蓄电池及充电器》、</w:t>
      </w:r>
      <w:r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GB/T 36672-2018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《GB/T 36672-2018电动摩托车和电动轻便摩托车用锂离子电池》，对</w:t>
      </w:r>
      <w:r>
        <w:rPr>
          <w:rFonts w:hint="eastAsia" w:ascii="仿宋" w:hAnsi="仿宋" w:eastAsia="仿宋" w:cs="仿宋"/>
          <w:i/>
          <w:i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（A）放电、低温放电、过充电、过放电保护、短路保护、室温放电容量、常温容量、过充电保护、过温保护、过放电等项目进行检验。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主要不合格项目:</w:t>
      </w:r>
      <w:r>
        <w:rPr>
          <w:rFonts w:hint="eastAsia" w:ascii="仿宋_GB2312"/>
          <w:color w:val="000000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过充电、</w:t>
      </w:r>
      <w:r>
        <w:rPr>
          <w:rFonts w:hint="eastAsia" w:ascii="仿宋" w:hAnsi="仿宋" w:eastAsia="仿宋" w:cs="仿宋"/>
          <w:i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（A）放电、低温放电、短路保护、室温放电容量、过充电保护。</w:t>
      </w:r>
    </w:p>
    <w:p>
      <w:pPr>
        <w:ind w:firstLine="643" w:firstLineChars="200"/>
        <w:jc w:val="left"/>
        <w:rPr>
          <w:rFonts w:ascii="仿宋" w:hAnsi="仿宋" w:eastAsia="仿宋" w:cs="仿宋"/>
          <w:color w:val="FF0000"/>
          <w:kern w:val="0"/>
          <w:szCs w:val="32"/>
        </w:rPr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主要不合格项</w:t>
      </w:r>
      <w:bookmarkStart w:id="4" w:name="_GoBack"/>
      <w:bookmarkEnd w:id="4"/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>目情况分析:</w:t>
      </w:r>
    </w:p>
    <w:p>
      <w:pPr>
        <w:pStyle w:val="15"/>
        <w:numPr>
          <w:ilvl w:val="0"/>
          <w:numId w:val="1"/>
        </w:numPr>
        <w:ind w:left="0" w:leftChars="0" w:firstLine="640" w:firstLineChars="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1" w:name="_Hlk138534522"/>
      <w:bookmarkStart w:id="2" w:name="_Hlk138583025"/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电池设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计未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综合考虑组成电池的各关键材料的性能及生产设备精度等，在一些关键指标上应设计一定的冗余空间，以提高容错率。</w:t>
      </w:r>
    </w:p>
    <w:p>
      <w:pPr>
        <w:pStyle w:val="15"/>
        <w:numPr>
          <w:ilvl w:val="0"/>
          <w:numId w:val="1"/>
        </w:numPr>
        <w:tabs>
          <w:tab w:val="left" w:pos="0"/>
        </w:tabs>
        <w:ind w:left="0" w:leftChars="0" w:firstLine="640" w:firstLineChars="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生产</w:t>
      </w:r>
      <w:r>
        <w:rPr>
          <w:rFonts w:hint="eastAsia" w:ascii="仿宋" w:hAnsi="仿宋" w:eastAsia="仿宋" w:cs="仿宋"/>
          <w:kern w:val="0"/>
          <w:szCs w:val="32"/>
        </w:rPr>
        <w:t>工艺稳定性差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，设备精度、生产环境、人员操作等的稳定性，是影响生产工艺稳定性的最重要的因素。</w:t>
      </w:r>
    </w:p>
    <w:p>
      <w:pPr>
        <w:pStyle w:val="15"/>
        <w:numPr>
          <w:ilvl w:val="0"/>
          <w:numId w:val="1"/>
        </w:numPr>
        <w:ind w:left="0" w:leftChars="0" w:firstLine="640" w:firstLineChars="0"/>
        <w:jc w:val="left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原材料性能及其一致性的影响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。电池生产企业在原材料使用品控方面要求不严格时，将很有可能影响其电池产品的电性能、安全性能、一致性以及产品合格率。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kern w:val="0"/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内部</w:t>
      </w:r>
      <w:r>
        <w:rPr>
          <w:rFonts w:hint="eastAsia" w:ascii="仿宋" w:hAnsi="仿宋" w:eastAsia="仿宋" w:cs="仿宋"/>
          <w:kern w:val="0"/>
          <w:szCs w:val="32"/>
        </w:rPr>
        <w:t>质量控制不严格，出厂检验不到位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销售者对进货产品的把关不严</w:t>
      </w:r>
      <w:r>
        <w:rPr>
          <w:rFonts w:hint="eastAsia"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bookmarkEnd w:id="1"/>
    <w:bookmarkEnd w:id="2"/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3" w:name="_Hlk138534694"/>
    </w:p>
    <w:bookmarkEnd w:id="3"/>
    <w:p>
      <w:pPr>
        <w:widowControl/>
        <w:ind w:firstLine="640" w:firstLineChars="200"/>
        <w:rPr>
          <w:rFonts w:ascii="仿宋" w:hAnsi="仿宋" w:eastAsia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2023年广州市电动自行车电池产品质量监督抽查结果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E7D68"/>
    <w:multiLevelType w:val="multilevel"/>
    <w:tmpl w:val="7FBE7D68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57F10"/>
    <w:rsid w:val="00083762"/>
    <w:rsid w:val="000A7AE6"/>
    <w:rsid w:val="00193E60"/>
    <w:rsid w:val="001B0E27"/>
    <w:rsid w:val="001E2B51"/>
    <w:rsid w:val="00232812"/>
    <w:rsid w:val="002F5014"/>
    <w:rsid w:val="00307078"/>
    <w:rsid w:val="00384DBB"/>
    <w:rsid w:val="003A57A9"/>
    <w:rsid w:val="00406474"/>
    <w:rsid w:val="00413AA2"/>
    <w:rsid w:val="00414495"/>
    <w:rsid w:val="0045515A"/>
    <w:rsid w:val="004B719A"/>
    <w:rsid w:val="004C2756"/>
    <w:rsid w:val="00513932"/>
    <w:rsid w:val="00533583"/>
    <w:rsid w:val="00565E16"/>
    <w:rsid w:val="005E55BD"/>
    <w:rsid w:val="006A6ADC"/>
    <w:rsid w:val="0070623B"/>
    <w:rsid w:val="0071602E"/>
    <w:rsid w:val="007D6D37"/>
    <w:rsid w:val="007E16F5"/>
    <w:rsid w:val="00831268"/>
    <w:rsid w:val="00860F32"/>
    <w:rsid w:val="00873C1C"/>
    <w:rsid w:val="00905D87"/>
    <w:rsid w:val="0091269B"/>
    <w:rsid w:val="00956B2A"/>
    <w:rsid w:val="009A1002"/>
    <w:rsid w:val="00A83E6E"/>
    <w:rsid w:val="00B451F6"/>
    <w:rsid w:val="00B61DF4"/>
    <w:rsid w:val="00BD110A"/>
    <w:rsid w:val="00C23D09"/>
    <w:rsid w:val="00C441BE"/>
    <w:rsid w:val="00C90CB9"/>
    <w:rsid w:val="00CD3D97"/>
    <w:rsid w:val="00CD72E0"/>
    <w:rsid w:val="00CE21EB"/>
    <w:rsid w:val="00D03BB6"/>
    <w:rsid w:val="00D51206"/>
    <w:rsid w:val="00D63AA1"/>
    <w:rsid w:val="00D66E55"/>
    <w:rsid w:val="00DB1189"/>
    <w:rsid w:val="00FA04B8"/>
    <w:rsid w:val="00FB7F1C"/>
    <w:rsid w:val="00FF348F"/>
    <w:rsid w:val="02D17ED2"/>
    <w:rsid w:val="08263244"/>
    <w:rsid w:val="0A1B7B76"/>
    <w:rsid w:val="0D04788C"/>
    <w:rsid w:val="0D860B4A"/>
    <w:rsid w:val="0E8D3150"/>
    <w:rsid w:val="0FD1413E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uiPriority w:val="0"/>
    <w:rPr>
      <w:rFonts w:eastAsia="仿宋_GB2312"/>
      <w:kern w:val="2"/>
      <w:sz w:val="18"/>
      <w:szCs w:val="18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238</Words>
  <Characters>1363</Characters>
  <Lines>11</Lines>
  <Paragraphs>3</Paragraphs>
  <TotalTime>1</TotalTime>
  <ScaleCrop>false</ScaleCrop>
  <LinksUpToDate>false</LinksUpToDate>
  <CharactersWithSpaces>1598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2024-07-30T06:59:16Z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