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资阳市雁江区市场监督管理局</w:t>
      </w:r>
    </w:p>
    <w:p>
      <w:pPr>
        <w:keepNext w:val="0"/>
        <w:keepLines w:val="0"/>
        <w:pageBreakBefore w:val="0"/>
        <w:widowControl w:val="0"/>
        <w:suppressAutoHyphens/>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食品安全监督抽检信息公告</w:t>
      </w:r>
    </w:p>
    <w:p>
      <w:pPr>
        <w:keepNext w:val="0"/>
        <w:keepLines w:val="0"/>
        <w:pageBreakBefore w:val="0"/>
        <w:widowControl w:val="0"/>
        <w:tabs>
          <w:tab w:val="center" w:pos="4369"/>
          <w:tab w:val="left" w:pos="6417"/>
        </w:tabs>
        <w:suppressAutoHyphens/>
        <w:kinsoku/>
        <w:wordWrap/>
        <w:overflowPunct/>
        <w:topLinePunct w:val="0"/>
        <w:autoSpaceDE/>
        <w:autoSpaceDN/>
        <w:bidi w:val="0"/>
        <w:adjustRightInd/>
        <w:snapToGrid/>
        <w:spacing w:line="660" w:lineRule="exact"/>
        <w:jc w:val="left"/>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ab/>
      </w:r>
      <w:r>
        <w:rPr>
          <w:rFonts w:hint="eastAsia" w:ascii="方正小标宋简体" w:hAnsi="方正小标宋简体" w:eastAsia="方正小标宋简体" w:cs="方正小标宋简体"/>
          <w:sz w:val="32"/>
          <w:szCs w:val="32"/>
          <w:lang w:eastAsia="zh-CN"/>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lang w:eastAsia="zh-CN"/>
        </w:rPr>
        <w:t>年</w:t>
      </w: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号</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eastAsia="zh-CN"/>
        </w:rPr>
        <w:tab/>
      </w:r>
    </w:p>
    <w:p>
      <w:pPr>
        <w:spacing w:line="600" w:lineRule="exact"/>
        <w:jc w:val="center"/>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依据《中华人民共和国食品安全法》有关规定，我局</w:t>
      </w:r>
      <w:r>
        <w:rPr>
          <w:rFonts w:hint="eastAsia" w:ascii="方正仿宋_GBK" w:hAnsi="方正仿宋_GBK" w:eastAsia="方正仿宋_GBK" w:cs="方正仿宋_GBK"/>
          <w:sz w:val="32"/>
          <w:szCs w:val="32"/>
          <w:lang w:val="en-US" w:eastAsia="zh-CN"/>
        </w:rPr>
        <w:t>6月</w:t>
      </w:r>
      <w:r>
        <w:rPr>
          <w:rFonts w:hint="eastAsia" w:ascii="方正仿宋_GBK" w:hAnsi="方正仿宋_GBK" w:eastAsia="方正仿宋_GBK" w:cs="方正仿宋_GBK"/>
          <w:sz w:val="32"/>
          <w:szCs w:val="32"/>
        </w:rPr>
        <w:t>组织抽检了</w:t>
      </w:r>
      <w:r>
        <w:rPr>
          <w:rFonts w:hint="eastAsia" w:ascii="方正仿宋_GBK" w:hAnsi="方正仿宋_GBK" w:eastAsia="方正仿宋_GBK" w:cs="方正仿宋_GBK"/>
          <w:sz w:val="32"/>
          <w:szCs w:val="32"/>
          <w:lang w:eastAsia="zh-CN"/>
        </w:rPr>
        <w:t>食用农产品</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rPr>
        <w:t>批次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粮食加工品21批次、淀粉及淀粉制品11批次、调味品10批次、肉制品2批次、食用油、油脂及其制品1批次、糕点1批次、水产制品1批次、饮料1批次等9大类食品共83批次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其中，抽样检验项目合格样品</w:t>
      </w:r>
      <w:r>
        <w:rPr>
          <w:rFonts w:hint="eastAsia" w:ascii="方正仿宋_GBK" w:hAnsi="方正仿宋_GBK" w:eastAsia="方正仿宋_GBK" w:cs="方正仿宋_GBK"/>
          <w:sz w:val="32"/>
          <w:szCs w:val="32"/>
          <w:lang w:val="en-US" w:eastAsia="zh-CN"/>
        </w:rPr>
        <w:t>81</w:t>
      </w:r>
      <w:r>
        <w:rPr>
          <w:rFonts w:hint="eastAsia" w:ascii="方正仿宋_GBK" w:hAnsi="方正仿宋_GBK" w:eastAsia="方正仿宋_GBK" w:cs="方正仿宋_GBK"/>
          <w:sz w:val="32"/>
          <w:szCs w:val="32"/>
        </w:rPr>
        <w:t>批次，不合格样品</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批次。样品信息详见附件。</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bookmarkStart w:id="0" w:name="zhengwen"/>
      <w:bookmarkEnd w:id="0"/>
      <w:r>
        <w:rPr>
          <w:rFonts w:hint="eastAsia" w:ascii="方正仿宋_GBK" w:hAnsi="方正仿宋_GBK" w:eastAsia="方正仿宋_GBK" w:cs="方正仿宋_GBK"/>
          <w:sz w:val="32"/>
          <w:szCs w:val="32"/>
        </w:rPr>
        <w:t>对上述监督抽检中发现的不合格产品，生产经营者所在地市场监管部门已按照《中华人民共和国</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"http://news.foodmate.net/tag_1647.html" \t "http://news.foodmate.net/2016/05/_blank" \h </w:instrText>
      </w:r>
      <w:r>
        <w:rPr>
          <w:rFonts w:hint="eastAsia" w:ascii="方正仿宋_GBK" w:hAnsi="方正仿宋_GBK" w:eastAsia="方正仿宋_GBK" w:cs="方正仿宋_GBK"/>
        </w:rPr>
        <w:fldChar w:fldCharType="separate"/>
      </w:r>
      <w:r>
        <w:rPr>
          <w:rStyle w:val="6"/>
          <w:rFonts w:hint="eastAsia" w:ascii="方正仿宋_GBK" w:hAnsi="方正仿宋_GBK" w:eastAsia="方正仿宋_GBK" w:cs="方正仿宋_GBK"/>
          <w:color w:val="auto"/>
          <w:sz w:val="32"/>
          <w:szCs w:val="32"/>
          <w:u w:val="none"/>
        </w:rPr>
        <w:t>食品安全</w:t>
      </w:r>
      <w:r>
        <w:rPr>
          <w:rStyle w:val="6"/>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sz w:val="32"/>
          <w:szCs w:val="32"/>
        </w:rPr>
        <w:t>法》《食品安</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抽样检验管理办法》等规定开展核查处置，责令违法生产经营者下架、召回不合格产品，彻查问题原因并全面整改等。涉及外省（市、自治区）的，通过国家食品安全抽样检验信息系统同步报送了当地市场监管部门予以核查处置。</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现将抽检结果予以公告，并提示消费者，如在市场上发现或购买到本次公布信息中所涉不合格产品时，请拨打市场监管部门投诉举报电话12315反映。</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highlight w:val="none"/>
        </w:rPr>
        <w:t>1.本次检验项目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食品抽检合格-</w:t>
      </w:r>
      <w:r>
        <w:rPr>
          <w:rFonts w:hint="eastAsia" w:ascii="方正仿宋_GBK" w:hAnsi="方正仿宋_GBK" w:eastAsia="方正仿宋_GBK" w:cs="方正仿宋_GBK"/>
          <w:sz w:val="32"/>
          <w:szCs w:val="32"/>
          <w:highlight w:val="none"/>
          <w:lang w:val="en-US" w:eastAsia="zh-CN"/>
        </w:rPr>
        <w:t>20240722</w:t>
      </w:r>
    </w:p>
    <w:p>
      <w:pPr>
        <w:widowControl/>
        <w:spacing w:line="5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 xml:space="preserve"> 3.食品抽检不合格-20240722</w:t>
      </w:r>
    </w:p>
    <w:p>
      <w:pPr>
        <w:widowControl/>
        <w:spacing w:line="500" w:lineRule="exact"/>
        <w:rPr>
          <w:rFonts w:ascii="黑体" w:hAnsi="黑体" w:eastAsia="黑体" w:cs="黑体"/>
          <w:sz w:val="32"/>
          <w:szCs w:val="32"/>
        </w:rPr>
      </w:pPr>
      <w:bookmarkStart w:id="1" w:name="_GoBack"/>
      <w:bookmarkEnd w:id="1"/>
    </w:p>
    <w:p>
      <w:pPr>
        <w:widowControl/>
        <w:spacing w:line="500" w:lineRule="exact"/>
        <w:rPr>
          <w:rFonts w:ascii="黑体" w:hAnsi="黑体" w:eastAsia="黑体" w:cs="黑体"/>
          <w:sz w:val="32"/>
          <w:szCs w:val="32"/>
        </w:rPr>
      </w:pPr>
      <w:r>
        <w:rPr>
          <w:rFonts w:ascii="黑体" w:hAnsi="黑体" w:eastAsia="黑体" w:cs="黑体"/>
          <w:sz w:val="32"/>
          <w:szCs w:val="32"/>
        </w:rPr>
        <w:t>附件1</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本次检验项目</w:t>
      </w:r>
    </w:p>
    <w:p>
      <w:pPr>
        <w:spacing w:line="580" w:lineRule="exact"/>
        <w:jc w:val="center"/>
        <w:rPr>
          <w:rFonts w:hint="eastAsia" w:ascii="方正小标宋简体" w:eastAsia="方正小标宋简体"/>
          <w:sz w:val="44"/>
          <w:szCs w:val="44"/>
        </w:rPr>
      </w:pP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食用农产品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农业农村部公告 第250号《食品动物中禁止使用的药品及其他化合物清单》；GB 2763-2021《食品安全国家标准 食品中农药最大残留限量》；GB 2762-2022《食品安全国家标准 食品中污染物限量》；GB 31650.1-2022《食品安全国家标准 食品中41种兽药最大残留限量》；GB 31650-2019《食品安全国家标准 食品中兽药最大残留限量》；GB 2707-2016《食品安全国家标准 鲜(冻)畜、禽产品》等。</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五氯酚酸钠(以五氯酚计)、多菌灵、镉(以Cd计)、倍硫磷、磺胺类(总量)、阿维菌素、铅(以Pb计)、苯醚甲环唑、甲氧苄啶、毒死蜱、恩诺沙星、哒螨灵、氟虫腈、甲拌磷、氟苯尼考、氯氟氰菊酯和高效氯氟氰菊酯、噻虫嗪、克百威、噻虫胺、挥发性盐基氮、乙螨唑、辛硫磷、氯霉素、啶虫脒、甲胺磷、吡虫啉、腈苯唑、灭蝇胺、呋喃唑酮代谢物、呋喃西林代谢物、氧乐果、酰甲胺磷、克伦特罗、莱克多巴胺、沙丁胺醇、氧氟沙星、土霉素/金霉素/四环素(组合含量)、多西环素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粮食加工品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GB 2762-2022《食品安全国家标准 食品中污染物限量》；GB 2761-2017《食品安全国家标准 食品中真菌毒素限量》等</w:t>
      </w:r>
      <w:r>
        <w:rPr>
          <w:rFonts w:hint="eastAsia" w:ascii="仿宋_GB2312;仿宋" w:hAnsi="仿宋_GB2312;仿宋" w:eastAsia="仿宋_GB2312;仿宋" w:cs="宋体"/>
          <w:bCs/>
          <w:kern w:val="0"/>
          <w:sz w:val="32"/>
          <w:szCs w:val="32"/>
          <w:lang w:eastAsia="zh-CN"/>
        </w:rPr>
        <w:t>。</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铅(以Pb计)、镉(以Cd计)、无机砷(以As计)、黄曲霉毒素B₁赭曲霉毒素A、玉米赤霉烯酮等。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淀粉及淀粉制品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GB 2760-2014《食品安全国家标准 食品添加剂使用标准》</w:t>
      </w:r>
      <w:r>
        <w:rPr>
          <w:rFonts w:hint="eastAsia" w:ascii="仿宋_GB2312;仿宋" w:hAnsi="仿宋_GB2312;仿宋" w:eastAsia="仿宋_GB2312;仿宋" w:cs="宋体"/>
          <w:bCs/>
          <w:kern w:val="0"/>
          <w:sz w:val="32"/>
          <w:szCs w:val="32"/>
        </w:rPr>
        <w:t>等</w:t>
      </w:r>
      <w:r>
        <w:rPr>
          <w:rFonts w:hint="eastAsia" w:ascii="仿宋_GB2312;仿宋" w:hAnsi="仿宋_GB2312;仿宋" w:eastAsia="仿宋_GB2312;仿宋" w:cs="宋体"/>
          <w:bCs/>
          <w:kern w:val="0"/>
          <w:sz w:val="32"/>
          <w:szCs w:val="32"/>
          <w:lang w:eastAsia="zh-CN"/>
        </w:rPr>
        <w:t>。</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苯甲酸及其钠盐(以苯甲酸计)、山梨酸及其钾盐(以山梨酸计)、铝的残留量(干样品,以Al计)、二氧化硫残留量等。</w:t>
      </w:r>
    </w:p>
    <w:p>
      <w:pPr>
        <w:spacing w:line="580" w:lineRule="exact"/>
        <w:ind w:firstLine="64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调味品</w:t>
      </w:r>
    </w:p>
    <w:p>
      <w:pPr>
        <w:spacing w:line="580" w:lineRule="exact"/>
        <w:ind w:firstLine="643"/>
        <w:rPr>
          <w:rFonts w:ascii="楷体_GB2312;楷体" w:hAnsi="楷体_GB2312;楷体" w:eastAsia="楷体_GB2312;楷体"/>
          <w:b/>
          <w:sz w:val="32"/>
          <w:szCs w:val="32"/>
          <w:highlight w:val="none"/>
        </w:rPr>
      </w:pPr>
      <w:r>
        <w:rPr>
          <w:rFonts w:ascii="楷体_GB2312;楷体" w:hAnsi="楷体_GB2312;楷体" w:eastAsia="楷体_GB2312;楷体"/>
          <w:b/>
          <w:sz w:val="32"/>
          <w:szCs w:val="32"/>
          <w:highlight w:val="none"/>
        </w:rPr>
        <w:t>（一）抽检依据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GB 2762-2022《食品安全国家标准 食品中污染物限量》；SB/T 10416-2007《调味料酒》；整顿办函</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2011</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1号《食品中可能违法添加的非食用物质和易滥用的食品添加剂品种名单(第五批)》；GB 2760-2014《食品安全国家标准 食品添加剂使用标准》；产品明示标准和质量要求；GB 2721-2015《食品安全国家标准 食用盐》；GB/T 18186-2000《酿造酱油》；食品整治办</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2008</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3号《食品中可能违法添加的非食用物质和易滥用的食品添加剂品种名单(第一批)》；GB 26878-2011《食品安全国家标准 食用盐碘含量》等。</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铅(以Pb计)、氨基酸态氮(以氮计)、罂粟碱、山梨酸及其钾盐(以山梨酸计)、氯化钠(以湿基计)、二氧化硫残留量、苯甲酸及其钠盐(以苯甲酸计)、脱氢乙酸及其钠盐(以脱氢乙酸计)、吗啡、铵盐(以占氨基酸态氮的百分比计)、罗丹明B、钡(以Ba计)、丙溴磷、可待因、碘(以I计)、多菌灵、甜蜜素(以环己基氨基磺酸计)、那可丁、氯氰菊酯和高效氯氰菊酯、糖精钠(以糖精计)、柠檬黄、镉(以Cd计)、日落黄、胭脂红、氯化钠(以干基计)、苋菜红、全氮(以氮计)、菌落总数、亮蓝、大肠菌群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肉制品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GB 2762-2022《食品安全国家标准 食品中污染物限量》；GB 2760-2014《食品安全国家标准 食品添加剂使用标准》；整顿办函</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2011</w:t>
      </w:r>
      <w:r>
        <w:rPr>
          <w:rFonts w:ascii="宋体" w:hAnsi="宋体" w:eastAsia="宋体" w:cs="宋体"/>
          <w:sz w:val="24"/>
          <w:szCs w:val="24"/>
        </w:rPr>
        <w:t>〕</w:t>
      </w:r>
      <w:r>
        <w:rPr>
          <w:rFonts w:hint="eastAsia" w:ascii="仿宋_GB2312;仿宋" w:hAnsi="仿宋_GB2312;仿宋" w:eastAsia="仿宋_GB2312;仿宋" w:cs="宋体"/>
          <w:bCs/>
          <w:kern w:val="0"/>
          <w:sz w:val="32"/>
          <w:szCs w:val="32"/>
          <w:lang w:val="en-US" w:eastAsia="zh-CN"/>
        </w:rPr>
        <w:t>1号《食品中可能违法添加的非食用物质和易滥用的食品添加剂品种名单(第五批)》</w:t>
      </w:r>
      <w:r>
        <w:rPr>
          <w:rFonts w:hint="eastAsia" w:ascii="仿宋_GB2312;仿宋" w:hAnsi="仿宋_GB2312;仿宋" w:eastAsia="仿宋_GB2312;仿宋" w:cs="宋体"/>
          <w:bCs/>
          <w:kern w:val="0"/>
          <w:sz w:val="32"/>
          <w:szCs w:val="32"/>
        </w:rPr>
        <w:t>等</w:t>
      </w:r>
      <w:r>
        <w:rPr>
          <w:rFonts w:hint="eastAsia" w:ascii="仿宋_GB2312;仿宋" w:hAnsi="仿宋_GB2312;仿宋" w:eastAsia="仿宋_GB2312;仿宋" w:cs="宋体"/>
          <w:bCs/>
          <w:kern w:val="0"/>
          <w:sz w:val="32"/>
          <w:szCs w:val="32"/>
          <w:lang w:eastAsia="zh-CN"/>
        </w:rPr>
        <w:t>。</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铅(以Pb计)、亚硝酸盐(以亚硝酸钠计)、苯甲酸及其钠盐(以苯甲酸计)、山梨酸及其钾盐(以山梨酸计)、脱氢乙酸及其钠盐(以脱氢乙酸计)、纳他霉素、胭脂红、诱惑红、氯霉素等。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食用油、油脂及其制品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产品明示标准和质量要求；GB 2716-2018《食品安全国家标准 植物油》；GB 2760-2014《食品安全国家标准 食品添加剂使用标准》等。</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val="en-US" w:eastAsia="zh-CN"/>
        </w:rPr>
      </w:pPr>
      <w:r>
        <w:rPr>
          <w:rFonts w:hint="eastAsia" w:ascii="仿宋_GB2312;仿宋" w:hAnsi="仿宋_GB2312;仿宋" w:eastAsia="仿宋_GB2312;仿宋" w:cs="宋体"/>
          <w:bCs/>
          <w:kern w:val="0"/>
          <w:sz w:val="32"/>
          <w:szCs w:val="32"/>
          <w:lang w:val="en-US" w:eastAsia="zh-CN"/>
        </w:rPr>
        <w:t>酸价(以KOH计)、过氧化值、铅(以Pb计)、苯并[a]芘、溶剂残留量、乙基麦芽酚等。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糕点</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GB 2762-2022《食品安全国家标准 食品中污染物限量》；GB 2760-2014《食品安全国家标准 食品添加剂使用标准》；GB 7099-2015《食品安全国家标准 糕点、面包》；GB 29921-2021《食品安全国家标准 预包装食品中致病菌限量》等。</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铅(以Pb计)、苯甲酸及其钠盐(以苯甲酸计)、山梨酸及其钾盐(以山梨酸计)、糖精钠(以糖精计)、甜蜜素(以环己基氨基磺酸计)、安赛蜜、铝的残留量(干样品,以Al计)、丙酸及其钠盐、钙盐(以丙酸计)、脱氢乙酸及其钠盐(以脱氢乙酸计)、三氯蔗糖、柠檬黄、日落黄、胭脂红、苋菜红、亮蓝、新红、赤藓红、靛蓝、诱惑红、酸性红、喹啉黄、菌落总数、大肠菌群、金黄色葡萄球菌、沙门氏菌、霉菌</w:t>
      </w:r>
      <w:r>
        <w:rPr>
          <w:rFonts w:hint="eastAsia" w:ascii="仿宋_GB2312;仿宋" w:hAnsi="仿宋_GB2312;仿宋" w:eastAsia="仿宋_GB2312;仿宋" w:cs="宋体"/>
          <w:bCs/>
          <w:kern w:val="0"/>
          <w:sz w:val="32"/>
          <w:szCs w:val="32"/>
          <w:lang w:eastAsia="zh-CN"/>
        </w:rPr>
        <w:t>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水产制品</w:t>
      </w:r>
    </w:p>
    <w:p>
      <w:pPr>
        <w:spacing w:line="580" w:lineRule="exact"/>
        <w:ind w:firstLine="643"/>
        <w:rPr>
          <w:rFonts w:ascii="楷体_GB2312;楷体" w:hAnsi="楷体_GB2312;楷体" w:eastAsia="楷体_GB2312;楷体"/>
          <w:b/>
          <w:sz w:val="32"/>
          <w:szCs w:val="32"/>
        </w:rPr>
      </w:pPr>
      <w:r>
        <w:rPr>
          <w:rFonts w:ascii="楷体_GB2312;楷体" w:hAnsi="楷体_GB2312;楷体" w:eastAsia="楷体_GB2312;楷体"/>
          <w:b/>
          <w:sz w:val="32"/>
          <w:szCs w:val="32"/>
        </w:rPr>
        <w:t>（一）抽检依据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val="en-US" w:eastAsia="zh-CN"/>
        </w:rPr>
        <w:t>GB 2762-2022《食品安全国家标准 食品中污染物限量》</w:t>
      </w:r>
      <w:r>
        <w:rPr>
          <w:rFonts w:hint="eastAsia" w:ascii="仿宋_GB2312;仿宋" w:hAnsi="仿宋_GB2312;仿宋" w:eastAsia="仿宋_GB2312;仿宋" w:cs="宋体"/>
          <w:bCs/>
          <w:kern w:val="0"/>
          <w:sz w:val="32"/>
          <w:szCs w:val="32"/>
          <w:lang w:eastAsia="zh-CN"/>
        </w:rPr>
        <w:t>等。</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spacing w:line="580" w:lineRule="exact"/>
        <w:ind w:firstLine="640"/>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eastAsia="zh-CN"/>
        </w:rPr>
        <w:t>铅(以Pb计)等。</w:t>
      </w:r>
    </w:p>
    <w:p>
      <w:pPr>
        <w:spacing w:line="58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九、饮料</w:t>
      </w:r>
    </w:p>
    <w:p>
      <w:pPr>
        <w:spacing w:line="580" w:lineRule="exact"/>
        <w:ind w:left="643"/>
        <w:rPr>
          <w:rFonts w:ascii="楷体_GB2312;楷体" w:hAnsi="楷体_GB2312;楷体" w:eastAsia="楷体_GB2312;楷体"/>
          <w:b/>
          <w:sz w:val="32"/>
          <w:szCs w:val="32"/>
        </w:rPr>
      </w:pPr>
      <w:r>
        <w:rPr>
          <w:rFonts w:hint="eastAsia" w:ascii="楷体_GB2312;楷体" w:hAnsi="楷体_GB2312;楷体" w:eastAsia="楷体_GB2312;楷体"/>
          <w:b/>
          <w:sz w:val="32"/>
          <w:szCs w:val="32"/>
          <w:lang w:eastAsia="zh-CN"/>
        </w:rPr>
        <w:t>（一）</w:t>
      </w:r>
      <w:r>
        <w:rPr>
          <w:rFonts w:ascii="楷体_GB2312;楷体" w:hAnsi="楷体_GB2312;楷体" w:eastAsia="楷体_GB2312;楷体"/>
          <w:b/>
          <w:sz w:val="32"/>
          <w:szCs w:val="32"/>
        </w:rPr>
        <w:t>抽检依据</w:t>
      </w:r>
    </w:p>
    <w:p>
      <w:pPr>
        <w:spacing w:line="580" w:lineRule="exact"/>
        <w:ind w:firstLine="640"/>
        <w:rPr>
          <w:rFonts w:ascii="楷体_GB2312;楷体" w:hAnsi="楷体_GB2312;楷体" w:eastAsia="楷体_GB2312;楷体"/>
          <w:b/>
          <w:sz w:val="32"/>
          <w:szCs w:val="32"/>
        </w:rPr>
      </w:pPr>
      <w:r>
        <w:rPr>
          <w:rFonts w:hint="eastAsia" w:ascii="仿宋_GB2312;仿宋" w:hAnsi="仿宋_GB2312;仿宋" w:eastAsia="仿宋_GB2312;仿宋" w:cs="宋体"/>
          <w:bCs/>
          <w:kern w:val="0"/>
          <w:sz w:val="32"/>
          <w:szCs w:val="32"/>
          <w:lang w:val="en-US" w:eastAsia="zh-CN"/>
        </w:rPr>
        <w:t>GB 2760-2014《食品安全国家标准 食品添加剂使用标准》等。</w:t>
      </w:r>
    </w:p>
    <w:p>
      <w:pPr>
        <w:spacing w:line="580" w:lineRule="exact"/>
        <w:ind w:left="643"/>
        <w:rPr>
          <w:rFonts w:ascii="楷体_GB2312;楷体" w:hAnsi="楷体_GB2312;楷体" w:eastAsia="楷体_GB2312;楷体"/>
          <w:b/>
          <w:sz w:val="32"/>
          <w:szCs w:val="32"/>
        </w:rPr>
      </w:pPr>
      <w:r>
        <w:rPr>
          <w:rFonts w:ascii="楷体_GB2312;楷体" w:hAnsi="楷体_GB2312;楷体" w:eastAsia="楷体_GB2312;楷体"/>
          <w:b/>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仿宋" w:hAnsi="仿宋_GB2312;仿宋" w:eastAsia="仿宋_GB2312;仿宋" w:cs="宋体"/>
          <w:bCs/>
          <w:kern w:val="0"/>
          <w:sz w:val="32"/>
          <w:szCs w:val="32"/>
          <w:lang w:eastAsia="zh-CN"/>
        </w:rPr>
      </w:pPr>
      <w:r>
        <w:rPr>
          <w:rFonts w:hint="eastAsia" w:ascii="仿宋_GB2312;仿宋" w:hAnsi="仿宋_GB2312;仿宋" w:eastAsia="仿宋_GB2312;仿宋" w:cs="宋体"/>
          <w:bCs/>
          <w:kern w:val="0"/>
          <w:sz w:val="32"/>
          <w:szCs w:val="32"/>
          <w:lang w:eastAsia="zh-CN"/>
        </w:rPr>
        <w:t>苯甲酸及其钠盐(以苯甲酸计)、山梨酸及其钾盐(以山梨酸计)、脱氢乙酸及其钠盐(以脱氢乙酸计)、糖精钠(以糖精计)、安赛蜜、甜蜜素(以环己基氨基磺酸计)、苋菜红、胭脂红、柠檬黄、日落黄、亮蓝等。</w:t>
      </w:r>
    </w:p>
    <w:p/>
    <w:sectPr>
      <w:footerReference r:id="rId3" w:type="default"/>
      <w:pgSz w:w="11906" w:h="16838"/>
      <w:pgMar w:top="1440" w:right="1644" w:bottom="1440" w:left="1644" w:header="0" w:footer="992" w:gutter="0"/>
      <w:cols w:space="720" w:num="1"/>
      <w:formProt w:val="0"/>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69850" cy="20955"/>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9850" cy="20955"/>
                      </a:xfrm>
                      <a:prstGeom prst="rect">
                        <a:avLst/>
                      </a:prstGeom>
                      <a:solidFill>
                        <a:srgbClr val="FFFFFF">
                          <a:alpha val="0"/>
                        </a:srgbClr>
                      </a:solidFill>
                    </wps:spPr>
                    <wps:txbx>
                      <w:txbxContent>
                        <w:p>
                          <w:pPr>
                            <w:pStyle w:val="2"/>
                            <w:rPr>
                              <w:rStyle w:val="7"/>
                            </w:rPr>
                          </w:pPr>
                          <w:r>
                            <w:fldChar w:fldCharType="begin"/>
                          </w:r>
                          <w:r>
                            <w:instrText xml:space="preserve">PAGE</w:instrText>
                          </w:r>
                          <w:r>
                            <w:fldChar w:fldCharType="separate"/>
                          </w:r>
                          <w:r>
                            <w:t>46</w:t>
                          </w:r>
                          <w:r>
                            <w:fldChar w:fldCharType="end"/>
                          </w:r>
                        </w:p>
                      </w:txbxContent>
                    </wps:txbx>
                    <wps:bodyPr lIns="0" tIns="0" rIns="0" bIns="0" anchor="t">
                      <a:noAutofit/>
                    </wps:bodyPr>
                  </wps:wsp>
                </a:graphicData>
              </a:graphic>
            </wp:anchor>
          </w:drawing>
        </mc:Choice>
        <mc:Fallback>
          <w:pict>
            <v:shape id="框架1" o:spid="_x0000_s1026" o:spt="202" type="#_x0000_t202" style="position:absolute;left:0pt;margin-top:0.05pt;height:1.65pt;width:5.5pt;mso-position-horizontal:right;mso-position-horizontal-relative:margin;mso-wrap-distance-bottom:0pt;mso-wrap-distance-left:0pt;mso-wrap-distance-right:0pt;mso-wrap-distance-top:0pt;z-index:251659264;mso-width-relative:page;mso-height-relative:page;" fillcolor="#FFFFFF" filled="t" stroked="f" coordsize="21600,21600" o:gfxdata="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MOR/LPAAAAAgEA&#10;AA8AAAAAAAAAAQAgAAAAOAAAAGRycy9kb3ducmV2LnhtbFBLAQIUABQAAAAIAIdO4kBs85TR1AEA&#10;ALIDAAAOAAAAAAAAAAEAIAAAADQBAABkcnMvZTJvRG9jLnhtbFBLBQYAAAAABgAGAFkBAAB6BQAA&#10;AAA=&#10;">
              <v:fill on="t" opacity="0f" focussize="0,0"/>
              <v:stroke on="f"/>
              <v:imagedata o:title=""/>
              <o:lock v:ext="edit" aspectratio="f"/>
              <v:textbox inset="0mm,0mm,0mm,0mm">
                <w:txbxContent>
                  <w:p>
                    <w:pPr>
                      <w:pStyle w:val="2"/>
                      <w:rPr>
                        <w:rStyle w:val="7"/>
                      </w:rPr>
                    </w:pPr>
                    <w:r>
                      <w:fldChar w:fldCharType="begin"/>
                    </w:r>
                    <w:r>
                      <w:instrText xml:space="preserve">PAGE</w:instrText>
                    </w:r>
                    <w:r>
                      <w:fldChar w:fldCharType="separate"/>
                    </w:r>
                    <w:r>
                      <w:t>46</w:t>
                    </w:r>
                    <w:r>
                      <w:fldChar w:fldCharType="end"/>
                    </w:r>
                  </w:p>
                </w:txbxContent>
              </v:textbox>
              <w10:wrap type="square" side="largest"/>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zk4YmE2YzA2ODEzMjdmNjlkMTk5MTg2M2JjNmMifQ=="/>
  </w:docVars>
  <w:rsids>
    <w:rsidRoot w:val="5F3326D8"/>
    <w:rsid w:val="157E709D"/>
    <w:rsid w:val="36796C84"/>
    <w:rsid w:val="3EBF7F47"/>
    <w:rsid w:val="57DD7E44"/>
    <w:rsid w:val="5B8A693E"/>
    <w:rsid w:val="5F3326D8"/>
    <w:rsid w:val="61D70C94"/>
    <w:rsid w:val="6CD802BF"/>
    <w:rsid w:val="DEF9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Internet 链接"/>
    <w:qFormat/>
    <w:uiPriority w:val="0"/>
    <w:rPr>
      <w:rFonts w:cs="Times New Roman"/>
      <w:color w:val="0000FF"/>
      <w:u w:val="single"/>
    </w:rPr>
  </w:style>
  <w:style w:type="character" w:customStyle="1" w:styleId="7">
    <w:name w:val="页码1"/>
    <w:qFormat/>
    <w:uiPriority w:val="0"/>
    <w:rPr>
      <w:rFonts w:cs="Times New Roman"/>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2282</Words>
  <Characters>2574</Characters>
  <Lines>0</Lines>
  <Paragraphs>0</Paragraphs>
  <TotalTime>4</TotalTime>
  <ScaleCrop>false</ScaleCrop>
  <LinksUpToDate>false</LinksUpToDate>
  <CharactersWithSpaces>2634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2024-07-22T09:19:00Z</dcterms:created>
  <dc:creator>吴倩</dc:creator>
  <cp:lastModifiedBy>ht706</cp:lastModifiedBy>
  <dcterms:modified xsi:type="dcterms:W3CDTF">2024-07-22T17:48:24Z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F3830274B157469EA250A58E87F9A197_13</vt:lpwstr>
  </property>
</Properties>
</file>