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CCCCCC" w:sz="2" w:space="3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textAlignment w:val="baseline"/>
        <w:rPr>
          <w:rFonts w:ascii="initial" w:hAnsi="initial" w:eastAsia="initial" w:cs="initial"/>
          <w:b/>
          <w:i w:val="0"/>
          <w:caps w:val="0"/>
          <w:color w:val="0374AE"/>
          <w:spacing w:val="0"/>
          <w:sz w:val="16"/>
          <w:szCs w:val="16"/>
        </w:rPr>
      </w:pPr>
      <w:bookmarkStart w:id="0" w:name="_GoBack"/>
      <w:r>
        <w:rPr>
          <w:rFonts w:hint="default" w:ascii="initial" w:hAnsi="initial" w:eastAsia="initial" w:cs="initial"/>
          <w:b/>
          <w:i w:val="0"/>
          <w:caps w:val="0"/>
          <w:color w:val="0374AE"/>
          <w:spacing w:val="0"/>
          <w:kern w:val="0"/>
          <w:sz w:val="16"/>
          <w:szCs w:val="16"/>
          <w:bdr w:val="none" w:color="auto" w:sz="0" w:space="0"/>
          <w:shd w:val="clear" w:fill="FFFFFF"/>
          <w:vertAlign w:val="baseline"/>
          <w:lang w:val="en-US" w:eastAsia="zh-CN" w:bidi="ar"/>
        </w:rPr>
        <w:t>宁波市海曙区市场监督管理局食品安全监督抽检信息通告（2024年第</w:t>
      </w:r>
      <w:r>
        <w:rPr>
          <w:rFonts w:hint="eastAsia" w:ascii="initial" w:hAnsi="initial" w:eastAsia="initial" w:cs="initial"/>
          <w:b/>
          <w:i w:val="0"/>
          <w:caps w:val="0"/>
          <w:color w:val="0374AE"/>
          <w:spacing w:val="0"/>
          <w:kern w:val="0"/>
          <w:sz w:val="16"/>
          <w:szCs w:val="16"/>
          <w:bdr w:val="none" w:color="auto" w:sz="0" w:space="0"/>
          <w:shd w:val="clear" w:fill="FFFFFF"/>
          <w:vertAlign w:val="baseline"/>
          <w:lang w:val="en-US" w:eastAsia="zh-CN" w:bidi="ar"/>
        </w:rPr>
        <w:t>5</w:t>
      </w:r>
      <w:r>
        <w:rPr>
          <w:rFonts w:hint="default" w:ascii="initial" w:hAnsi="initial" w:eastAsia="initial" w:cs="initial"/>
          <w:b/>
          <w:i w:val="0"/>
          <w:caps w:val="0"/>
          <w:color w:val="0374AE"/>
          <w:spacing w:val="0"/>
          <w:kern w:val="0"/>
          <w:sz w:val="16"/>
          <w:szCs w:val="16"/>
          <w:bdr w:val="none" w:color="auto" w:sz="0" w:space="0"/>
          <w:shd w:val="clear" w:fill="FFFFFF"/>
          <w:vertAlign w:val="baseline"/>
          <w:lang w:val="en-US" w:eastAsia="zh-CN" w:bidi="ar"/>
        </w:rPr>
        <w:t>期）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近期，海曙区市场监督管理局组织开展的监督抽检涉及食用农产品、糕点、粮食加工品、酒类等共计318批次，其中6批次不合格。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具体情况通告如下：宁波市海曙粤兴餐饮店购进的桑葚，脱氢乙酸及其钠盐(以脱氢乙酸计)不符合食品安全国家标准规定。宁波市海曙宏园餐馆购进的鸡蛋，恩诺沙星不符合食品安全国家标准规定。宁波市柏璟餐饮有限责任公司购进的鸡肉，尼卡巴嗪不符合食品安全国家标准规定。宁波市海曙山上棋餐饮店购进的鸡蛋，多西环素不符合食品安全国家标准规定。宁波市海曙横街吉麦盛食品超市销售的小台芒，吡唑醚菌酯不符合食品安全国家标准规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食来运转(杭州)电子商务有限责任公司宁波海曙区分公司销售的桑葚，多菌灵不符合食品安全国家标准规定。检验机构为宁波市产品食品质量检验研究院（宁波市纤维检验所）。食来运转(杭州)电子商务有限责任公司宁波海曙区分公司对检验结果提出异议，并申请复检，经宁波海关技术中心复检后，维持初检结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对上述抽检中发现的不合格食品，我局已要求属地市场监管分局（所）及时对不合格食品及其生产经营者依法查处。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特此通告。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left"/>
        <w:textAlignment w:val="baseline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righ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宁波市海曙区市场监督管理局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84" w:lineRule="atLeast"/>
        <w:ind w:left="0" w:right="0" w:firstLine="420"/>
        <w:jc w:val="right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2024年6月4日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initi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05F27"/>
    <w:rsid w:val="66A0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2024-06-13T10:00:00Z</dcterms:created>
  <dc:creator>admin</dc:creator>
  <cp:lastModifiedBy>admin</cp:lastModifiedBy>
  <dcterms:modified xsi:type="dcterms:W3CDTF">2024-06-13T10:09:52Z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