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黑体" w:hAnsi="黑体" w:eastAsia="黑体"/>
          <w:color w:val="auto"/>
          <w:sz w:val="32"/>
          <w:szCs w:val="32"/>
        </w:rPr>
      </w:pPr>
      <w:r>
        <w:rPr>
          <w:rFonts w:hint="eastAsia" w:ascii="黑体" w:hAnsi="黑体" w:eastAsia="黑体"/>
          <w:color w:val="auto"/>
          <w:sz w:val="32"/>
          <w:szCs w:val="32"/>
        </w:rPr>
        <w:t>附件1</w:t>
      </w:r>
    </w:p>
    <w:p>
      <w:pPr>
        <w:spacing w:line="600" w:lineRule="exact"/>
        <w:rPr>
          <w:rFonts w:ascii="黑体" w:hAnsi="黑体" w:eastAsia="黑体"/>
          <w:color w:val="auto"/>
          <w:sz w:val="32"/>
          <w:szCs w:val="32"/>
        </w:rPr>
      </w:pPr>
    </w:p>
    <w:p>
      <w:pPr>
        <w:spacing w:line="600" w:lineRule="exact"/>
        <w:jc w:val="center"/>
        <w:rPr>
          <w:rFonts w:hint="eastAsia" w:ascii="方正小标宋简体" w:eastAsia="方正小标宋简体"/>
          <w:color w:val="auto"/>
          <w:spacing w:val="-12"/>
          <w:sz w:val="44"/>
          <w:szCs w:val="44"/>
        </w:rPr>
      </w:pPr>
      <w:r>
        <w:rPr>
          <w:rFonts w:hint="eastAsia" w:ascii="方正小标宋简体" w:eastAsia="方正小标宋简体"/>
          <w:color w:val="auto"/>
          <w:spacing w:val="-12"/>
          <w:sz w:val="44"/>
          <w:szCs w:val="44"/>
        </w:rPr>
        <w:t>部分不合格项目的小知识</w:t>
      </w:r>
    </w:p>
    <w:p>
      <w:pPr>
        <w:keepNext w:val="0"/>
        <w:keepLines w:val="0"/>
        <w:widowControl/>
        <w:suppressLineNumbers w:val="0"/>
        <w:ind w:firstLine="642" w:firstLineChars="200"/>
        <w:jc w:val="both"/>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b/>
          <w:bCs/>
          <w:kern w:val="0"/>
          <w:sz w:val="32"/>
          <w:szCs w:val="32"/>
          <w:lang w:val="en-US" w:eastAsia="zh-CN" w:bidi="ar"/>
        </w:rPr>
        <w:t>1、菌落总数</w:t>
      </w:r>
    </w:p>
    <w:p>
      <w:pPr>
        <w:keepNext w:val="0"/>
        <w:keepLines w:val="0"/>
        <w:widowControl/>
        <w:suppressLineNumbers w:val="0"/>
        <w:ind w:firstLine="640" w:firstLineChars="200"/>
        <w:jc w:val="left"/>
        <w:rPr>
          <w:rFonts w:hint="eastAsia" w:ascii="Times New Roman" w:hAnsi="Times New Roman" w:eastAsia="仿宋_GB2312" w:cs="Times New Roman"/>
          <w:b w:val="0"/>
          <w:kern w:val="2"/>
          <w:sz w:val="32"/>
          <w:szCs w:val="32"/>
          <w:lang w:val="en-US" w:eastAsia="zh-CN" w:bidi="ar-SA"/>
        </w:rPr>
      </w:pPr>
      <w:r>
        <w:rPr>
          <w:rFonts w:hint="eastAsia" w:ascii="Times New Roman" w:hAnsi="Times New Roman" w:eastAsia="仿宋_GB2312" w:cs="Times New Roman"/>
          <w:b w:val="0"/>
          <w:kern w:val="2"/>
          <w:sz w:val="32"/>
          <w:szCs w:val="32"/>
          <w:lang w:val="en-US" w:eastAsia="zh-CN" w:bidi="ar-SA"/>
        </w:rPr>
        <w:t>菌落总数是指在被检样品的单位质量（g）、容积（mL）或表面积（cm2）内，所含能在严格规定的条件下（需氧情况培养基及其 pH、培养温度与时间、计数方法等）培养所生成的微生物菌落的数量，以菌落形成单位（CFU）表示。菌落总数是指示性微生物指标，并非致病菌指标。其卫生学意义主要是：一是作为食品被微生物污染程度，即清洁状态的标志，反映食品在生产过程中的卫生状况；二是预测食品耐保藏性。一般来讲，食品中菌落总数数量越多，食品腐败变质的速度就越快。如果食品的菌落总数严重超标，将会破坏食品的营养成分，使食品失去食用价值；还会加速食品的</w:t>
      </w:r>
      <w:bookmarkStart w:id="0" w:name="_GoBack"/>
      <w:r>
        <w:rPr>
          <w:rFonts w:hint="eastAsia" w:ascii="Times New Roman" w:hAnsi="Times New Roman" w:eastAsia="仿宋_GB2312" w:cs="Times New Roman"/>
          <w:b w:val="0"/>
          <w:kern w:val="2"/>
          <w:sz w:val="32"/>
          <w:szCs w:val="32"/>
          <w:lang w:val="en-US" w:eastAsia="zh-CN" w:bidi="ar-SA"/>
        </w:rPr>
        <w:t>腐败变质，可能危害人体健康。</w:t>
      </w:r>
    </w:p>
    <w:bookmarkEnd w:id="0"/>
    <w:p>
      <w:pPr>
        <w:keepNext w:val="0"/>
        <w:keepLines w:val="0"/>
        <w:widowControl/>
        <w:suppressLineNumbers w:val="0"/>
        <w:ind w:firstLine="640" w:firstLineChars="200"/>
        <w:jc w:val="both"/>
        <w:rPr>
          <w:rFonts w:hint="eastAsia" w:ascii="仿宋_GB2312" w:hAnsi="仿宋_GB2312" w:eastAsia="仿宋_GB2312" w:cs="仿宋_GB2312"/>
          <w:kern w:val="0"/>
          <w:sz w:val="32"/>
          <w:szCs w:val="32"/>
          <w:lang w:val="en-US" w:eastAsia="zh-CN" w:bidi="ar"/>
        </w:rPr>
      </w:pPr>
      <w:r>
        <w:rPr>
          <w:rFonts w:hint="eastAsia" w:ascii="Times New Roman" w:hAnsi="Times New Roman" w:eastAsia="仿宋_GB2312" w:cs="Times New Roman"/>
          <w:b w:val="0"/>
          <w:kern w:val="2"/>
          <w:sz w:val="32"/>
          <w:szCs w:val="32"/>
          <w:lang w:val="en-US" w:eastAsia="zh-CN" w:bidi="ar-SA"/>
        </w:rPr>
        <w:t>根据我国《食品安全国家标准 动物性水产制品》（GB 10136-2015）中菌落总数的限量规定为</w:t>
      </w:r>
      <w:r>
        <w:rPr>
          <w:rFonts w:hint="eastAsia" w:ascii="Times New Roman" w:hAnsi="Times New Roman" w:eastAsia="仿宋_GB2312" w:cs="Times New Roman"/>
          <w:b w:val="0"/>
          <w:kern w:val="2"/>
          <w:sz w:val="32"/>
          <w:szCs w:val="32"/>
          <w:lang w:val="en" w:eastAsia="zh-CN" w:bidi="ar-SA"/>
        </w:rPr>
        <w:t>n=5,c=2,m=5×104CFU/g,M=105CFU/g。</w:t>
      </w:r>
      <w:r>
        <w:rPr>
          <w:rFonts w:hint="eastAsia" w:ascii="Times New Roman" w:hAnsi="Times New Roman" w:eastAsia="仿宋_GB2312" w:cs="Times New Roman"/>
          <w:b w:val="0"/>
          <w:kern w:val="2"/>
          <w:sz w:val="32"/>
          <w:szCs w:val="32"/>
          <w:lang w:val="en-US" w:eastAsia="zh-CN" w:bidi="ar-SA"/>
        </w:rPr>
        <w:t>菌落总数超标说明生产经营企业可能未按要求严格控制生产加工过程的卫生条件，或者包装容器清洗消毒不到位；还有可能与产品包装密封不严，储运条件控制不当等有关。</w:t>
      </w:r>
    </w:p>
    <w:p>
      <w:pPr>
        <w:pStyle w:val="3"/>
        <w:keepNext w:val="0"/>
        <w:keepLines w:val="0"/>
        <w:pageBreakBefore w:val="0"/>
        <w:widowControl w:val="0"/>
        <w:kinsoku/>
        <w:wordWrap/>
        <w:overflowPunct/>
        <w:topLinePunct w:val="0"/>
        <w:bidi w:val="0"/>
        <w:snapToGrid/>
        <w:spacing w:beforeLines="0" w:afterLines="0" w:line="560" w:lineRule="exact"/>
        <w:ind w:left="0" w:leftChars="0" w:firstLine="321" w:firstLineChars="100"/>
        <w:jc w:val="both"/>
        <w:textAlignment w:val="auto"/>
        <w:rPr>
          <w:rFonts w:hint="eastAsia" w:cs="Times New Roman"/>
          <w:highlight w:val="none"/>
          <w:lang w:val="en-US" w:eastAsia="zh-CN"/>
        </w:rPr>
      </w:pPr>
    </w:p>
    <w:p>
      <w:pPr>
        <w:pStyle w:val="3"/>
        <w:keepNext w:val="0"/>
        <w:keepLines w:val="0"/>
        <w:pageBreakBefore w:val="0"/>
        <w:widowControl w:val="0"/>
        <w:kinsoku/>
        <w:wordWrap/>
        <w:overflowPunct/>
        <w:topLinePunct w:val="0"/>
        <w:bidi w:val="0"/>
        <w:snapToGrid/>
        <w:spacing w:beforeLines="0" w:afterLines="0" w:line="560" w:lineRule="exact"/>
        <w:ind w:left="0" w:leftChars="0" w:firstLine="321" w:firstLineChars="100"/>
        <w:jc w:val="both"/>
        <w:textAlignment w:val="auto"/>
        <w:rPr>
          <w:rFonts w:hint="eastAsia" w:ascii="Times New Roman" w:hAnsi="Times New Roman" w:eastAsia="楷体_GB2312" w:cs="Times New Roman"/>
          <w:highlight w:val="none"/>
          <w:lang w:eastAsia="zh-CN"/>
        </w:rPr>
      </w:pPr>
      <w:r>
        <w:rPr>
          <w:rFonts w:hint="eastAsia" w:cs="Times New Roman"/>
          <w:highlight w:val="none"/>
          <w:lang w:val="en-US" w:eastAsia="zh-CN"/>
        </w:rPr>
        <w:t>2、噻虫胺</w:t>
      </w:r>
    </w:p>
    <w:p>
      <w:pPr>
        <w:keepNext w:val="0"/>
        <w:keepLines w:val="0"/>
        <w:widowControl/>
        <w:suppressLineNumbers w:val="0"/>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噻虫胺，烟碱类杀虫剂，具有触杀、胃毒作用，具有根内吸活性和层间传导性。土壤处理、叶面喷施和种子处理，防治水稻、玉米、油菜、果树和蔬菜、柑橘 的刺吸式和咀嚼式害虫，如飞虱、椿象、蚜虫和烟粉虱。急性毒性分级为微毒。急性中毒可出现恶心、呕吐、头痛、乏力、躁动、抽搐等。食用食品一般不会导致噻虫胺的急性中毒，但长期食用噻虫胺超标的食品，对人体健康也有一定影响。 </w:t>
      </w:r>
    </w:p>
    <w:p>
      <w:pPr>
        <w:keepNext w:val="0"/>
        <w:keepLines w:val="0"/>
        <w:pageBreakBefore w:val="0"/>
        <w:widowControl w:val="0"/>
        <w:kinsoku/>
        <w:wordWrap/>
        <w:overflowPunct/>
        <w:topLinePunct w:val="0"/>
        <w:autoSpaceDE/>
        <w:autoSpaceDN/>
        <w:bidi w:val="0"/>
        <w:adjustRightInd/>
        <w:snapToGrid/>
        <w:spacing w:line="360" w:lineRule="auto"/>
        <w:ind w:left="0" w:firstLine="640" w:firstLineChars="200"/>
        <w:jc w:val="both"/>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生姜中噻虫胺残留量超标的原因，可能是为快速控制虫害，加大用药量或未遵守采摘间隔期规定，致使上市销售的产品中残留量超标。</w:t>
      </w:r>
    </w:p>
    <w:p>
      <w:pPr>
        <w:pStyle w:val="3"/>
        <w:keepNext w:val="0"/>
        <w:keepLines w:val="0"/>
        <w:pageBreakBefore w:val="0"/>
        <w:widowControl w:val="0"/>
        <w:kinsoku/>
        <w:wordWrap/>
        <w:overflowPunct/>
        <w:topLinePunct w:val="0"/>
        <w:bidi w:val="0"/>
        <w:snapToGrid/>
        <w:spacing w:beforeLines="0" w:afterLines="0" w:line="560" w:lineRule="exact"/>
        <w:jc w:val="both"/>
        <w:textAlignment w:val="auto"/>
        <w:rPr>
          <w:rFonts w:hint="eastAsia" w:cs="Times New Roman"/>
          <w:highlight w:val="none"/>
          <w:lang w:val="en-US" w:eastAsia="zh-CN"/>
        </w:rPr>
      </w:pPr>
    </w:p>
    <w:p>
      <w:pPr>
        <w:pStyle w:val="3"/>
        <w:keepNext w:val="0"/>
        <w:keepLines w:val="0"/>
        <w:pageBreakBefore w:val="0"/>
        <w:widowControl w:val="0"/>
        <w:kinsoku/>
        <w:wordWrap/>
        <w:overflowPunct/>
        <w:topLinePunct w:val="0"/>
        <w:bidi w:val="0"/>
        <w:snapToGrid/>
        <w:spacing w:beforeLines="0" w:afterLines="0" w:line="560" w:lineRule="exact"/>
        <w:jc w:val="both"/>
        <w:textAlignment w:val="auto"/>
        <w:rPr>
          <w:rFonts w:hint="eastAsia" w:ascii="Times New Roman" w:hAnsi="Times New Roman" w:eastAsia="楷体_GB2312" w:cs="Times New Roman"/>
          <w:highlight w:val="none"/>
          <w:lang w:eastAsia="zh-CN"/>
        </w:rPr>
      </w:pPr>
      <w:r>
        <w:rPr>
          <w:rFonts w:hint="eastAsia" w:cs="Times New Roman"/>
          <w:highlight w:val="none"/>
          <w:lang w:val="en-US" w:eastAsia="zh-CN"/>
        </w:rPr>
        <w:t>3、</w:t>
      </w:r>
      <w:r>
        <w:rPr>
          <w:rFonts w:hint="eastAsia" w:eastAsia="仿宋_GB2312" w:cs="Times New Roman"/>
          <w:sz w:val="32"/>
          <w:szCs w:val="32"/>
          <w:lang w:val="en-US" w:eastAsia="zh-CN"/>
        </w:rPr>
        <w:t>毒死蜱</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毒死蜱又名氯吡硫磷，是一种硫代磷酸酯类有机磷杀虫、杀螨剂，具有良好的触杀、胃毒和熏蒸作用。毒死蜱对蜜蜂、鱼类等水生生物、家蚕有毒。急性毒性分级标准为中等毒，中毒机制为抑制乙酰胆碱酯酶活性，症状包括头痛、头昏、恶心、呕吐、出汗、流涎、肌肉震颤，甚至抽搐、痉挛，昏迷。相关研究未见遗传毒性和致癌性。少量的农药残留不会引起人体急性中毒，但长期食用毒死蜱超标的食品，对人体健康可能有一定影响。 </w:t>
      </w:r>
    </w:p>
    <w:p>
      <w:pPr>
        <w:keepNext w:val="0"/>
        <w:keepLines w:val="0"/>
        <w:pageBreakBefore w:val="0"/>
        <w:widowControl w:val="0"/>
        <w:kinsoku/>
        <w:wordWrap/>
        <w:overflowPunct/>
        <w:topLinePunct w:val="0"/>
        <w:autoSpaceDE/>
        <w:autoSpaceDN/>
        <w:bidi w:val="0"/>
        <w:adjustRightInd/>
        <w:snapToGrid/>
        <w:spacing w:line="360" w:lineRule="auto"/>
        <w:ind w:left="0" w:firstLine="640" w:firstLineChars="200"/>
        <w:jc w:val="both"/>
        <w:textAlignment w:val="auto"/>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根据《食品安全国家标准 食品中农药最大残留限量》（GB 2763-2021）中的规定， 我国</w:t>
      </w:r>
      <w:r>
        <w:rPr>
          <w:rFonts w:hint="eastAsia" w:ascii="Times New Roman" w:hAnsi="Times New Roman" w:eastAsia="仿宋_GB2312" w:cs="Times New Roman"/>
          <w:sz w:val="32"/>
          <w:szCs w:val="32"/>
          <w:lang w:val="en-US" w:eastAsia="zh-CN"/>
        </w:rPr>
        <w:t>辣椒种</w:t>
      </w:r>
      <w:r>
        <w:rPr>
          <w:rFonts w:hint="default" w:ascii="Times New Roman" w:hAnsi="Times New Roman" w:eastAsia="仿宋_GB2312" w:cs="Times New Roman"/>
          <w:sz w:val="32"/>
          <w:szCs w:val="32"/>
          <w:lang w:val="en-US" w:eastAsia="zh-CN"/>
        </w:rPr>
        <w:t>中毒死蜱的限量</w:t>
      </w:r>
      <w:r>
        <w:rPr>
          <w:rFonts w:hint="eastAsia" w:ascii="Times New Roman" w:hAnsi="Times New Roman" w:eastAsia="仿宋_GB2312" w:cs="Times New Roman"/>
          <w:sz w:val="32"/>
          <w:szCs w:val="32"/>
          <w:lang w:val="en-US" w:eastAsia="zh-CN"/>
        </w:rPr>
        <w:t>为0.02mg/kg，生姜中毒死蜱超标的原因，可能是菜农对使用农药的安全间隔期不了解，从而违规使用或滥用农药。</w:t>
      </w:r>
    </w:p>
    <w:p>
      <w:pPr>
        <w:pStyle w:val="3"/>
        <w:keepNext w:val="0"/>
        <w:keepLines w:val="0"/>
        <w:pageBreakBefore w:val="0"/>
        <w:widowControl w:val="0"/>
        <w:kinsoku/>
        <w:wordWrap/>
        <w:overflowPunct/>
        <w:topLinePunct w:val="0"/>
        <w:bidi w:val="0"/>
        <w:snapToGrid/>
        <w:spacing w:beforeLines="0" w:afterLines="0" w:line="560" w:lineRule="exact"/>
        <w:jc w:val="both"/>
        <w:textAlignment w:val="auto"/>
        <w:rPr>
          <w:rFonts w:hint="eastAsia" w:cs="Times New Roman"/>
          <w:highlight w:val="none"/>
          <w:lang w:val="en-US" w:eastAsia="zh-CN"/>
        </w:rPr>
      </w:pPr>
    </w:p>
    <w:p>
      <w:pPr>
        <w:pStyle w:val="3"/>
        <w:keepNext w:val="0"/>
        <w:keepLines w:val="0"/>
        <w:pageBreakBefore w:val="0"/>
        <w:widowControl w:val="0"/>
        <w:kinsoku/>
        <w:wordWrap/>
        <w:overflowPunct/>
        <w:topLinePunct w:val="0"/>
        <w:bidi w:val="0"/>
        <w:snapToGrid/>
        <w:spacing w:beforeLines="0" w:afterLines="0" w:line="560" w:lineRule="exact"/>
        <w:jc w:val="both"/>
        <w:textAlignment w:val="auto"/>
        <w:rPr>
          <w:rFonts w:hint="eastAsia" w:ascii="Times New Roman" w:hAnsi="Times New Roman" w:eastAsia="楷体_GB2312" w:cs="Times New Roman"/>
          <w:highlight w:val="none"/>
          <w:lang w:eastAsia="zh-CN"/>
        </w:rPr>
      </w:pPr>
      <w:r>
        <w:rPr>
          <w:rFonts w:hint="eastAsia" w:cs="Times New Roman"/>
          <w:highlight w:val="none"/>
          <w:lang w:val="en-US" w:eastAsia="zh-CN"/>
        </w:rPr>
        <w:t>4、</w:t>
      </w:r>
      <w:r>
        <w:rPr>
          <w:rFonts w:hint="eastAsia" w:eastAsia="仿宋_GB2312" w:cs="Times New Roman"/>
          <w:sz w:val="32"/>
          <w:szCs w:val="32"/>
          <w:lang w:val="en-US" w:eastAsia="zh-CN"/>
        </w:rPr>
        <w:t>丙溴磷</w:t>
      </w:r>
    </w:p>
    <w:p>
      <w:pPr>
        <w:pStyle w:val="3"/>
        <w:keepNext w:val="0"/>
        <w:keepLines w:val="0"/>
        <w:pageBreakBefore w:val="0"/>
        <w:widowControl w:val="0"/>
        <w:kinsoku/>
        <w:wordWrap/>
        <w:overflowPunct/>
        <w:topLinePunct w:val="0"/>
        <w:bidi w:val="0"/>
        <w:snapToGrid/>
        <w:spacing w:beforeLines="0" w:afterLines="0" w:line="560" w:lineRule="exact"/>
        <w:jc w:val="both"/>
        <w:textAlignment w:val="auto"/>
        <w:rPr>
          <w:rFonts w:hint="eastAsia" w:ascii="Times New Roman" w:hAnsi="Times New Roman" w:eastAsia="仿宋_GB2312" w:cs="Times New Roman"/>
          <w:b w:val="0"/>
          <w:kern w:val="2"/>
          <w:sz w:val="32"/>
          <w:szCs w:val="32"/>
          <w:lang w:val="en-US" w:eastAsia="zh-CN" w:bidi="ar-SA"/>
        </w:rPr>
      </w:pPr>
      <w:r>
        <w:rPr>
          <w:rFonts w:hint="eastAsia" w:ascii="Times New Roman" w:hAnsi="Times New Roman" w:eastAsia="仿宋_GB2312" w:cs="Times New Roman"/>
          <w:b w:val="0"/>
          <w:kern w:val="2"/>
          <w:sz w:val="32"/>
          <w:szCs w:val="32"/>
          <w:lang w:val="en-US" w:eastAsia="zh-CN" w:bidi="ar-SA"/>
        </w:rPr>
        <w:t xml:space="preserve">丙溴磷具有触杀和胃毒作用的非内吸性有机磷类杀虫、杀螨剂，有传导作用，具有杀卵活性。用于棉花、玉米、甜菜、大豆、马铃薯、蔬菜、烟草等作物，防治害虫（特别是鳞翅目害虫）和螨。急性毒性分级为中等毒，中毒机制是抑制体内胆碱酯酶活性，从而失去分解乙酰胆碱的功能，致使乙酰胆碱在生理部位积聚，发生胆碱能神经功能紊乱的一系列症状，包括恶心、呕吐、腹痛、视物模糊、瞳孔缩小、震颤、肌肉痉挛等。食用食品一般不会导致丙溴磷的急性中毒，但长期食用丙溴磷超标的食品，对人体健康也有一定影响。 </w:t>
      </w:r>
    </w:p>
    <w:p>
      <w:pPr>
        <w:pStyle w:val="3"/>
        <w:keepNext w:val="0"/>
        <w:keepLines w:val="0"/>
        <w:pageBreakBefore w:val="0"/>
        <w:widowControl w:val="0"/>
        <w:kinsoku/>
        <w:wordWrap/>
        <w:overflowPunct/>
        <w:topLinePunct w:val="0"/>
        <w:bidi w:val="0"/>
        <w:snapToGrid/>
        <w:spacing w:beforeLines="0" w:afterLines="0" w:line="560" w:lineRule="exact"/>
        <w:jc w:val="both"/>
        <w:textAlignment w:val="auto"/>
        <w:rPr>
          <w:rFonts w:hint="default" w:ascii="Times New Roman" w:hAnsi="Times New Roman" w:eastAsia="楷体_GB2312" w:cs="Times New Roman"/>
          <w:highlight w:val="none"/>
          <w:lang w:val="en-US" w:eastAsia="zh-CN"/>
        </w:rPr>
      </w:pPr>
      <w:r>
        <w:rPr>
          <w:rFonts w:hint="eastAsia" w:ascii="Times New Roman" w:hAnsi="Times New Roman" w:eastAsia="仿宋_GB2312" w:cs="Times New Roman"/>
          <w:b w:val="0"/>
          <w:kern w:val="2"/>
          <w:sz w:val="32"/>
          <w:szCs w:val="32"/>
          <w:lang w:val="en-US" w:eastAsia="zh-CN" w:bidi="ar-SA"/>
        </w:rPr>
        <w:t>根据《食品安全国家标准 食品中农药最大残留限量》（GB 2763-2021）中的规定，柑橘中丙溴磷残留最大限量值为0.2mg/kg</w:t>
      </w:r>
      <w:r>
        <w:rPr>
          <w:rFonts w:hint="eastAsia" w:eastAsia="仿宋_GB2312" w:cs="Times New Roman"/>
          <w:b w:val="0"/>
          <w:kern w:val="2"/>
          <w:sz w:val="32"/>
          <w:szCs w:val="32"/>
          <w:lang w:val="en-US" w:eastAsia="zh-CN" w:bidi="ar-SA"/>
        </w:rPr>
        <w:t>。丙溴磷不合格可能是没有严格遵循农药使用的安全间隔期，或者农药存在隐性添加禁限用农药及其它未标明有效成分。</w:t>
      </w:r>
    </w:p>
    <w:p>
      <w:pPr>
        <w:pStyle w:val="3"/>
        <w:keepNext w:val="0"/>
        <w:keepLines w:val="0"/>
        <w:pageBreakBefore w:val="0"/>
        <w:widowControl w:val="0"/>
        <w:kinsoku/>
        <w:wordWrap/>
        <w:overflowPunct/>
        <w:topLinePunct w:val="0"/>
        <w:bidi w:val="0"/>
        <w:snapToGrid/>
        <w:spacing w:beforeLines="0" w:afterLines="0" w:line="560" w:lineRule="exact"/>
        <w:jc w:val="both"/>
        <w:textAlignment w:val="auto"/>
        <w:rPr>
          <w:rFonts w:hint="eastAsia" w:cs="Times New Roman"/>
          <w:highlight w:val="none"/>
          <w:lang w:val="en-US" w:eastAsia="zh-CN"/>
        </w:rPr>
      </w:pPr>
    </w:p>
    <w:p>
      <w:pPr>
        <w:pStyle w:val="3"/>
        <w:keepNext w:val="0"/>
        <w:keepLines w:val="0"/>
        <w:pageBreakBefore w:val="0"/>
        <w:widowControl w:val="0"/>
        <w:kinsoku/>
        <w:wordWrap/>
        <w:overflowPunct/>
        <w:topLinePunct w:val="0"/>
        <w:bidi w:val="0"/>
        <w:snapToGrid/>
        <w:spacing w:beforeLines="0" w:afterLines="0" w:line="560" w:lineRule="exact"/>
        <w:jc w:val="both"/>
        <w:textAlignment w:val="auto"/>
        <w:rPr>
          <w:rFonts w:hint="eastAsia" w:ascii="Times New Roman" w:hAnsi="Times New Roman" w:eastAsia="楷体_GB2312" w:cs="Times New Roman"/>
          <w:highlight w:val="none"/>
          <w:lang w:eastAsia="zh-CN"/>
        </w:rPr>
      </w:pPr>
      <w:r>
        <w:rPr>
          <w:rFonts w:hint="eastAsia" w:cs="Times New Roman"/>
          <w:highlight w:val="none"/>
          <w:lang w:val="en-US" w:eastAsia="zh-CN"/>
        </w:rPr>
        <w:t>5、镉(以Cd计)</w:t>
      </w:r>
    </w:p>
    <w:p>
      <w:pPr>
        <w:pStyle w:val="3"/>
        <w:keepNext w:val="0"/>
        <w:keepLines w:val="0"/>
        <w:pageBreakBefore w:val="0"/>
        <w:widowControl w:val="0"/>
        <w:kinsoku/>
        <w:wordWrap/>
        <w:overflowPunct/>
        <w:topLinePunct w:val="0"/>
        <w:bidi w:val="0"/>
        <w:snapToGrid/>
        <w:spacing w:beforeLines="0" w:afterLines="0" w:line="560" w:lineRule="exact"/>
        <w:jc w:val="both"/>
        <w:textAlignment w:val="auto"/>
        <w:rPr>
          <w:rFonts w:hint="eastAsia" w:ascii="Times New Roman" w:hAnsi="Times New Roman" w:eastAsia="仿宋_GB2312" w:cs="Times New Roman"/>
          <w:b w:val="0"/>
          <w:kern w:val="2"/>
          <w:sz w:val="32"/>
          <w:szCs w:val="32"/>
          <w:lang w:val="en-US" w:eastAsia="zh-CN" w:bidi="ar-SA"/>
        </w:rPr>
      </w:pPr>
      <w:r>
        <w:rPr>
          <w:rFonts w:hint="eastAsia" w:ascii="Times New Roman" w:hAnsi="Times New Roman" w:eastAsia="仿宋_GB2312" w:cs="Times New Roman"/>
          <w:b w:val="0"/>
          <w:kern w:val="2"/>
          <w:sz w:val="32"/>
          <w:szCs w:val="32"/>
          <w:lang w:val="en-US" w:eastAsia="zh-CN" w:bidi="ar-SA"/>
        </w:rPr>
        <w:t xml:space="preserve">镉是一种蓄积性的重金属元素，主要损害肾脏、骨骼和消化系统。人体通过食物摄人镉之后，大约 50%的镉都分布在肾脏中，15%分布在肝脏中，20%分布在肌肉中，而骨骼中镉的分布是极少量的。由于镉排泄缓慢，可对肾脏和肝脏造成巨大伤害，还可以造成骨质疏松和软化，日本因镉中毒出现过―痛痛病‖。此外，镉干扰膳食中铁的吸 收和加速红细胞破坏，可引起贫血；甚至会侵害到免疫系统，继而引发肿瘤。儿童对镉暴露更敏感，长期低剂量镉暴露，不仅影响肾脏和骨骼的正常发育，还会影响免疫系统的正 常功能与发育，并对高级神经活动如学习、记忆有损害作用。 </w:t>
      </w:r>
    </w:p>
    <w:p>
      <w:pPr>
        <w:pStyle w:val="3"/>
        <w:keepNext w:val="0"/>
        <w:keepLines w:val="0"/>
        <w:pageBreakBefore w:val="0"/>
        <w:widowControl w:val="0"/>
        <w:kinsoku/>
        <w:wordWrap/>
        <w:overflowPunct/>
        <w:topLinePunct w:val="0"/>
        <w:bidi w:val="0"/>
        <w:snapToGrid/>
        <w:spacing w:beforeLines="0" w:afterLines="0" w:line="560" w:lineRule="exact"/>
        <w:jc w:val="both"/>
        <w:textAlignment w:val="auto"/>
        <w:rPr>
          <w:rFonts w:hint="eastAsia" w:ascii="Times New Roman" w:hAnsi="Times New Roman" w:eastAsia="仿宋_GB2312" w:cs="Times New Roman"/>
          <w:b w:val="0"/>
          <w:kern w:val="2"/>
          <w:sz w:val="32"/>
          <w:szCs w:val="32"/>
          <w:lang w:val="en-US" w:eastAsia="zh-CN" w:bidi="ar-SA"/>
        </w:rPr>
      </w:pPr>
      <w:r>
        <w:rPr>
          <w:rFonts w:hint="eastAsia" w:ascii="Times New Roman" w:hAnsi="Times New Roman" w:eastAsia="仿宋_GB2312" w:cs="Times New Roman"/>
          <w:b w:val="0"/>
          <w:kern w:val="2"/>
          <w:sz w:val="32"/>
          <w:szCs w:val="32"/>
          <w:lang w:val="en-US" w:eastAsia="zh-CN" w:bidi="ar-SA"/>
        </w:rPr>
        <w:t>《食品安全国家标准食品中污染物限量》（GB 2762—20</w:t>
      </w:r>
      <w:r>
        <w:rPr>
          <w:rFonts w:hint="eastAsia" w:eastAsia="仿宋_GB2312" w:cs="Times New Roman"/>
          <w:b w:val="0"/>
          <w:kern w:val="2"/>
          <w:sz w:val="32"/>
          <w:szCs w:val="32"/>
          <w:lang w:val="en-US" w:eastAsia="zh-CN" w:bidi="ar-SA"/>
        </w:rPr>
        <w:t>22</w:t>
      </w:r>
      <w:r>
        <w:rPr>
          <w:rFonts w:hint="eastAsia" w:ascii="Times New Roman" w:hAnsi="Times New Roman" w:eastAsia="仿宋_GB2312" w:cs="Times New Roman"/>
          <w:b w:val="0"/>
          <w:kern w:val="2"/>
          <w:sz w:val="32"/>
          <w:szCs w:val="32"/>
          <w:lang w:val="en-US" w:eastAsia="zh-CN" w:bidi="ar-SA"/>
        </w:rPr>
        <w:t>）中规定，镉在新鲜蔬菜(叶菜蔬菜、豆类蔬菜、块根和块茎蔬菜、茎类蔬菜、黄花菜除外)的限量值为0.05mg/kg。</w:t>
      </w:r>
      <w:r>
        <w:rPr>
          <w:rFonts w:hint="eastAsia" w:eastAsia="仿宋_GB2312" w:cs="Times New Roman"/>
          <w:b w:val="0"/>
          <w:kern w:val="2"/>
          <w:sz w:val="32"/>
          <w:szCs w:val="32"/>
          <w:lang w:val="en-US" w:eastAsia="zh-CN" w:bidi="ar-SA"/>
        </w:rPr>
        <w:t>韭菜</w:t>
      </w:r>
      <w:r>
        <w:rPr>
          <w:rFonts w:hint="eastAsia" w:ascii="Times New Roman" w:hAnsi="Times New Roman" w:eastAsia="仿宋_GB2312" w:cs="Times New Roman"/>
          <w:b w:val="0"/>
          <w:kern w:val="2"/>
          <w:sz w:val="32"/>
          <w:szCs w:val="32"/>
          <w:lang w:val="en-US" w:eastAsia="zh-CN" w:bidi="ar-SA"/>
        </w:rPr>
        <w:t>中镉超标的原因，可能是农业投入品滥用造成土壤污染可能性更大。</w:t>
      </w:r>
    </w:p>
    <w:p>
      <w:pPr>
        <w:pStyle w:val="2"/>
        <w:rPr>
          <w:rFonts w:hint="eastAsia"/>
          <w:lang w:val="en"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细黑"/>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书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DejaVu Sans">
    <w:panose1 w:val="020B0603030804020204"/>
    <w:charset w:val="00"/>
    <w:family w:val="auto"/>
    <w:pitch w:val="default"/>
    <w:sig w:usb0="E7006EFF" w:usb1="D200FDFF" w:usb2="0A246029" w:usb3="0400200C" w:csb0="600001FF" w:csb1="DFFF0000"/>
  </w:font>
  <w:font w:name="楷体_GB2312">
    <w:panose1 w:val="02010609030101010101"/>
    <w:charset w:val="86"/>
    <w:family w:val="auto"/>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BkZmE5Y2JmYWIzNDJjZTQ2M2YwNjYzZjJmMzIyNWYifQ=="/>
  </w:docVars>
  <w:rsids>
    <w:rsidRoot w:val="00172A27"/>
    <w:rsid w:val="00071DD5"/>
    <w:rsid w:val="001E2D68"/>
    <w:rsid w:val="00257D08"/>
    <w:rsid w:val="002D5EDB"/>
    <w:rsid w:val="00312DFB"/>
    <w:rsid w:val="0042799F"/>
    <w:rsid w:val="004A3E1B"/>
    <w:rsid w:val="004D26CE"/>
    <w:rsid w:val="00512DF8"/>
    <w:rsid w:val="005964F6"/>
    <w:rsid w:val="006766D8"/>
    <w:rsid w:val="006E7239"/>
    <w:rsid w:val="00701C17"/>
    <w:rsid w:val="007407EB"/>
    <w:rsid w:val="00780B1B"/>
    <w:rsid w:val="007A11E3"/>
    <w:rsid w:val="007C240C"/>
    <w:rsid w:val="00891190"/>
    <w:rsid w:val="0093432E"/>
    <w:rsid w:val="009973C0"/>
    <w:rsid w:val="00AD41F3"/>
    <w:rsid w:val="00BF7D93"/>
    <w:rsid w:val="00CF157E"/>
    <w:rsid w:val="00D2580A"/>
    <w:rsid w:val="00DA10DE"/>
    <w:rsid w:val="00E0149A"/>
    <w:rsid w:val="00E46515"/>
    <w:rsid w:val="00EB4BB4"/>
    <w:rsid w:val="00F40965"/>
    <w:rsid w:val="00F643EC"/>
    <w:rsid w:val="00F64972"/>
    <w:rsid w:val="00F651DB"/>
    <w:rsid w:val="00F81C62"/>
    <w:rsid w:val="00FA1106"/>
    <w:rsid w:val="0448295A"/>
    <w:rsid w:val="04A24281"/>
    <w:rsid w:val="076D246B"/>
    <w:rsid w:val="0CD74F93"/>
    <w:rsid w:val="0E482185"/>
    <w:rsid w:val="0ED773D0"/>
    <w:rsid w:val="0FE578C3"/>
    <w:rsid w:val="1048381B"/>
    <w:rsid w:val="1C9058DA"/>
    <w:rsid w:val="1DDF3A2E"/>
    <w:rsid w:val="1FBBF276"/>
    <w:rsid w:val="1FECA907"/>
    <w:rsid w:val="21D80923"/>
    <w:rsid w:val="228F1D93"/>
    <w:rsid w:val="282F31A9"/>
    <w:rsid w:val="29F75D69"/>
    <w:rsid w:val="2BFBE5B4"/>
    <w:rsid w:val="2D171A03"/>
    <w:rsid w:val="2D480A48"/>
    <w:rsid w:val="2F832FF6"/>
    <w:rsid w:val="33C75457"/>
    <w:rsid w:val="380C697C"/>
    <w:rsid w:val="398FD431"/>
    <w:rsid w:val="3B631688"/>
    <w:rsid w:val="3B7F0A8A"/>
    <w:rsid w:val="3DDAEE9F"/>
    <w:rsid w:val="3DF3CB08"/>
    <w:rsid w:val="3DF7562F"/>
    <w:rsid w:val="3E7F953F"/>
    <w:rsid w:val="40B35447"/>
    <w:rsid w:val="430F667B"/>
    <w:rsid w:val="45AA61A7"/>
    <w:rsid w:val="474E6E34"/>
    <w:rsid w:val="493E605A"/>
    <w:rsid w:val="4D7F48FD"/>
    <w:rsid w:val="4DD24205"/>
    <w:rsid w:val="4E705C06"/>
    <w:rsid w:val="51B8651B"/>
    <w:rsid w:val="55125282"/>
    <w:rsid w:val="576F1BD4"/>
    <w:rsid w:val="57F7C0EB"/>
    <w:rsid w:val="5965130E"/>
    <w:rsid w:val="5BBA3E5E"/>
    <w:rsid w:val="5D843AF5"/>
    <w:rsid w:val="5DEA4F17"/>
    <w:rsid w:val="5DFC666A"/>
    <w:rsid w:val="5EEE38D2"/>
    <w:rsid w:val="5EFF7B8E"/>
    <w:rsid w:val="630848A9"/>
    <w:rsid w:val="66CE15DD"/>
    <w:rsid w:val="679C1AE6"/>
    <w:rsid w:val="6B6A6B78"/>
    <w:rsid w:val="6B6AF009"/>
    <w:rsid w:val="6CE6468C"/>
    <w:rsid w:val="6D535020"/>
    <w:rsid w:val="6E7FA66F"/>
    <w:rsid w:val="6EDD996F"/>
    <w:rsid w:val="6EF5AE60"/>
    <w:rsid w:val="6FEF87A5"/>
    <w:rsid w:val="73BEA6E9"/>
    <w:rsid w:val="73FE4D22"/>
    <w:rsid w:val="744F7E73"/>
    <w:rsid w:val="756C5981"/>
    <w:rsid w:val="757FDD76"/>
    <w:rsid w:val="77279025"/>
    <w:rsid w:val="77EFB7D4"/>
    <w:rsid w:val="77F394F2"/>
    <w:rsid w:val="78F16CBC"/>
    <w:rsid w:val="7B8A2341"/>
    <w:rsid w:val="7BAE0AFE"/>
    <w:rsid w:val="7BFB0EB0"/>
    <w:rsid w:val="7C961BB6"/>
    <w:rsid w:val="7CED0B0F"/>
    <w:rsid w:val="7DF7F7F6"/>
    <w:rsid w:val="7EDB9649"/>
    <w:rsid w:val="7EDF111D"/>
    <w:rsid w:val="7EEA4B4B"/>
    <w:rsid w:val="7EFF3452"/>
    <w:rsid w:val="7F765B73"/>
    <w:rsid w:val="7FF5BA73"/>
    <w:rsid w:val="7FFF3D91"/>
    <w:rsid w:val="8FDD3E20"/>
    <w:rsid w:val="9BEEA82A"/>
    <w:rsid w:val="9FD42F77"/>
    <w:rsid w:val="ACFB20F1"/>
    <w:rsid w:val="B53F1FAF"/>
    <w:rsid w:val="BD7FDC8F"/>
    <w:rsid w:val="BDFFB3C0"/>
    <w:rsid w:val="BEEF583D"/>
    <w:rsid w:val="BEFFBC97"/>
    <w:rsid w:val="BFD63B9E"/>
    <w:rsid w:val="C5E59246"/>
    <w:rsid w:val="CBBFA5D6"/>
    <w:rsid w:val="D72FA7DD"/>
    <w:rsid w:val="DBFE42CF"/>
    <w:rsid w:val="DDBDC002"/>
    <w:rsid w:val="DF7BF7CA"/>
    <w:rsid w:val="DF902EB0"/>
    <w:rsid w:val="E59D8839"/>
    <w:rsid w:val="E8BF111D"/>
    <w:rsid w:val="EAB7B90C"/>
    <w:rsid w:val="EEEC40A1"/>
    <w:rsid w:val="EFD98911"/>
    <w:rsid w:val="EFDBB67F"/>
    <w:rsid w:val="F2FFD4B4"/>
    <w:rsid w:val="F57B9945"/>
    <w:rsid w:val="F6F67DF8"/>
    <w:rsid w:val="F7351B94"/>
    <w:rsid w:val="F77FA1BF"/>
    <w:rsid w:val="F7E760BD"/>
    <w:rsid w:val="F7F0D5F8"/>
    <w:rsid w:val="F7FD2C72"/>
    <w:rsid w:val="F7FDA93D"/>
    <w:rsid w:val="F9DF2B4F"/>
    <w:rsid w:val="F9FF47AC"/>
    <w:rsid w:val="FB37AE32"/>
    <w:rsid w:val="FBB90085"/>
    <w:rsid w:val="FCBF3CF4"/>
    <w:rsid w:val="FDFC535D"/>
    <w:rsid w:val="FE7B3CE3"/>
    <w:rsid w:val="FED49A4D"/>
    <w:rsid w:val="FF3F5FD0"/>
    <w:rsid w:val="FF7D3511"/>
    <w:rsid w:val="FFD6F0F4"/>
    <w:rsid w:val="FFE2BA4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3">
    <w:name w:val="heading 2"/>
    <w:basedOn w:val="1"/>
    <w:next w:val="1"/>
    <w:unhideWhenUsed/>
    <w:qFormat/>
    <w:uiPriority w:val="0"/>
    <w:pPr>
      <w:keepNext/>
      <w:keepLines/>
      <w:spacing w:beforeLines="0" w:beforeAutospacing="0" w:afterLines="0" w:afterAutospacing="0" w:line="560" w:lineRule="exact"/>
      <w:ind w:firstLine="832" w:firstLineChars="200"/>
      <w:outlineLvl w:val="1"/>
    </w:pPr>
    <w:rPr>
      <w:rFonts w:ascii="Times New Roman" w:hAnsi="Times New Roman" w:eastAsia="楷体_GB2312"/>
      <w:b/>
      <w:sz w:val="32"/>
    </w:rPr>
  </w:style>
  <w:style w:type="paragraph" w:styleId="2">
    <w:name w:val="heading 4"/>
    <w:basedOn w:val="1"/>
    <w:next w:val="1"/>
    <w:semiHidden/>
    <w:unhideWhenUsed/>
    <w:qFormat/>
    <w:uiPriority w:val="9"/>
    <w:pPr>
      <w:keepNext/>
      <w:keepLines/>
      <w:spacing w:line="360" w:lineRule="auto"/>
      <w:outlineLvl w:val="3"/>
    </w:pPr>
    <w:rPr>
      <w:rFonts w:ascii="Times New Roman" w:hAnsi="Times New Roman" w:eastAsia="宋体"/>
      <w:b/>
    </w:rPr>
  </w:style>
  <w:style w:type="character" w:default="1" w:styleId="10">
    <w:name w:val="Default Paragraph Font"/>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qFormat/>
    <w:uiPriority w:val="0"/>
    <w:pPr>
      <w:ind w:firstLine="420" w:firstLineChars="200"/>
    </w:pPr>
  </w:style>
  <w:style w:type="paragraph" w:styleId="5">
    <w:name w:val="toc 4"/>
    <w:basedOn w:val="1"/>
    <w:next w:val="1"/>
    <w:qFormat/>
    <w:uiPriority w:val="0"/>
    <w:pPr>
      <w:ind w:left="1260" w:leftChars="600"/>
    </w:p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0"/>
    <w:pPr>
      <w:spacing w:before="100" w:beforeAutospacing="1" w:after="100" w:afterAutospacing="1"/>
      <w:jc w:val="left"/>
    </w:pPr>
    <w:rPr>
      <w:rFonts w:ascii="Calibri" w:hAnsi="Calibri" w:eastAsia="宋体" w:cs="黑体"/>
      <w:color w:val="CC0000"/>
      <w:kern w:val="0"/>
      <w:sz w:val="24"/>
      <w:u w:val="single"/>
    </w:rPr>
  </w:style>
  <w:style w:type="character" w:styleId="11">
    <w:name w:val="Strong"/>
    <w:basedOn w:val="10"/>
    <w:qFormat/>
    <w:uiPriority w:val="0"/>
    <w:rPr>
      <w:b/>
    </w:rPr>
  </w:style>
  <w:style w:type="character" w:styleId="12">
    <w:name w:val="Hyperlink"/>
    <w:basedOn w:val="10"/>
    <w:qFormat/>
    <w:uiPriority w:val="0"/>
    <w:rPr>
      <w:color w:val="0000FF"/>
      <w:u w:val="single"/>
    </w:rPr>
  </w:style>
  <w:style w:type="character" w:customStyle="1" w:styleId="13">
    <w:name w:val="页眉 字符"/>
    <w:basedOn w:val="10"/>
    <w:link w:val="7"/>
    <w:qFormat/>
    <w:uiPriority w:val="0"/>
    <w:rPr>
      <w:rFonts w:ascii="等线" w:hAnsi="等线" w:eastAsia="等线"/>
      <w:kern w:val="2"/>
      <w:sz w:val="18"/>
      <w:szCs w:val="18"/>
    </w:rPr>
  </w:style>
  <w:style w:type="character" w:customStyle="1" w:styleId="14">
    <w:name w:val="页脚 字符"/>
    <w:basedOn w:val="10"/>
    <w:link w:val="6"/>
    <w:qFormat/>
    <w:uiPriority w:val="0"/>
    <w:rPr>
      <w:rFonts w:ascii="等线" w:hAnsi="等线" w:eastAsia="等线"/>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7</Pages>
  <Words>2917</Words>
  <Characters>3325</Characters>
  <Lines>9</Lines>
  <Paragraphs>2</Paragraphs>
  <TotalTime>2</TotalTime>
  <ScaleCrop>false</ScaleCrop>
  <LinksUpToDate>false</LinksUpToDate>
  <CharactersWithSpaces>3417</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2021-06-28T22:35:00Z</dcterms:created>
  <dc:creator>Administrator</dc:creator>
  <cp:lastModifiedBy>ls603</cp:lastModifiedBy>
  <dcterms:modified xsi:type="dcterms:W3CDTF">2024-04-19T08:47:46Z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97F9DAF7D56E40D9A9597F0FC7621844</vt:lpwstr>
  </property>
  <property fmtid="{D5CDD505-2E9C-101B-9397-08002B2CF9AE}" pid="4" name="woTemplateTypoMode" linkTarget="0">
    <vt:lpwstr>web</vt:lpwstr>
  </property>
  <property fmtid="{D5CDD505-2E9C-101B-9397-08002B2CF9AE}" pid="5" name="woTemplate" linkTarget="0">
    <vt:i4>1</vt:i4>
  </property>
</Properties>
</file>