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3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36"/>
          <w:sz w:val="44"/>
          <w:szCs w:val="44"/>
        </w:rPr>
        <w:t>珠海市市场监督管理局关于2023年珠海市电动汽车充电桩产品质量监督抽查结果的通告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根据《中华人民共和国产品质量法》《产品质量监督抽查管理暂行办法》等相关规定，2023年，珠海市场监督管理局开展了电动汽车充电桩产品质量监督抽查，现将有关情况通告如下：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424242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424242"/>
          <w:kern w:val="0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本次抽查仅涉及我市生产企业，抽查了1家企业生产的2批次电动汽车充电桩产品，经检验，未发现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质量</w:t>
      </w:r>
      <w:r>
        <w:rPr>
          <w:rFonts w:hint="eastAsia" w:ascii="仿宋" w:hAnsi="仿宋" w:eastAsia="仿宋" w:cs="仿宋"/>
          <w:sz w:val="32"/>
          <w:szCs w:val="32"/>
        </w:rPr>
        <w:t>不合格产品。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424242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424242"/>
          <w:kern w:val="0"/>
          <w:sz w:val="32"/>
          <w:szCs w:val="32"/>
        </w:rPr>
        <w:t>二、抽查结果分析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424242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监督抽查依据《珠海市电动汽车充电桩产品质量监督抽查实施细则》对电动汽车充电桩产品的标志检查、基本构成检查、机械开关设备检查、防盗措施检查、防盗措施检查、输出短路保护试验、过温保护试验、急停保护试验、接触器粘连监测试验、接触电流试验、漏电保护试验、直接接触防护试验、开门保护试验、动力电源输入失电试验、电气间隙与爬电距离试验、绝缘电阻试验、介电强度试验、冲击耐压试验、接地试验、充电控制状态试验、充电连接控制时序试验、控制导引电压限值试验、保护接地连续性试验、控制导引信号异常试验、断开开关S2再闭合试验、过流试验等26个项目进行了检测， 2批次电动汽车充电桩产品均未发现不合格项目。</w:t>
      </w:r>
    </w:p>
    <w:p>
      <w:pPr>
        <w:widowControl/>
        <w:numPr>
          <w:ilvl w:val="0"/>
          <w:numId w:val="1"/>
        </w:numPr>
        <w:shd w:val="clear" w:color="auto" w:fill="FFFFFF"/>
        <w:wordWrap w:val="0"/>
        <w:spacing w:line="540" w:lineRule="atLeast"/>
        <w:ind w:firstLine="640" w:firstLineChars="200"/>
        <w:jc w:val="left"/>
        <w:rPr>
          <w:rFonts w:hint="eastAsia" w:ascii="黑体" w:hAnsi="黑体" w:eastAsia="黑体" w:cs="黑体"/>
          <w:b w:val="0"/>
          <w:bCs/>
          <w:color w:val="424242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424242"/>
          <w:kern w:val="0"/>
          <w:sz w:val="32"/>
          <w:szCs w:val="32"/>
        </w:rPr>
        <w:t>抽检企业及产品清单</w:t>
      </w:r>
    </w:p>
    <w:p>
      <w:pPr>
        <w:widowControl/>
        <w:numPr>
          <w:numId w:val="0"/>
        </w:numPr>
        <w:shd w:val="clear" w:color="auto" w:fill="FFFFFF"/>
        <w:wordWrap w:val="0"/>
        <w:spacing w:line="540" w:lineRule="atLeast"/>
        <w:jc w:val="left"/>
        <w:rPr>
          <w:rFonts w:hint="eastAsia" w:ascii="黑体" w:hAnsi="黑体" w:eastAsia="黑体" w:cs="黑体"/>
          <w:b w:val="0"/>
          <w:bCs/>
          <w:color w:val="424242"/>
          <w:kern w:val="0"/>
          <w:sz w:val="32"/>
          <w:szCs w:val="32"/>
        </w:rPr>
      </w:pPr>
      <w:bookmarkStart w:id="0" w:name="_GoBack"/>
      <w:bookmarkEnd w:id="0"/>
    </w:p>
    <w:tbl>
      <w:tblPr>
        <w:tblStyle w:val="6"/>
        <w:tblW w:w="5027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3"/>
        <w:gridCol w:w="1772"/>
        <w:gridCol w:w="1386"/>
        <w:gridCol w:w="1029"/>
        <w:gridCol w:w="1913"/>
        <w:gridCol w:w="1193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7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受检单位名称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商标</w:t>
            </w:r>
          </w:p>
        </w:tc>
        <w:tc>
          <w:tcPr>
            <w:tcW w:w="1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型号规格</w:t>
            </w:r>
          </w:p>
        </w:tc>
        <w:tc>
          <w:tcPr>
            <w:tcW w:w="11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生产日期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检验结论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珠海派诺科技股份有限公司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交流充电桩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型号：PEVC2108-23A220CW1/4G</w:t>
            </w:r>
          </w:p>
        </w:tc>
        <w:tc>
          <w:tcPr>
            <w:tcW w:w="11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2023年08月17日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未发现不合格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珠海派诺科技股份有限公司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交流充电桩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型号：PEVC2107-32A220CW1/4G</w:t>
            </w:r>
          </w:p>
        </w:tc>
        <w:tc>
          <w:tcPr>
            <w:tcW w:w="11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2023年08月17日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未发现不合格</w:t>
            </w:r>
          </w:p>
        </w:tc>
      </w:tr>
    </w:tbl>
    <w:p>
      <w:pPr>
        <w:wordWrap w:val="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wordWrap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wordWrap/>
        <w:ind w:leftChars="1600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wordWrap/>
        <w:ind w:leftChars="16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珠海市市场监督管理局</w:t>
      </w:r>
    </w:p>
    <w:p>
      <w:pPr>
        <w:wordWrap/>
        <w:ind w:leftChars="1600"/>
        <w:jc w:val="center"/>
        <w:rPr>
          <w:rFonts w:ascii="仿宋" w:hAnsi="仿宋" w:eastAsia="仿宋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宋体"/>
          <w:kern w:val="0"/>
          <w:sz w:val="32"/>
          <w:szCs w:val="32"/>
        </w:rPr>
        <w:t>日</w:t>
      </w:r>
    </w:p>
    <w:p>
      <w:pPr>
        <w:widowControl/>
        <w:shd w:val="clear" w:color="auto" w:fill="FFFFFF"/>
        <w:wordWrap w:val="0"/>
        <w:spacing w:after="150" w:line="540" w:lineRule="atLeast"/>
        <w:jc w:val="right"/>
      </w:pPr>
    </w:p>
    <w:sectPr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A72A25"/>
    <w:multiLevelType w:val="singleLevel"/>
    <w:tmpl w:val="9EA72A2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A84"/>
    <w:rsid w:val="00102A84"/>
    <w:rsid w:val="00147A88"/>
    <w:rsid w:val="001C4120"/>
    <w:rsid w:val="001E629C"/>
    <w:rsid w:val="002A560F"/>
    <w:rsid w:val="00347B76"/>
    <w:rsid w:val="003A4F50"/>
    <w:rsid w:val="003B6238"/>
    <w:rsid w:val="003B7BB4"/>
    <w:rsid w:val="003D7524"/>
    <w:rsid w:val="003D7A13"/>
    <w:rsid w:val="004420E8"/>
    <w:rsid w:val="00483DF8"/>
    <w:rsid w:val="00507DBE"/>
    <w:rsid w:val="00596787"/>
    <w:rsid w:val="0061533E"/>
    <w:rsid w:val="00632B17"/>
    <w:rsid w:val="00664514"/>
    <w:rsid w:val="007608B4"/>
    <w:rsid w:val="008454F3"/>
    <w:rsid w:val="0097440B"/>
    <w:rsid w:val="009B53F1"/>
    <w:rsid w:val="00A24412"/>
    <w:rsid w:val="00AA4351"/>
    <w:rsid w:val="00AC3D48"/>
    <w:rsid w:val="00C13664"/>
    <w:rsid w:val="00C25D07"/>
    <w:rsid w:val="00D4637D"/>
    <w:rsid w:val="00EB55C2"/>
    <w:rsid w:val="00ED299D"/>
    <w:rsid w:val="00EE6731"/>
    <w:rsid w:val="00FB17E1"/>
    <w:rsid w:val="00FB7259"/>
    <w:rsid w:val="266E531B"/>
    <w:rsid w:val="39FD2F5D"/>
    <w:rsid w:val="73B56A07"/>
    <w:rsid w:val="78E04F60"/>
    <w:rsid w:val="79FF1C96"/>
    <w:rsid w:val="7EFF5CB8"/>
    <w:rsid w:val="F77F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101</Words>
  <Characters>582</Characters>
  <Lines>4</Lines>
  <Paragraphs>1</Paragraphs>
  <TotalTime>2</TotalTime>
  <ScaleCrop>false</ScaleCrop>
  <LinksUpToDate>false</LinksUpToDate>
  <CharactersWithSpaces>682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2023-11-23T02:57:00Z</dcterms:created>
  <dc:creator>Administrator</dc:creator>
  <cp:lastModifiedBy>admin1</cp:lastModifiedBy>
  <dcterms:modified xsi:type="dcterms:W3CDTF">2024-03-25T10:21:08Z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CE1AD7B22026D9A874BBD565421AF540</vt:lpwstr>
  </property>
</Properties>
</file>