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ascii="方正小标宋简体" w:eastAsia="方正小标宋简体"/>
          <w:color w:val="auto"/>
          <w:spacing w:val="-12"/>
          <w:sz w:val="44"/>
          <w:szCs w:val="44"/>
        </w:rPr>
      </w:pPr>
    </w:p>
    <w:p>
      <w:pPr>
        <w:spacing w:line="594" w:lineRule="exact"/>
        <w:ind w:firstLine="640" w:firstLineChars="200"/>
        <w:rPr>
          <w:rFonts w:hint="eastAsia" w:ascii="Times New Roman" w:hAnsi="Times New Roman" w:eastAsia="黑体"/>
          <w:color w:val="auto"/>
          <w:kern w:val="32"/>
          <w:sz w:val="32"/>
          <w:szCs w:val="32"/>
          <w:lang w:val="en-US" w:eastAsia="zh-CN"/>
        </w:rPr>
      </w:pPr>
      <w:bookmarkStart w:id="0" w:name="_Hlk71192992"/>
      <w:r>
        <w:rPr>
          <w:rFonts w:hint="eastAsia" w:ascii="Times New Roman" w:hAnsi="Times New Roman" w:eastAsia="黑体"/>
          <w:color w:val="auto"/>
          <w:kern w:val="32"/>
          <w:sz w:val="32"/>
          <w:szCs w:val="32"/>
        </w:rPr>
        <w:t>一、</w:t>
      </w:r>
      <w:r>
        <w:rPr>
          <w:rFonts w:hint="eastAsia" w:ascii="Times New Roman" w:hAnsi="Times New Roman" w:eastAsia="黑体"/>
          <w:color w:val="auto"/>
          <w:kern w:val="32"/>
          <w:sz w:val="32"/>
          <w:szCs w:val="32"/>
          <w:lang w:val="en-US" w:eastAsia="zh-CN"/>
        </w:rPr>
        <w:t>防腐剂混合使用时各自用量占其最大使用量的比例之和</w:t>
      </w:r>
    </w:p>
    <w:p>
      <w:pPr>
        <w:widowControl w:val="0"/>
        <w:numPr>
          <w:ilvl w:val="0"/>
          <w:numId w:val="0"/>
        </w:numPr>
        <w:spacing w:line="594"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防腐剂是常见的食品添加剂，指天然或合成的化学成分，用于延缓或抑制由微生物引起的食品腐败变质。《食品安全国家标准 食品添加剂使用标准》（GB 2760—2014）中规定了食品添加剂的允许使用品种、适用范围以及最大使用量或残留量，并规定同一功能的食品添加剂（防腐剂等）在混合使用时，各自用量占其最大使用量的比例之和不应超过1。酱腌菜中防腐剂混合使用时各自用量占其最大使用量的比例之和不合格的原因，可能是生产企业在生产加工过程中未严格控制各防腐剂的用量造成的。长期食用防腐剂超标的食品会对人体健康造成一定损害。</w:t>
      </w:r>
    </w:p>
    <w:p>
      <w:pPr>
        <w:widowControl w:val="0"/>
        <w:numPr>
          <w:ilvl w:val="0"/>
          <w:numId w:val="0"/>
        </w:numPr>
        <w:spacing w:line="594" w:lineRule="exact"/>
        <w:ind w:firstLine="640" w:firstLineChars="200"/>
        <w:jc w:val="both"/>
        <w:rPr>
          <w:rFonts w:hint="eastAsia" w:ascii="仿宋_GB2312" w:hAnsi="仿宋_GB2312" w:eastAsia="仿宋_GB2312" w:cs="仿宋_GB2312"/>
          <w:color w:val="auto"/>
          <w:kern w:val="2"/>
          <w:sz w:val="32"/>
          <w:szCs w:val="32"/>
          <w:lang w:val="en-US" w:eastAsia="zh-CN" w:bidi="ar-SA"/>
        </w:rPr>
      </w:pPr>
    </w:p>
    <w:p>
      <w:pPr>
        <w:numPr>
          <w:ilvl w:val="0"/>
          <w:numId w:val="1"/>
        </w:numPr>
        <w:spacing w:line="594" w:lineRule="exact"/>
        <w:ind w:firstLine="640" w:firstLineChars="200"/>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山梨酸及其钾盐</w:t>
      </w:r>
    </w:p>
    <w:p>
      <w:pPr>
        <w:widowControl w:val="0"/>
        <w:numPr>
          <w:ilvl w:val="0"/>
          <w:numId w:val="0"/>
        </w:numPr>
        <w:spacing w:line="594"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多用其钾盐。其抗菌性强，能抑制细菌、真菌和酵母的生长，防腐效果好，是目前应用非常广泛的食品防腐剂。个别食物中可能含有少量本底。山梨酸可参与体内正常代谢，几乎对人体无害。只要摄入量在食品安全限量范围内并不影响人体健康，如果长期大量服用，会对肝脏、肾脏、骨骼造成危害。联合国粮农组织</w:t>
      </w: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(FAO)和世界卫生组织食品添加剂联合专家委员会(JECFA)建议其日容许摄入量(ADI)为0~25mg/kgbw(以山梨酸计)。</w:t>
      </w:r>
    </w:p>
    <w:p>
      <w:pPr>
        <w:widowControl w:val="0"/>
        <w:numPr>
          <w:ilvl w:val="0"/>
          <w:numId w:val="0"/>
        </w:numPr>
        <w:spacing w:line="594" w:lineRule="exact"/>
        <w:ind w:firstLine="640" w:firstLineChars="200"/>
        <w:jc w:val="both"/>
        <w:rPr>
          <w:rFonts w:hint="eastAsia" w:ascii="仿宋_GB2312" w:hAnsi="仿宋_GB2312" w:eastAsia="仿宋_GB2312" w:cs="仿宋_GB2312"/>
          <w:color w:val="auto"/>
          <w:kern w:val="2"/>
          <w:sz w:val="32"/>
          <w:szCs w:val="32"/>
          <w:lang w:val="en-US" w:eastAsia="zh-CN" w:bidi="ar-SA"/>
        </w:rPr>
      </w:pPr>
    </w:p>
    <w:p>
      <w:pPr>
        <w:widowControl w:val="0"/>
        <w:numPr>
          <w:ilvl w:val="0"/>
          <w:numId w:val="0"/>
        </w:numPr>
        <w:spacing w:line="594" w:lineRule="exact"/>
        <w:jc w:val="both"/>
        <w:rPr>
          <w:rFonts w:hint="eastAsia" w:ascii="Times New Roman" w:hAnsi="Times New Roman" w:eastAsia="黑体"/>
          <w:color w:val="auto"/>
          <w:kern w:val="32"/>
          <w:sz w:val="32"/>
          <w:szCs w:val="32"/>
          <w:lang w:val="en-US" w:eastAsia="zh-CN"/>
        </w:rPr>
      </w:pPr>
    </w:p>
    <w:p>
      <w:pPr>
        <w:numPr>
          <w:ilvl w:val="0"/>
          <w:numId w:val="0"/>
        </w:numPr>
        <w:spacing w:line="594" w:lineRule="exact"/>
        <w:ind w:leftChars="200" w:firstLine="320" w:firstLineChars="100"/>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三、铝的残留量</w:t>
      </w:r>
    </w:p>
    <w:p>
      <w:pPr>
        <w:spacing w:before="68" w:line="338"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标准使用含铝食品添加剂不会对健康造成危害，但长期过量摄入铝可能与儿童智力发育障碍、软骨病、骨质疏松等疾病有关。目前联合国粮农组织(FAO)和世界卫生组织食品添加剂联合专家委员会(JECFA)尚未给出其日容许摄入量(ADI)的建议值，但是给出了暂定每周耐受摄入量(PTWI)为2mg/kgbw。</w:t>
      </w:r>
    </w:p>
    <w:p>
      <w:pPr>
        <w:numPr>
          <w:ilvl w:val="0"/>
          <w:numId w:val="0"/>
        </w:numPr>
        <w:spacing w:line="594" w:lineRule="exact"/>
        <w:ind w:leftChars="200"/>
        <w:rPr>
          <w:rFonts w:hint="default" w:ascii="Times New Roman" w:hAnsi="Times New Roman" w:eastAsia="黑体"/>
          <w:color w:val="auto"/>
          <w:kern w:val="32"/>
          <w:sz w:val="32"/>
          <w:szCs w:val="32"/>
          <w:lang w:val="en-US" w:eastAsia="zh-CN"/>
        </w:rPr>
      </w:pPr>
    </w:p>
    <w:p>
      <w:pPr>
        <w:pStyle w:val="6"/>
        <w:numPr>
          <w:ilvl w:val="0"/>
          <w:numId w:val="0"/>
        </w:numPr>
        <w:shd w:val="clear" w:color="auto" w:fill="FFFFFF"/>
        <w:wordWrap w:val="0"/>
        <w:spacing w:before="0" w:beforeAutospacing="0" w:after="0" w:afterAutospacing="0" w:line="360" w:lineRule="auto"/>
        <w:ind w:leftChars="200" w:firstLine="320" w:firstLineChars="100"/>
        <w:rPr>
          <w:rFonts w:hint="eastAsia" w:ascii="Times New Roman" w:hAnsi="Times New Roman" w:eastAsia="黑体" w:cs="Times New Roman"/>
          <w:color w:val="auto"/>
          <w:kern w:val="32"/>
          <w:sz w:val="32"/>
          <w:szCs w:val="32"/>
          <w:lang w:val="en-US" w:eastAsia="zh-CN" w:bidi="ar-SA"/>
        </w:rPr>
      </w:pPr>
      <w:r>
        <w:rPr>
          <w:rFonts w:hint="eastAsia" w:ascii="Times New Roman" w:hAnsi="Times New Roman" w:eastAsia="黑体" w:cs="Times New Roman"/>
          <w:color w:val="auto"/>
          <w:kern w:val="32"/>
          <w:sz w:val="32"/>
          <w:szCs w:val="32"/>
          <w:lang w:val="en-US" w:eastAsia="zh-CN" w:bidi="ar-SA"/>
        </w:rPr>
        <w:t>四、苯甲酸及其钠盐</w:t>
      </w:r>
    </w:p>
    <w:p>
      <w:pPr>
        <w:ind w:firstLine="640" w:firstLineChars="200"/>
        <w:rPr>
          <w:rFonts w:hint="eastAsia" w:ascii="宋体" w:hAnsi="宋体" w:cs="宋体"/>
          <w:b/>
          <w:color w:val="auto"/>
          <w:sz w:val="28"/>
          <w:szCs w:val="28"/>
        </w:rPr>
      </w:pPr>
      <w:r>
        <w:rPr>
          <w:rFonts w:ascii="Times New Roman" w:hAnsi="Times New Roman" w:eastAsia="仿宋_GB2312"/>
          <w:color w:val="auto"/>
          <w:sz w:val="32"/>
          <w:szCs w:val="32"/>
        </w:rPr>
        <w:t>苯甲酸及其钠盐是食品工业中一种常见的防腐保鲜剂，对霉菌、酵母和细菌有较好的抑制作用。苯甲酸及其钠盐的安全性较高，少量苯甲酸对人体无毒害，可随尿液排出体外，在人体内不会蓄积。若长期过量食用苯甲酸超标的食品可能会对肝脏功能产</w:t>
      </w:r>
      <w:r>
        <w:rPr>
          <w:rFonts w:ascii="Times New Roman" w:hAnsi="Times New Roman" w:eastAsia="仿宋_GB2312"/>
          <w:color w:val="auto"/>
          <w:spacing w:val="14"/>
          <w:sz w:val="32"/>
          <w:szCs w:val="32"/>
        </w:rPr>
        <w:t>生一定影响。</w:t>
      </w:r>
      <w:r>
        <w:rPr>
          <w:rFonts w:ascii="Times New Roman" w:hAnsi="Times New Roman" w:eastAsia="仿宋_GB2312"/>
          <w:color w:val="auto"/>
          <w:sz w:val="32"/>
          <w:szCs w:val="32"/>
        </w:rPr>
        <w:t>《食品安全国家标准 食品添加剂使用标准》（GB 2760—2014）中规定，</w:t>
      </w:r>
      <w:r>
        <w:rPr>
          <w:rFonts w:hint="eastAsia" w:ascii="Times New Roman" w:hAnsi="Times New Roman" w:eastAsia="仿宋_GB2312"/>
          <w:color w:val="auto"/>
          <w:sz w:val="32"/>
          <w:szCs w:val="32"/>
        </w:rPr>
        <w:t>酱卤肉制品中不得使用苯甲酸</w:t>
      </w:r>
      <w:r>
        <w:rPr>
          <w:rFonts w:ascii="Times New Roman" w:hAnsi="Times New Roman" w:eastAsia="仿宋_GB2312"/>
          <w:color w:val="auto"/>
          <w:sz w:val="32"/>
          <w:szCs w:val="32"/>
        </w:rPr>
        <w:t>。造成苯甲酸不合格的原因，可能是企业为延长产品保质期，或弥补产品生产过程卫生条件不佳而超</w:t>
      </w:r>
      <w:r>
        <w:rPr>
          <w:rFonts w:hint="eastAsia" w:ascii="Times New Roman" w:hAnsi="Times New Roman" w:eastAsia="仿宋_GB2312"/>
          <w:color w:val="auto"/>
          <w:sz w:val="32"/>
          <w:szCs w:val="32"/>
        </w:rPr>
        <w:t>范围</w:t>
      </w:r>
      <w:r>
        <w:rPr>
          <w:rFonts w:ascii="Times New Roman" w:hAnsi="Times New Roman" w:eastAsia="仿宋_GB2312"/>
          <w:color w:val="auto"/>
          <w:sz w:val="32"/>
          <w:szCs w:val="32"/>
        </w:rPr>
        <w:t>使用。</w:t>
      </w:r>
    </w:p>
    <w:p>
      <w:pPr>
        <w:pStyle w:val="6"/>
        <w:widowControl w:val="0"/>
        <w:numPr>
          <w:ilvl w:val="0"/>
          <w:numId w:val="0"/>
        </w:numPr>
        <w:shd w:val="clear" w:color="auto" w:fill="FFFFFF"/>
        <w:wordWrap w:val="0"/>
        <w:spacing w:before="0" w:beforeAutospacing="0" w:after="0" w:afterAutospacing="0" w:line="360" w:lineRule="auto"/>
        <w:jc w:val="both"/>
        <w:rPr>
          <w:rFonts w:hint="eastAsia" w:ascii="宋体" w:hAnsi="宋体" w:cs="宋体"/>
          <w:b/>
          <w:color w:val="auto"/>
          <w:sz w:val="28"/>
          <w:szCs w:val="28"/>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黑体" w:hAnsi="黑体" w:eastAsia="黑体" w:cs="黑体"/>
          <w:color w:val="auto"/>
          <w:kern w:val="32"/>
          <w:sz w:val="32"/>
          <w:szCs w:val="32"/>
          <w:lang w:val="en-US" w:eastAsia="zh-CN" w:bidi="ar-SA"/>
        </w:rPr>
      </w:pPr>
      <w:r>
        <w:rPr>
          <w:rFonts w:hint="eastAsia" w:ascii="黑体" w:hAnsi="黑体" w:eastAsia="黑体" w:cs="黑体"/>
          <w:color w:val="auto"/>
          <w:kern w:val="32"/>
          <w:sz w:val="32"/>
          <w:szCs w:val="32"/>
          <w:lang w:val="en-US" w:eastAsia="zh-CN" w:bidi="ar-SA"/>
        </w:rPr>
        <w:t>五、霉菌</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是真菌的一种，寄生或腐生方式生存。霉菌有的使食品转变为有毒物质，有的可能在食品中产生毒素，即霉菌毒素。食品中的霉菌含量一般以霉菌数表示。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食品中霉菌数(moldcount)是指食品检样经过处理，在一定条件下培养后，计数所得1g或1mL检样中所形成的霉菌菌落数，通常以CFU/g或CFU/mL表示。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霉菌数是评价食品卫生质量的指示性指标，其食品卫生学意义是作为判定食品被霉菌污染程度的标志。霉菌是常见的真菌，在自然界中广泛存在。食品受霉菌污染后，不仅颜色、味道可能发生改变，其中的营养物质也会遭到破坏，降低其食用价值；且很多种霉菌能产生毒素，危害人体健康。</w:t>
      </w:r>
    </w:p>
    <w:p>
      <w:pPr>
        <w:numPr>
          <w:ilvl w:val="0"/>
          <w:numId w:val="0"/>
        </w:numPr>
        <w:spacing w:line="594" w:lineRule="exact"/>
        <w:rPr>
          <w:rFonts w:hint="default" w:ascii="黑体" w:hAnsi="黑体" w:eastAsia="黑体" w:cs="黑体"/>
          <w:color w:val="auto"/>
          <w:kern w:val="32"/>
          <w:sz w:val="32"/>
          <w:szCs w:val="32"/>
          <w:lang w:val="en-US" w:eastAsia="zh-CN"/>
        </w:rPr>
      </w:pPr>
    </w:p>
    <w:p>
      <w:pPr>
        <w:numPr>
          <w:ilvl w:val="0"/>
          <w:numId w:val="0"/>
        </w:numPr>
        <w:spacing w:line="594" w:lineRule="exact"/>
        <w:ind w:firstLine="640" w:firstLineChars="200"/>
        <w:rPr>
          <w:rFonts w:hint="default" w:ascii="黑体" w:hAnsi="黑体" w:eastAsia="黑体" w:cs="黑体"/>
          <w:color w:val="auto"/>
          <w:kern w:val="32"/>
          <w:sz w:val="32"/>
          <w:szCs w:val="32"/>
          <w:lang w:val="en-US" w:eastAsia="zh-CN"/>
        </w:rPr>
      </w:pPr>
      <w:r>
        <w:rPr>
          <w:rFonts w:hint="eastAsia" w:ascii="黑体" w:hAnsi="黑体" w:eastAsia="黑体" w:cs="黑体"/>
          <w:color w:val="auto"/>
          <w:kern w:val="32"/>
          <w:sz w:val="32"/>
          <w:szCs w:val="32"/>
          <w:lang w:val="en-US" w:eastAsia="zh-CN"/>
        </w:rPr>
        <w:t>六、</w:t>
      </w:r>
      <w:r>
        <w:rPr>
          <w:rFonts w:hint="default" w:ascii="黑体" w:hAnsi="黑体" w:eastAsia="黑体" w:cs="黑体"/>
          <w:color w:val="auto"/>
          <w:kern w:val="32"/>
          <w:sz w:val="32"/>
          <w:szCs w:val="32"/>
          <w:lang w:val="en-US" w:eastAsia="zh-CN"/>
        </w:rPr>
        <w:t>酸价</w:t>
      </w:r>
    </w:p>
    <w:p>
      <w:pPr>
        <w:spacing w:before="68" w:line="338" w:lineRule="auto"/>
        <w:ind w:left="36" w:right="24" w:firstLine="42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是</w:t>
      </w:r>
      <w:bookmarkStart w:id="3" w:name="_GoBack"/>
      <w:bookmarkEnd w:id="3"/>
      <w:r>
        <w:rPr>
          <w:rFonts w:hint="eastAsia" w:ascii="仿宋_GB2312" w:hAnsi="仿宋_GB2312" w:eastAsia="仿宋_GB2312" w:cs="仿宋_GB2312"/>
          <w:color w:val="auto"/>
          <w:kern w:val="2"/>
          <w:sz w:val="32"/>
          <w:szCs w:val="32"/>
          <w:lang w:val="en-US" w:eastAsia="zh-CN" w:bidi="ar-SA"/>
        </w:rPr>
        <w:t>指中和1g油脂中游离脂肪酸所需KOH的毫克数。油脂酸败时游离脂肪酸增加，酸价也随之增高，因此该指标可用于评价油脂酸败的程度。</w:t>
      </w:r>
    </w:p>
    <w:p>
      <w:pPr>
        <w:spacing w:before="68" w:line="338" w:lineRule="auto"/>
        <w:ind w:left="36" w:right="24" w:firstLine="42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油脂酸败可产生醛酮类化合物，长期摄入会对健康有一定影响。一般情况下，消费者在使用过程中可以明显辨别出其有哈喇等异味，需避免食用。</w:t>
      </w:r>
    </w:p>
    <w:p>
      <w:pPr>
        <w:numPr>
          <w:ilvl w:val="0"/>
          <w:numId w:val="0"/>
        </w:numPr>
        <w:tabs>
          <w:tab w:val="left" w:pos="1918"/>
        </w:tabs>
        <w:spacing w:line="594" w:lineRule="exact"/>
        <w:rPr>
          <w:rFonts w:hint="default" w:ascii="仿宋_GB2312" w:hAnsi="仿宋_GB2312" w:eastAsia="仿宋_GB2312" w:cs="仿宋_GB2312"/>
          <w:b w:val="0"/>
          <w:bCs w:val="0"/>
          <w:color w:val="auto"/>
          <w:sz w:val="32"/>
          <w:szCs w:val="32"/>
          <w:lang w:val="en-US" w:eastAsia="zh-CN"/>
        </w:rPr>
      </w:pPr>
    </w:p>
    <w:bookmarkEnd w:id="0"/>
    <w:p>
      <w:pPr>
        <w:widowControl w:val="0"/>
        <w:numPr>
          <w:ilvl w:val="0"/>
          <w:numId w:val="0"/>
        </w:numPr>
        <w:spacing w:line="594" w:lineRule="exact"/>
        <w:jc w:val="both"/>
        <w:rPr>
          <w:rFonts w:hint="default" w:ascii="Times New Roman" w:hAnsi="Times New Roman" w:eastAsia="黑体"/>
          <w:color w:val="auto"/>
          <w:kern w:val="32"/>
          <w:sz w:val="32"/>
          <w:szCs w:val="32"/>
          <w:lang w:val="en-US" w:eastAsia="zh-CN"/>
        </w:rPr>
      </w:pPr>
    </w:p>
    <w:p>
      <w:pPr>
        <w:widowControl w:val="0"/>
        <w:numPr>
          <w:ilvl w:val="0"/>
          <w:numId w:val="0"/>
        </w:numPr>
        <w:spacing w:line="594" w:lineRule="exact"/>
        <w:ind w:firstLine="640" w:firstLineChars="200"/>
        <w:jc w:val="both"/>
        <w:rPr>
          <w:rFonts w:hint="eastAsia" w:ascii="微软雅黑" w:eastAsia="微软雅黑" w:cs="微软雅黑"/>
          <w:color w:val="auto"/>
          <w:sz w:val="24"/>
          <w:szCs w:val="24"/>
          <w:lang w:eastAsia="zh-CN"/>
        </w:rPr>
      </w:pPr>
      <w:r>
        <w:rPr>
          <w:rFonts w:hint="eastAsia" w:ascii="Times New Roman" w:hAnsi="Times New Roman" w:eastAsia="黑体"/>
          <w:color w:val="auto"/>
          <w:kern w:val="32"/>
          <w:sz w:val="32"/>
          <w:szCs w:val="32"/>
          <w:lang w:val="en-US" w:eastAsia="zh-CN"/>
        </w:rPr>
        <w:t>七、</w:t>
      </w:r>
      <w:bookmarkStart w:id="1" w:name="OLE_LINK1"/>
      <w:bookmarkStart w:id="2" w:name="OLE_LINK2"/>
      <w:r>
        <w:rPr>
          <w:rFonts w:hint="eastAsia" w:ascii="Times New Roman" w:hAnsi="Times New Roman" w:eastAsia="黑体"/>
          <w:color w:val="auto"/>
          <w:kern w:val="32"/>
          <w:sz w:val="32"/>
          <w:szCs w:val="32"/>
          <w:lang w:val="en-US" w:eastAsia="zh-CN"/>
        </w:rPr>
        <w:t>二氧化硫</w:t>
      </w:r>
      <w:bookmarkEnd w:id="1"/>
      <w:r>
        <w:rPr>
          <w:rFonts w:hint="eastAsia" w:ascii="Times New Roman" w:hAnsi="Times New Roman" w:eastAsia="黑体"/>
          <w:color w:val="auto"/>
          <w:kern w:val="32"/>
          <w:sz w:val="32"/>
          <w:szCs w:val="32"/>
          <w:lang w:val="en-US" w:eastAsia="zh-CN"/>
        </w:rPr>
        <w:t>残留量</w:t>
      </w:r>
      <w:bookmarkEnd w:id="2"/>
    </w:p>
    <w:p>
      <w:pPr>
        <w:widowControl w:val="0"/>
        <w:numPr>
          <w:ilvl w:val="0"/>
          <w:numId w:val="0"/>
        </w:numPr>
        <w:spacing w:line="594" w:lineRule="exact"/>
        <w:ind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联合国粮农组织(FAO)和世界卫生组织食品添加剂联合专家委员会(JECFA)建议其日容许摄入量(ADI)为0~0.7mg/kgbw。</w:t>
      </w: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5A4AEC-322E-46CB-B006-659D1CA0F7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42AD86A-0CE3-4730-AAF3-67E3EF3C0B7E}"/>
  </w:font>
  <w:font w:name="仿宋_GB2312">
    <w:altName w:val="仿宋"/>
    <w:panose1 w:val="02010609030101010101"/>
    <w:charset w:val="86"/>
    <w:family w:val="modern"/>
    <w:pitch w:val="default"/>
    <w:sig w:usb0="00000000" w:usb1="00000000" w:usb2="00000000" w:usb3="00000000" w:csb0="00040000" w:csb1="00000000"/>
    <w:embedRegular r:id="rId3" w:fontKey="{FE56BAE1-48E7-461B-BEC3-D36C7B2E2F03}"/>
  </w:font>
  <w:font w:name="微软雅黑">
    <w:panose1 w:val="020B0503020204020204"/>
    <w:charset w:val="86"/>
    <w:family w:val="auto"/>
    <w:pitch w:val="default"/>
    <w:sig w:usb0="80000287" w:usb1="2ACF3C50" w:usb2="00000016" w:usb3="00000000" w:csb0="0004001F" w:csb1="00000000"/>
    <w:embedRegular r:id="rId4" w:fontKey="{1BDC8128-7B30-4F2D-B2D1-C73EBAF52E3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4</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8E993"/>
    <w:multiLevelType w:val="singleLevel"/>
    <w:tmpl w:val="56D8E9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N2EzMTU1NGVmMjdiYWRkMDk4YzRiOTcxMjNhNjg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844"/>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6591"/>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0D98"/>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234"/>
    <w:rsid w:val="000C49C4"/>
    <w:rsid w:val="000C60AF"/>
    <w:rsid w:val="000C6C74"/>
    <w:rsid w:val="000C6E5B"/>
    <w:rsid w:val="000C7523"/>
    <w:rsid w:val="000C7D7B"/>
    <w:rsid w:val="000C7E69"/>
    <w:rsid w:val="000D0D95"/>
    <w:rsid w:val="000D1B31"/>
    <w:rsid w:val="000D1C16"/>
    <w:rsid w:val="000D1FEA"/>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3B68"/>
    <w:rsid w:val="000F4B86"/>
    <w:rsid w:val="000F5189"/>
    <w:rsid w:val="000F6560"/>
    <w:rsid w:val="000F6A19"/>
    <w:rsid w:val="000F79A8"/>
    <w:rsid w:val="000F7A2A"/>
    <w:rsid w:val="00100529"/>
    <w:rsid w:val="00100694"/>
    <w:rsid w:val="00100BBE"/>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0E3B"/>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47F0E"/>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06B8"/>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128"/>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2D8D"/>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1F7A"/>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2AB"/>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3882"/>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3E1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45"/>
    <w:rsid w:val="005508CC"/>
    <w:rsid w:val="00551032"/>
    <w:rsid w:val="005517A1"/>
    <w:rsid w:val="00552BA5"/>
    <w:rsid w:val="00552E04"/>
    <w:rsid w:val="005548BD"/>
    <w:rsid w:val="0055490D"/>
    <w:rsid w:val="00554D8D"/>
    <w:rsid w:val="0055521B"/>
    <w:rsid w:val="0055567E"/>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1F59"/>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6CFC"/>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273FA"/>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3717"/>
    <w:rsid w:val="006E43E0"/>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87D05"/>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1F17"/>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3D8"/>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33CB"/>
    <w:rsid w:val="008345E2"/>
    <w:rsid w:val="008348A8"/>
    <w:rsid w:val="008355FE"/>
    <w:rsid w:val="0083560B"/>
    <w:rsid w:val="0083573F"/>
    <w:rsid w:val="00835F77"/>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9D4"/>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0E57"/>
    <w:rsid w:val="008C154D"/>
    <w:rsid w:val="008C16C1"/>
    <w:rsid w:val="008C1A63"/>
    <w:rsid w:val="008C1F1A"/>
    <w:rsid w:val="008C27F4"/>
    <w:rsid w:val="008C2B62"/>
    <w:rsid w:val="008C3654"/>
    <w:rsid w:val="008C464D"/>
    <w:rsid w:val="008C4AA2"/>
    <w:rsid w:val="008C5263"/>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269B"/>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6D4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0DFC"/>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606E"/>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59C1"/>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40E"/>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267"/>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6DC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35C5"/>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2FBC"/>
    <w:rsid w:val="00BA3CB8"/>
    <w:rsid w:val="00BA485C"/>
    <w:rsid w:val="00BA54E8"/>
    <w:rsid w:val="00BA5A7D"/>
    <w:rsid w:val="00BA5BB0"/>
    <w:rsid w:val="00BA6668"/>
    <w:rsid w:val="00BA68BA"/>
    <w:rsid w:val="00BA7837"/>
    <w:rsid w:val="00BA7FD0"/>
    <w:rsid w:val="00BB11B8"/>
    <w:rsid w:val="00BB1E4E"/>
    <w:rsid w:val="00BB2718"/>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40A"/>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A51"/>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222A"/>
    <w:rsid w:val="00C33DC4"/>
    <w:rsid w:val="00C33FF4"/>
    <w:rsid w:val="00C340C1"/>
    <w:rsid w:val="00C359E3"/>
    <w:rsid w:val="00C35AC3"/>
    <w:rsid w:val="00C35BC1"/>
    <w:rsid w:val="00C35C68"/>
    <w:rsid w:val="00C36A85"/>
    <w:rsid w:val="00C37ACA"/>
    <w:rsid w:val="00C37FAE"/>
    <w:rsid w:val="00C41533"/>
    <w:rsid w:val="00C41778"/>
    <w:rsid w:val="00C4181C"/>
    <w:rsid w:val="00C4186A"/>
    <w:rsid w:val="00C41F35"/>
    <w:rsid w:val="00C424CF"/>
    <w:rsid w:val="00C42507"/>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6DF7"/>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3E4D"/>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907"/>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193"/>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07BF"/>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5A89"/>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3A5"/>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1E"/>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1E9"/>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1DC0"/>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94B"/>
    <w:rsid w:val="00F02C53"/>
    <w:rsid w:val="00F02DC4"/>
    <w:rsid w:val="00F02DF3"/>
    <w:rsid w:val="00F03CF2"/>
    <w:rsid w:val="00F04DE4"/>
    <w:rsid w:val="00F0782F"/>
    <w:rsid w:val="00F07A34"/>
    <w:rsid w:val="00F07BA9"/>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2AAC"/>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6486"/>
    <w:rsid w:val="00FC715D"/>
    <w:rsid w:val="00FC7B40"/>
    <w:rsid w:val="00FD04C9"/>
    <w:rsid w:val="00FD10B7"/>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677F09"/>
    <w:rsid w:val="027712E9"/>
    <w:rsid w:val="02F722DD"/>
    <w:rsid w:val="030C4B11"/>
    <w:rsid w:val="03535319"/>
    <w:rsid w:val="037430FF"/>
    <w:rsid w:val="0395734C"/>
    <w:rsid w:val="03C90E3E"/>
    <w:rsid w:val="03DE5169"/>
    <w:rsid w:val="03E65501"/>
    <w:rsid w:val="03F309B7"/>
    <w:rsid w:val="042A498C"/>
    <w:rsid w:val="043C75E8"/>
    <w:rsid w:val="043F3938"/>
    <w:rsid w:val="045A3DE0"/>
    <w:rsid w:val="04675E70"/>
    <w:rsid w:val="049709CC"/>
    <w:rsid w:val="04BB027D"/>
    <w:rsid w:val="04DE2E2A"/>
    <w:rsid w:val="04E45800"/>
    <w:rsid w:val="04E6084E"/>
    <w:rsid w:val="05685093"/>
    <w:rsid w:val="057307C7"/>
    <w:rsid w:val="059B5CB3"/>
    <w:rsid w:val="05BA7A63"/>
    <w:rsid w:val="05BF3392"/>
    <w:rsid w:val="05D74DEF"/>
    <w:rsid w:val="06001572"/>
    <w:rsid w:val="06070B3C"/>
    <w:rsid w:val="06123156"/>
    <w:rsid w:val="063C59AC"/>
    <w:rsid w:val="06BC3CF5"/>
    <w:rsid w:val="06F86E12"/>
    <w:rsid w:val="076350D8"/>
    <w:rsid w:val="0853613A"/>
    <w:rsid w:val="085D4307"/>
    <w:rsid w:val="08772BA8"/>
    <w:rsid w:val="088C543E"/>
    <w:rsid w:val="089D06C2"/>
    <w:rsid w:val="08A716A8"/>
    <w:rsid w:val="08BB05AD"/>
    <w:rsid w:val="091C687F"/>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8D1670"/>
    <w:rsid w:val="0E9E0916"/>
    <w:rsid w:val="0EC9488A"/>
    <w:rsid w:val="0F052D31"/>
    <w:rsid w:val="0F2C0C95"/>
    <w:rsid w:val="0F3B213B"/>
    <w:rsid w:val="0F4B19A9"/>
    <w:rsid w:val="0FB44597"/>
    <w:rsid w:val="10393302"/>
    <w:rsid w:val="107401BA"/>
    <w:rsid w:val="10741047"/>
    <w:rsid w:val="10751F34"/>
    <w:rsid w:val="10DA56E3"/>
    <w:rsid w:val="10F21FDD"/>
    <w:rsid w:val="10FB564E"/>
    <w:rsid w:val="11233AE2"/>
    <w:rsid w:val="113337E0"/>
    <w:rsid w:val="11496D18"/>
    <w:rsid w:val="11B22E5A"/>
    <w:rsid w:val="11B45BAD"/>
    <w:rsid w:val="11D4636F"/>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C3A1C"/>
    <w:rsid w:val="13AB21A5"/>
    <w:rsid w:val="13CE5618"/>
    <w:rsid w:val="1442642D"/>
    <w:rsid w:val="145923EB"/>
    <w:rsid w:val="14FF608C"/>
    <w:rsid w:val="150547AD"/>
    <w:rsid w:val="15194DE5"/>
    <w:rsid w:val="1568238F"/>
    <w:rsid w:val="159B1441"/>
    <w:rsid w:val="15B601F1"/>
    <w:rsid w:val="15D0290C"/>
    <w:rsid w:val="15F36D2F"/>
    <w:rsid w:val="166C5204"/>
    <w:rsid w:val="166C525C"/>
    <w:rsid w:val="16AA49A9"/>
    <w:rsid w:val="16B23687"/>
    <w:rsid w:val="16BE70F8"/>
    <w:rsid w:val="17020660"/>
    <w:rsid w:val="17575B7A"/>
    <w:rsid w:val="176D779B"/>
    <w:rsid w:val="17855D1B"/>
    <w:rsid w:val="17A162DA"/>
    <w:rsid w:val="17A65B75"/>
    <w:rsid w:val="17AC7735"/>
    <w:rsid w:val="17C34163"/>
    <w:rsid w:val="17C6169E"/>
    <w:rsid w:val="17D16E4F"/>
    <w:rsid w:val="18017DED"/>
    <w:rsid w:val="18100F21"/>
    <w:rsid w:val="182846E6"/>
    <w:rsid w:val="184A1BED"/>
    <w:rsid w:val="186F6860"/>
    <w:rsid w:val="188E2962"/>
    <w:rsid w:val="18FD4EAE"/>
    <w:rsid w:val="193172FE"/>
    <w:rsid w:val="193B71D8"/>
    <w:rsid w:val="19460A4F"/>
    <w:rsid w:val="198E53C7"/>
    <w:rsid w:val="19C843C5"/>
    <w:rsid w:val="19FC23F9"/>
    <w:rsid w:val="1A3F18F0"/>
    <w:rsid w:val="1A66780B"/>
    <w:rsid w:val="1A8805F1"/>
    <w:rsid w:val="1A9F7D31"/>
    <w:rsid w:val="1AA34F29"/>
    <w:rsid w:val="1AA96C13"/>
    <w:rsid w:val="1ABD70E7"/>
    <w:rsid w:val="1AF7029F"/>
    <w:rsid w:val="1B7568B4"/>
    <w:rsid w:val="1BBA0A44"/>
    <w:rsid w:val="1BD532EF"/>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A7757E"/>
    <w:rsid w:val="1FD0240A"/>
    <w:rsid w:val="1FF40DD1"/>
    <w:rsid w:val="20772BF8"/>
    <w:rsid w:val="207C11B1"/>
    <w:rsid w:val="20906486"/>
    <w:rsid w:val="20A34016"/>
    <w:rsid w:val="20B12031"/>
    <w:rsid w:val="20C74033"/>
    <w:rsid w:val="20CC0CF3"/>
    <w:rsid w:val="20F20D49"/>
    <w:rsid w:val="21206F11"/>
    <w:rsid w:val="21285F22"/>
    <w:rsid w:val="21640812"/>
    <w:rsid w:val="217B6652"/>
    <w:rsid w:val="218E535D"/>
    <w:rsid w:val="21960C74"/>
    <w:rsid w:val="21AC44B7"/>
    <w:rsid w:val="21BB5803"/>
    <w:rsid w:val="21F46CA1"/>
    <w:rsid w:val="21FF18ED"/>
    <w:rsid w:val="2215470A"/>
    <w:rsid w:val="225A1AD9"/>
    <w:rsid w:val="225C5190"/>
    <w:rsid w:val="227B607F"/>
    <w:rsid w:val="22B2412C"/>
    <w:rsid w:val="22B44989"/>
    <w:rsid w:val="22B92862"/>
    <w:rsid w:val="22E456FA"/>
    <w:rsid w:val="22EA55E2"/>
    <w:rsid w:val="230D070E"/>
    <w:rsid w:val="23201852"/>
    <w:rsid w:val="23211D49"/>
    <w:rsid w:val="23BF753B"/>
    <w:rsid w:val="24197DF6"/>
    <w:rsid w:val="242877EB"/>
    <w:rsid w:val="24C832EE"/>
    <w:rsid w:val="24F75CD4"/>
    <w:rsid w:val="25096490"/>
    <w:rsid w:val="25610581"/>
    <w:rsid w:val="257343E5"/>
    <w:rsid w:val="25C6441A"/>
    <w:rsid w:val="25DF3AA3"/>
    <w:rsid w:val="261352C1"/>
    <w:rsid w:val="2621720A"/>
    <w:rsid w:val="26254C07"/>
    <w:rsid w:val="26F4625D"/>
    <w:rsid w:val="271A299F"/>
    <w:rsid w:val="273B33CB"/>
    <w:rsid w:val="27450C40"/>
    <w:rsid w:val="27650EA6"/>
    <w:rsid w:val="27FF7FD3"/>
    <w:rsid w:val="2815035C"/>
    <w:rsid w:val="285C2886"/>
    <w:rsid w:val="28623586"/>
    <w:rsid w:val="28D8676A"/>
    <w:rsid w:val="291264A6"/>
    <w:rsid w:val="29180863"/>
    <w:rsid w:val="292E577A"/>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C043861"/>
    <w:rsid w:val="2C145AF1"/>
    <w:rsid w:val="2C3731CD"/>
    <w:rsid w:val="2C4D294D"/>
    <w:rsid w:val="2C4E49A0"/>
    <w:rsid w:val="2C5A0F22"/>
    <w:rsid w:val="2C5D6D5D"/>
    <w:rsid w:val="2C9B770C"/>
    <w:rsid w:val="2C9E6F09"/>
    <w:rsid w:val="2CA722ED"/>
    <w:rsid w:val="2CC26D50"/>
    <w:rsid w:val="2CDC62BD"/>
    <w:rsid w:val="2CE44639"/>
    <w:rsid w:val="2D2552B7"/>
    <w:rsid w:val="2D4C45E3"/>
    <w:rsid w:val="2DBB5788"/>
    <w:rsid w:val="2E5B5251"/>
    <w:rsid w:val="2E6140F0"/>
    <w:rsid w:val="2E6A1883"/>
    <w:rsid w:val="2E6F3B74"/>
    <w:rsid w:val="2EAA4C99"/>
    <w:rsid w:val="2EAF20CF"/>
    <w:rsid w:val="2EC01BDE"/>
    <w:rsid w:val="2ED22585"/>
    <w:rsid w:val="2F072678"/>
    <w:rsid w:val="2F5A0CD2"/>
    <w:rsid w:val="2F6D2C3B"/>
    <w:rsid w:val="2FE47BD6"/>
    <w:rsid w:val="2FE958AB"/>
    <w:rsid w:val="302B4EC5"/>
    <w:rsid w:val="30316D46"/>
    <w:rsid w:val="305114F2"/>
    <w:rsid w:val="307B7FF6"/>
    <w:rsid w:val="30823A48"/>
    <w:rsid w:val="30AF151B"/>
    <w:rsid w:val="30D42165"/>
    <w:rsid w:val="310E1AB5"/>
    <w:rsid w:val="31170E1B"/>
    <w:rsid w:val="311C06C4"/>
    <w:rsid w:val="311E69F9"/>
    <w:rsid w:val="313728E3"/>
    <w:rsid w:val="313B7061"/>
    <w:rsid w:val="315344DD"/>
    <w:rsid w:val="31543128"/>
    <w:rsid w:val="316D6E89"/>
    <w:rsid w:val="31D7323D"/>
    <w:rsid w:val="31DC5C69"/>
    <w:rsid w:val="31F77552"/>
    <w:rsid w:val="31FB1671"/>
    <w:rsid w:val="32586D0E"/>
    <w:rsid w:val="328108B0"/>
    <w:rsid w:val="329B1F23"/>
    <w:rsid w:val="32A17001"/>
    <w:rsid w:val="32B36873"/>
    <w:rsid w:val="33095F26"/>
    <w:rsid w:val="330A58F7"/>
    <w:rsid w:val="332D5024"/>
    <w:rsid w:val="338D5265"/>
    <w:rsid w:val="33CF51A0"/>
    <w:rsid w:val="34323825"/>
    <w:rsid w:val="3458146B"/>
    <w:rsid w:val="345848D2"/>
    <w:rsid w:val="347455E8"/>
    <w:rsid w:val="347B5AFD"/>
    <w:rsid w:val="34823FC6"/>
    <w:rsid w:val="34C972C7"/>
    <w:rsid w:val="34D62BAB"/>
    <w:rsid w:val="34E450B9"/>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36645"/>
    <w:rsid w:val="3714121F"/>
    <w:rsid w:val="372713F7"/>
    <w:rsid w:val="372C1DF3"/>
    <w:rsid w:val="372C30AE"/>
    <w:rsid w:val="377D6746"/>
    <w:rsid w:val="37F27270"/>
    <w:rsid w:val="38015064"/>
    <w:rsid w:val="381F77E2"/>
    <w:rsid w:val="38364A80"/>
    <w:rsid w:val="3874667D"/>
    <w:rsid w:val="38AD23AA"/>
    <w:rsid w:val="38AE6E00"/>
    <w:rsid w:val="38BB25C4"/>
    <w:rsid w:val="38C64EB1"/>
    <w:rsid w:val="38CC2E3B"/>
    <w:rsid w:val="38D002EE"/>
    <w:rsid w:val="38ED0E82"/>
    <w:rsid w:val="392B76DE"/>
    <w:rsid w:val="393E5608"/>
    <w:rsid w:val="39743291"/>
    <w:rsid w:val="398524FE"/>
    <w:rsid w:val="399D3058"/>
    <w:rsid w:val="39A3523D"/>
    <w:rsid w:val="39B94230"/>
    <w:rsid w:val="39BE6B2C"/>
    <w:rsid w:val="3A0D464D"/>
    <w:rsid w:val="3A1002F5"/>
    <w:rsid w:val="3A1C0720"/>
    <w:rsid w:val="3A3A6DCD"/>
    <w:rsid w:val="3A790F40"/>
    <w:rsid w:val="3A8544A5"/>
    <w:rsid w:val="3A9251FE"/>
    <w:rsid w:val="3ABA65C5"/>
    <w:rsid w:val="3B532CD4"/>
    <w:rsid w:val="3B5C5DFB"/>
    <w:rsid w:val="3B6E1BB4"/>
    <w:rsid w:val="3B8E1D0F"/>
    <w:rsid w:val="3BE64743"/>
    <w:rsid w:val="3C1357F2"/>
    <w:rsid w:val="3C1B5B88"/>
    <w:rsid w:val="3C2E3E5F"/>
    <w:rsid w:val="3CA15CFF"/>
    <w:rsid w:val="3CA73C95"/>
    <w:rsid w:val="3D090345"/>
    <w:rsid w:val="3D0F493A"/>
    <w:rsid w:val="3D1905F0"/>
    <w:rsid w:val="3D2A190F"/>
    <w:rsid w:val="3D7C202D"/>
    <w:rsid w:val="3D8A73B5"/>
    <w:rsid w:val="3DC31A29"/>
    <w:rsid w:val="3DCF71B1"/>
    <w:rsid w:val="3E234C40"/>
    <w:rsid w:val="3E392A5B"/>
    <w:rsid w:val="3E665142"/>
    <w:rsid w:val="3E8B553B"/>
    <w:rsid w:val="3E8D664D"/>
    <w:rsid w:val="3ED21B07"/>
    <w:rsid w:val="3ED5303B"/>
    <w:rsid w:val="3EEA5312"/>
    <w:rsid w:val="3EEF0377"/>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8472B0"/>
    <w:rsid w:val="429164AC"/>
    <w:rsid w:val="42E47285"/>
    <w:rsid w:val="43041100"/>
    <w:rsid w:val="43204C4F"/>
    <w:rsid w:val="4360648C"/>
    <w:rsid w:val="43860D7A"/>
    <w:rsid w:val="438C3998"/>
    <w:rsid w:val="439547A7"/>
    <w:rsid w:val="43B928D4"/>
    <w:rsid w:val="43C971BA"/>
    <w:rsid w:val="43CC1E5E"/>
    <w:rsid w:val="441C0F54"/>
    <w:rsid w:val="447447B7"/>
    <w:rsid w:val="449F3310"/>
    <w:rsid w:val="44DF5A87"/>
    <w:rsid w:val="44EA44D8"/>
    <w:rsid w:val="44F74EBF"/>
    <w:rsid w:val="456A43EE"/>
    <w:rsid w:val="45B700A5"/>
    <w:rsid w:val="45FE0CF5"/>
    <w:rsid w:val="465A0DFB"/>
    <w:rsid w:val="467D21F0"/>
    <w:rsid w:val="46DB7EF9"/>
    <w:rsid w:val="46E64611"/>
    <w:rsid w:val="470D60EB"/>
    <w:rsid w:val="471709F3"/>
    <w:rsid w:val="471B24E4"/>
    <w:rsid w:val="476022E0"/>
    <w:rsid w:val="476E32D5"/>
    <w:rsid w:val="479C77F7"/>
    <w:rsid w:val="47C42DB6"/>
    <w:rsid w:val="47EF568F"/>
    <w:rsid w:val="47F50C40"/>
    <w:rsid w:val="48314807"/>
    <w:rsid w:val="483E787B"/>
    <w:rsid w:val="48447573"/>
    <w:rsid w:val="485843F3"/>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AA3452"/>
    <w:rsid w:val="4BC4333E"/>
    <w:rsid w:val="4BC5477B"/>
    <w:rsid w:val="4BE66C3B"/>
    <w:rsid w:val="4C0A72EB"/>
    <w:rsid w:val="4C3A3925"/>
    <w:rsid w:val="4C501DA4"/>
    <w:rsid w:val="4C60405C"/>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8045B"/>
    <w:rsid w:val="4F245AF0"/>
    <w:rsid w:val="4F27701A"/>
    <w:rsid w:val="4F325ECA"/>
    <w:rsid w:val="4F6B7839"/>
    <w:rsid w:val="4F850B37"/>
    <w:rsid w:val="4F936CAB"/>
    <w:rsid w:val="4FCF1100"/>
    <w:rsid w:val="4FE067F0"/>
    <w:rsid w:val="4FFD4731"/>
    <w:rsid w:val="503930A6"/>
    <w:rsid w:val="503A3170"/>
    <w:rsid w:val="5059015F"/>
    <w:rsid w:val="50696CDE"/>
    <w:rsid w:val="50724BB8"/>
    <w:rsid w:val="50E04034"/>
    <w:rsid w:val="51132F6E"/>
    <w:rsid w:val="512A5D50"/>
    <w:rsid w:val="51424AC7"/>
    <w:rsid w:val="51436F80"/>
    <w:rsid w:val="51B907B6"/>
    <w:rsid w:val="51CB7D37"/>
    <w:rsid w:val="51F97F25"/>
    <w:rsid w:val="521C715F"/>
    <w:rsid w:val="522761D5"/>
    <w:rsid w:val="5259617D"/>
    <w:rsid w:val="52616DC3"/>
    <w:rsid w:val="529243CA"/>
    <w:rsid w:val="52A17AA1"/>
    <w:rsid w:val="52B9654E"/>
    <w:rsid w:val="52BA60F9"/>
    <w:rsid w:val="52CC2044"/>
    <w:rsid w:val="52D80EED"/>
    <w:rsid w:val="52EF41C5"/>
    <w:rsid w:val="531504A5"/>
    <w:rsid w:val="5330517C"/>
    <w:rsid w:val="53404341"/>
    <w:rsid w:val="536710E8"/>
    <w:rsid w:val="544B4A25"/>
    <w:rsid w:val="548A3D3F"/>
    <w:rsid w:val="549A61A8"/>
    <w:rsid w:val="54A907CF"/>
    <w:rsid w:val="54DA5459"/>
    <w:rsid w:val="54FD6156"/>
    <w:rsid w:val="5515684A"/>
    <w:rsid w:val="55227EC2"/>
    <w:rsid w:val="555838FA"/>
    <w:rsid w:val="55E907A8"/>
    <w:rsid w:val="55F83153"/>
    <w:rsid w:val="56186829"/>
    <w:rsid w:val="56256549"/>
    <w:rsid w:val="56330890"/>
    <w:rsid w:val="56397DF3"/>
    <w:rsid w:val="56532ADB"/>
    <w:rsid w:val="56542E9D"/>
    <w:rsid w:val="56567834"/>
    <w:rsid w:val="565D59D6"/>
    <w:rsid w:val="56AB35C5"/>
    <w:rsid w:val="56AF5AE9"/>
    <w:rsid w:val="56B620F3"/>
    <w:rsid w:val="571D01A9"/>
    <w:rsid w:val="57523710"/>
    <w:rsid w:val="577231AB"/>
    <w:rsid w:val="57915C08"/>
    <w:rsid w:val="57EC6060"/>
    <w:rsid w:val="58194528"/>
    <w:rsid w:val="583C554A"/>
    <w:rsid w:val="5853059E"/>
    <w:rsid w:val="585B5736"/>
    <w:rsid w:val="58826D91"/>
    <w:rsid w:val="588E472B"/>
    <w:rsid w:val="58A55CCC"/>
    <w:rsid w:val="58CD6518"/>
    <w:rsid w:val="58D861FF"/>
    <w:rsid w:val="58E561F0"/>
    <w:rsid w:val="58EE6F43"/>
    <w:rsid w:val="590251D6"/>
    <w:rsid w:val="59191152"/>
    <w:rsid w:val="59373D38"/>
    <w:rsid w:val="595B63B3"/>
    <w:rsid w:val="595F3BC8"/>
    <w:rsid w:val="59750726"/>
    <w:rsid w:val="59C11095"/>
    <w:rsid w:val="5A7D2048"/>
    <w:rsid w:val="5A8470CC"/>
    <w:rsid w:val="5A9151EC"/>
    <w:rsid w:val="5A964E75"/>
    <w:rsid w:val="5B17582E"/>
    <w:rsid w:val="5B1B074B"/>
    <w:rsid w:val="5B9915F6"/>
    <w:rsid w:val="5BBB046C"/>
    <w:rsid w:val="5BC225AF"/>
    <w:rsid w:val="5BD02DEB"/>
    <w:rsid w:val="5BE8647A"/>
    <w:rsid w:val="5C1A74EB"/>
    <w:rsid w:val="5C591B16"/>
    <w:rsid w:val="5C6E3866"/>
    <w:rsid w:val="5C8730E0"/>
    <w:rsid w:val="5CA30F05"/>
    <w:rsid w:val="5CCA1430"/>
    <w:rsid w:val="5CCC2549"/>
    <w:rsid w:val="5D222601"/>
    <w:rsid w:val="5D3D289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C23951"/>
    <w:rsid w:val="60E23C58"/>
    <w:rsid w:val="60F17E50"/>
    <w:rsid w:val="61047491"/>
    <w:rsid w:val="61312DDF"/>
    <w:rsid w:val="614E333E"/>
    <w:rsid w:val="616B1D68"/>
    <w:rsid w:val="617A44EA"/>
    <w:rsid w:val="61AA1445"/>
    <w:rsid w:val="61C43122"/>
    <w:rsid w:val="6214708C"/>
    <w:rsid w:val="62491E16"/>
    <w:rsid w:val="626D1CAC"/>
    <w:rsid w:val="628122CD"/>
    <w:rsid w:val="62AA5D18"/>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A308CB"/>
    <w:rsid w:val="65A3736C"/>
    <w:rsid w:val="65CA0CFD"/>
    <w:rsid w:val="65CE7BC5"/>
    <w:rsid w:val="65D30747"/>
    <w:rsid w:val="65D8286E"/>
    <w:rsid w:val="65EB24F7"/>
    <w:rsid w:val="66041C35"/>
    <w:rsid w:val="664D3D7D"/>
    <w:rsid w:val="66530D00"/>
    <w:rsid w:val="665B3101"/>
    <w:rsid w:val="666049FF"/>
    <w:rsid w:val="66952B3E"/>
    <w:rsid w:val="66997C6C"/>
    <w:rsid w:val="66A523A1"/>
    <w:rsid w:val="66B33C1D"/>
    <w:rsid w:val="66B72AA3"/>
    <w:rsid w:val="66BB6485"/>
    <w:rsid w:val="66FD22DD"/>
    <w:rsid w:val="671E74EF"/>
    <w:rsid w:val="67577196"/>
    <w:rsid w:val="678B32C8"/>
    <w:rsid w:val="679942FF"/>
    <w:rsid w:val="67CC3D28"/>
    <w:rsid w:val="67F41932"/>
    <w:rsid w:val="682974CA"/>
    <w:rsid w:val="68362568"/>
    <w:rsid w:val="684D3320"/>
    <w:rsid w:val="68632E2A"/>
    <w:rsid w:val="68957249"/>
    <w:rsid w:val="68AE760A"/>
    <w:rsid w:val="68EE67FC"/>
    <w:rsid w:val="691C2949"/>
    <w:rsid w:val="697C2AAD"/>
    <w:rsid w:val="698B519A"/>
    <w:rsid w:val="69DE22B0"/>
    <w:rsid w:val="69E15581"/>
    <w:rsid w:val="6A467929"/>
    <w:rsid w:val="6A534C27"/>
    <w:rsid w:val="6A583C11"/>
    <w:rsid w:val="6A820B70"/>
    <w:rsid w:val="6AAD78D3"/>
    <w:rsid w:val="6AAF2C38"/>
    <w:rsid w:val="6B323389"/>
    <w:rsid w:val="6B3348C1"/>
    <w:rsid w:val="6B5D72DA"/>
    <w:rsid w:val="6B7C346D"/>
    <w:rsid w:val="6B884178"/>
    <w:rsid w:val="6BA63111"/>
    <w:rsid w:val="6BBE123B"/>
    <w:rsid w:val="6BEA7161"/>
    <w:rsid w:val="6C1F16F3"/>
    <w:rsid w:val="6CA73FBB"/>
    <w:rsid w:val="6D1E6AFD"/>
    <w:rsid w:val="6D447C6A"/>
    <w:rsid w:val="6D652DF5"/>
    <w:rsid w:val="6D8917F8"/>
    <w:rsid w:val="6DCE79AD"/>
    <w:rsid w:val="6DD20F27"/>
    <w:rsid w:val="6DF56E2D"/>
    <w:rsid w:val="6E15243A"/>
    <w:rsid w:val="6E563BC0"/>
    <w:rsid w:val="6EA8216A"/>
    <w:rsid w:val="6EEE5089"/>
    <w:rsid w:val="6F094839"/>
    <w:rsid w:val="6F1922E0"/>
    <w:rsid w:val="6F387D77"/>
    <w:rsid w:val="6F440184"/>
    <w:rsid w:val="6FA061D5"/>
    <w:rsid w:val="6FED13A0"/>
    <w:rsid w:val="70392619"/>
    <w:rsid w:val="70784621"/>
    <w:rsid w:val="708E0993"/>
    <w:rsid w:val="70F72370"/>
    <w:rsid w:val="7101346B"/>
    <w:rsid w:val="71447311"/>
    <w:rsid w:val="71706AB1"/>
    <w:rsid w:val="71972501"/>
    <w:rsid w:val="71BE6F98"/>
    <w:rsid w:val="71E47092"/>
    <w:rsid w:val="71F15974"/>
    <w:rsid w:val="720A62AA"/>
    <w:rsid w:val="72311568"/>
    <w:rsid w:val="725F62D6"/>
    <w:rsid w:val="7284752B"/>
    <w:rsid w:val="72AA3735"/>
    <w:rsid w:val="72C95694"/>
    <w:rsid w:val="7334245F"/>
    <w:rsid w:val="73460F57"/>
    <w:rsid w:val="73810361"/>
    <w:rsid w:val="73904291"/>
    <w:rsid w:val="739A73DF"/>
    <w:rsid w:val="73E500A5"/>
    <w:rsid w:val="74123CE2"/>
    <w:rsid w:val="74915BA6"/>
    <w:rsid w:val="74E81938"/>
    <w:rsid w:val="757B15C1"/>
    <w:rsid w:val="759A12D4"/>
    <w:rsid w:val="75BD5696"/>
    <w:rsid w:val="75BE1583"/>
    <w:rsid w:val="75DB3DEE"/>
    <w:rsid w:val="75E4733C"/>
    <w:rsid w:val="75F61C3A"/>
    <w:rsid w:val="761C2160"/>
    <w:rsid w:val="763C3036"/>
    <w:rsid w:val="7667022D"/>
    <w:rsid w:val="76B601FF"/>
    <w:rsid w:val="76B73C0E"/>
    <w:rsid w:val="76F27C2C"/>
    <w:rsid w:val="76FD2E1B"/>
    <w:rsid w:val="7703655A"/>
    <w:rsid w:val="773176E6"/>
    <w:rsid w:val="775F1CC9"/>
    <w:rsid w:val="77915591"/>
    <w:rsid w:val="77921AE2"/>
    <w:rsid w:val="77BA3D2E"/>
    <w:rsid w:val="77D017D2"/>
    <w:rsid w:val="77D47054"/>
    <w:rsid w:val="77DB173C"/>
    <w:rsid w:val="78265518"/>
    <w:rsid w:val="78535672"/>
    <w:rsid w:val="78A1117D"/>
    <w:rsid w:val="78D80AD7"/>
    <w:rsid w:val="78F34AC2"/>
    <w:rsid w:val="79421F7A"/>
    <w:rsid w:val="79537B9B"/>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723875"/>
    <w:rsid w:val="7B984FC8"/>
    <w:rsid w:val="7BFD3CD4"/>
    <w:rsid w:val="7C193A59"/>
    <w:rsid w:val="7C2329AC"/>
    <w:rsid w:val="7C2C086D"/>
    <w:rsid w:val="7C69231B"/>
    <w:rsid w:val="7CFC35E7"/>
    <w:rsid w:val="7D1772E6"/>
    <w:rsid w:val="7D301112"/>
    <w:rsid w:val="7D453161"/>
    <w:rsid w:val="7D5D3E1B"/>
    <w:rsid w:val="7D715F67"/>
    <w:rsid w:val="7D880371"/>
    <w:rsid w:val="7D990694"/>
    <w:rsid w:val="7DDF5B2C"/>
    <w:rsid w:val="7E4D79C6"/>
    <w:rsid w:val="7E5F3D15"/>
    <w:rsid w:val="7E697E23"/>
    <w:rsid w:val="7E91611B"/>
    <w:rsid w:val="7E940152"/>
    <w:rsid w:val="7E997182"/>
    <w:rsid w:val="7F341580"/>
    <w:rsid w:val="7F3F96DD"/>
    <w:rsid w:val="7F4428D4"/>
    <w:rsid w:val="7F774C67"/>
    <w:rsid w:val="7F8C6CA7"/>
    <w:rsid w:val="7FC72657"/>
    <w:rsid w:val="7FC83AD3"/>
    <w:rsid w:val="7FCC74B3"/>
    <w:rsid w:val="7FD25239"/>
    <w:rsid w:val="BBA75744"/>
    <w:rsid w:val="F77FF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unhideWhenUsed/>
    <w:qFormat/>
    <w:uiPriority w:val="99"/>
    <w:rPr>
      <w:rFonts w:ascii="Times New Roman" w:hAnsi="Times New Roman"/>
      <w:kern w:val="0"/>
      <w:sz w:val="18"/>
      <w:szCs w:val="18"/>
      <w:lang w:val="zh-CN"/>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autoRedefine/>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脚 字符"/>
    <w:link w:val="3"/>
    <w:autoRedefine/>
    <w:qFormat/>
    <w:uiPriority w:val="99"/>
    <w:rPr>
      <w:sz w:val="18"/>
      <w:szCs w:val="18"/>
    </w:rPr>
  </w:style>
  <w:style w:type="character" w:customStyle="1" w:styleId="12">
    <w:name w:val="页眉 字符"/>
    <w:link w:val="4"/>
    <w:autoRedefine/>
    <w:qFormat/>
    <w:uiPriority w:val="99"/>
    <w:rPr>
      <w:sz w:val="18"/>
      <w:szCs w:val="18"/>
    </w:rPr>
  </w:style>
  <w:style w:type="character" w:customStyle="1" w:styleId="13">
    <w:name w:val="批注框文本 字符"/>
    <w:link w:val="2"/>
    <w:autoRedefine/>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Default"/>
    <w:autoRedefine/>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403</Words>
  <Characters>437</Characters>
  <Lines>2</Lines>
  <Paragraphs>5</Paragraphs>
  <TotalTime>3</TotalTime>
  <ScaleCrop>false</ScaleCrop>
  <LinksUpToDate>false</LinksUpToDate>
  <CharactersWithSpaces>441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2022-07-18T11:16:00Z</dcterms:created>
  <dc:creator>SDWM</dc:creator>
  <cp:lastModifiedBy>贵州二十一数字传媒</cp:lastModifiedBy>
  <cp:lastPrinted>2017-01-06T08:33:00Z</cp:lastPrinted>
  <dcterms:modified xsi:type="dcterms:W3CDTF">2023-12-30T13:24:37Z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C20F6F33E7B5400E9281E7BFFC2F8BF1</vt:lpwstr>
  </property>
</Properties>
</file>