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560" w:lineRule="exact"/>
        <w:rPr>
          <w:rFonts w:ascii="Times New Roman" w:eastAsia="黑体" w:cs="Times New Roman" w:hAnsi="Times New Roman"/>
          <w:sz w:val="30"/>
          <w:szCs w:val="30"/>
        </w:rPr>
      </w:pPr>
      <w:r>
        <w:rPr>
          <w:rFonts w:ascii="Times New Roman" w:eastAsia="方正公文黑体" w:cs="Times New Roman" w:hAnsi="Times New Roman"/>
          <w:sz w:val="32"/>
          <w:szCs w:val="32"/>
        </w:rPr>
        <w:t>附件5</w:t>
      </w:r>
      <w:r>
        <w:rPr>
          <w:rFonts w:ascii="Times New Roman" w:eastAsia="黑体" w:cs="Times New Roman" w:hAnsi="Times New Roman"/>
          <w:sz w:val="30"/>
          <w:szCs w:val="30"/>
        </w:rPr>
        <w:t xml:space="preserve">        </w:t>
      </w:r>
    </w:p>
    <w:p>
      <w:pPr>
        <w:snapToGrid w:val="0"/>
        <w:spacing w:line="560" w:lineRule="exact"/>
        <w:ind w:firstLineChars="300" w:firstLine="1080"/>
        <w:rPr>
          <w:rFonts w:ascii="Times New Roman" w:cs="Times New Roman" w:hAnsi="Times New Roman"/>
          <w:sz w:val="36"/>
          <w:szCs w:val="36"/>
        </w:rPr>
      </w:pPr>
      <w:r>
        <w:rPr>
          <w:rFonts w:ascii="Times New Roman" w:cs="Times New Roman" w:hAnsi="Times New Roman"/>
          <w:sz w:val="36"/>
          <w:szCs w:val="36"/>
        </w:rPr>
        <w:t xml:space="preserve">   </w:t>
      </w:r>
    </w:p>
    <w:p>
      <w:pPr>
        <w:snapToGrid w:val="0"/>
        <w:spacing w:line="560" w:lineRule="exact"/>
        <w:jc w:val="center"/>
        <w:rPr>
          <w:rFonts w:ascii="Times New Roman" w:eastAsia="方正公文小标宋" w:cs="Times New Roman" w:hAnsi="Times New Roman"/>
          <w:sz w:val="44"/>
          <w:szCs w:val="44"/>
        </w:rPr>
      </w:pPr>
      <w:r>
        <w:rPr>
          <w:rFonts w:ascii="Times New Roman" w:eastAsia="方正公文小标宋" w:cs="Times New Roman" w:hAnsi="Times New Roman"/>
          <w:sz w:val="44"/>
          <w:szCs w:val="44"/>
        </w:rPr>
        <w:t>部分不合格检测项目小知识</w:t>
      </w:r>
    </w:p>
    <w:p>
      <w:pPr>
        <w:snapToGrid w:val="0"/>
        <w:spacing w:line="560" w:lineRule="exact"/>
        <w:ind w:firstLineChars="200" w:firstLine="640"/>
        <w:rPr>
          <w:rFonts w:ascii="Times New Roman" w:eastAsia="仿宋_GB2312" w:cs="Times New Roman" w:hAnsi="Times New Roman"/>
          <w:b/>
          <w:sz w:val="32"/>
          <w:szCs w:val="32"/>
        </w:rPr>
      </w:pPr>
    </w:p>
    <w:p>
      <w:pPr>
        <w:snapToGrid w:val="0"/>
        <w:spacing w:line="560" w:lineRule="exact"/>
        <w:ind w:firstLineChars="200" w:firstLine="640"/>
        <w:rPr>
          <w:rFonts w:ascii="Times New Roman" w:eastAsia="方正公文黑体" w:cs="Times New Roman" w:hAnsi="Times New Roman"/>
          <w:sz w:val="32"/>
          <w:szCs w:val="32"/>
        </w:rPr>
      </w:pPr>
      <w:r>
        <w:rPr>
          <w:rFonts w:ascii="Times New Roman" w:eastAsia="方正公文黑体" w:cs="Times New Roman" w:hAnsi="Times New Roman"/>
          <w:sz w:val="32"/>
          <w:szCs w:val="32"/>
        </w:rPr>
        <w:t>一、阴离子合成洗涤剂</w:t>
      </w:r>
    </w:p>
    <w:p>
      <w:pPr>
        <w:snapToGrid w:val="0"/>
        <w:spacing w:line="560" w:lineRule="exact"/>
        <w:ind w:firstLineChars="200" w:firstLine="640"/>
        <w:rPr>
          <w:rFonts w:ascii="Times New Roman" w:eastAsia="方正公文仿宋" w:cs="Times New Roman" w:hAnsi="Times New Roman"/>
          <w:sz w:val="32"/>
          <w:szCs w:val="32"/>
        </w:rPr>
      </w:pPr>
      <w:r>
        <w:rPr>
          <w:rFonts w:ascii="Times New Roman" w:eastAsia="方正公文仿宋" w:cs="Times New Roman" w:hAnsi="Times New Roman"/>
          <w:sz w:val="32"/>
          <w:szCs w:val="32"/>
        </w:rPr>
        <w:t>其主要成分十二烷基苯磺酸钠，是一种低毒物质，因其使用方便、易溶解、稳定性好、成本低等优点，在消毒企业中广泛使用，但是如果餐具清洗消毒流程控制不当，会造成洗涤剂在餐具上的残留，对人体健康产生不良影响。GB14934-2016《食品安全国家标准 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snapToGrid w:val="0"/>
        <w:spacing w:line="560" w:lineRule="exact"/>
        <w:ind w:firstLineChars="200" w:firstLine="592"/>
        <w:rPr>
          <w:rFonts w:ascii="Times New Roman" w:eastAsia="方正公文黑体" w:cs="Times New Roman" w:hAnsi="Times New Roman"/>
          <w:spacing w:val="-12"/>
          <w:sz w:val="32"/>
          <w:szCs w:val="32"/>
        </w:rPr>
      </w:pPr>
      <w:r>
        <w:rPr>
          <w:rFonts w:ascii="Times New Roman" w:eastAsia="方正公文黑体" w:cs="Times New Roman" w:hAnsi="Times New Roman"/>
          <w:spacing w:val="-12"/>
          <w:sz w:val="32"/>
          <w:szCs w:val="32"/>
        </w:rPr>
        <w:t>二、毒死蜱</w:t>
      </w:r>
    </w:p>
    <w:p>
      <w:pPr>
        <w:pStyle w:val="19"/>
        <w:widowControl/>
        <w:snapToGrid w:val="0"/>
        <w:spacing w:line="560" w:lineRule="exact"/>
        <w:ind w:firstLineChars="200" w:firstLine="672"/>
        <w:jc w:val="left"/>
        <w:rPr>
          <w:rFonts w:ascii="Times New Roman" w:eastAsia="方正公文仿宋" w:cs="Times New Roman" w:hAnsi="Times New Roman"/>
          <w:sz w:val="32"/>
          <w:szCs w:val="24"/>
        </w:rPr>
      </w:pPr>
      <w:r>
        <w:rPr>
          <w:rFonts w:ascii="Times New Roman" w:eastAsia="方正公文仿宋" w:cs="Times New Roman" w:hAnsi="Times New Roman"/>
          <w:color w:val="222222"/>
          <w:spacing w:val="8"/>
          <w:sz w:val="32"/>
          <w:szCs w:val="32"/>
        </w:rPr>
        <w:t>毒死蜱是一种具有触杀、胃毒和熏蒸作用的硫代磷酸酯类有机磷杀虫剂。少量的毒死蜱残留不会引起人体急性中毒，但长期食用毒死蜱残留超标的食品，可能对人体健康有一定影响。《食品安全国家标准 食品中农药最大残留限量》（GB 2763-2021）中规定，毒死蜱在菠菜中的最大残留限量为0.02mg/kg。菠菜中毒死蜱超标的原因，可能是种植单位为了控制虫害而违规使用。</w:t>
      </w:r>
    </w:p>
    <w:p>
      <w:pPr>
        <w:pStyle w:val="19"/>
        <w:widowControl/>
        <w:snapToGrid w:val="0"/>
        <w:spacing w:line="560" w:lineRule="exact"/>
        <w:ind w:firstLineChars="200" w:firstLine="640"/>
        <w:jc w:val="left"/>
        <w:rPr>
          <w:rFonts w:ascii="Times New Roman" w:eastAsia="方正公文黑体" w:cs="Times New Roman" w:hAnsi="Times New Roman"/>
          <w:sz w:val="32"/>
          <w:szCs w:val="24"/>
        </w:rPr>
      </w:pPr>
    </w:p>
    <w:p>
      <w:pPr>
        <w:pStyle w:val="19"/>
        <w:widowControl/>
        <w:snapToGrid w:val="0"/>
        <w:spacing w:line="560" w:lineRule="exact"/>
        <w:ind w:firstLineChars="200" w:firstLine="640"/>
        <w:jc w:val="left"/>
        <w:rPr>
          <w:rFonts w:ascii="Times New Roman" w:eastAsia="方正公文黑体" w:cs="Times New Roman" w:hAnsi="Times New Roman"/>
          <w:sz w:val="32"/>
          <w:szCs w:val="24"/>
        </w:rPr>
      </w:pPr>
    </w:p>
    <w:p>
      <w:pPr>
        <w:pStyle w:val="19"/>
        <w:widowControl/>
        <w:snapToGrid w:val="0"/>
        <w:spacing w:line="560" w:lineRule="exact"/>
        <w:ind w:firstLineChars="200" w:firstLine="640"/>
        <w:jc w:val="left"/>
        <w:rPr>
          <w:rFonts w:ascii="Times New Roman" w:eastAsia="方正公文黑体" w:cs="Times New Roman" w:hAnsi="Times New Roman"/>
          <w:sz w:val="32"/>
          <w:szCs w:val="32"/>
        </w:rPr>
      </w:pPr>
      <w:r>
        <w:rPr>
          <w:rFonts w:ascii="Times New Roman" w:eastAsia="方正公文黑体" w:cs="Times New Roman" w:hAnsi="Times New Roman"/>
          <w:sz w:val="32"/>
          <w:szCs w:val="24"/>
        </w:rPr>
        <w:t>三、二</w:t>
      </w:r>
      <w:r>
        <w:rPr>
          <w:rFonts w:ascii="Times New Roman" w:eastAsia="方正公文黑体" w:cs="Times New Roman" w:hAnsi="Times New Roman"/>
          <w:sz w:val="32"/>
          <w:szCs w:val="32"/>
        </w:rPr>
        <w:t>氧化硫残留量</w:t>
      </w:r>
    </w:p>
    <w:p>
      <w:pPr>
        <w:pStyle w:val="19"/>
        <w:widowControl/>
        <w:snapToGrid w:val="0"/>
        <w:spacing w:line="560" w:lineRule="exact"/>
        <w:ind w:firstLineChars="200" w:firstLine="640"/>
        <w:jc w:val="left"/>
        <w:rPr>
          <w:rFonts w:ascii="Times New Roman" w:eastAsia="方正公文仿宋" w:cs="Times New Roman" w:hAnsi="Times New Roman"/>
          <w:sz w:val="32"/>
          <w:szCs w:val="32"/>
        </w:rPr>
      </w:pPr>
      <w:r>
        <w:rPr>
          <w:rFonts w:ascii="Times New Roman" w:eastAsia="方正公文仿宋" w:cs="Times New Roman" w:hAnsi="Times New Roman"/>
          <w:sz w:val="32"/>
          <w:szCs w:val="32"/>
        </w:rPr>
        <w:t xml:space="preserve">二氧化硫是食品加工中常用的漂白剂和防腐剂，具有漂 </w:t>
      </w:r>
    </w:p>
    <w:p>
      <w:pPr>
        <w:pStyle w:val="19"/>
        <w:snapToGrid w:val="0"/>
        <w:spacing w:line="560" w:lineRule="exact"/>
        <w:rPr>
          <w:rFonts w:ascii="Times New Roman" w:eastAsia="方正公文仿宋" w:cs="Times New Roman" w:hAnsi="Times New Roman"/>
          <w:sz w:val="32"/>
          <w:szCs w:val="32"/>
        </w:rPr>
      </w:pPr>
      <w:r>
        <w:rPr>
          <w:rFonts w:ascii="Times New Roman" w:eastAsia="方正公文仿宋" w:cs="Times New Roman" w:hAnsi="Times New Roman"/>
          <w:sz w:val="32"/>
          <w:szCs w:val="32"/>
        </w:rPr>
        <w:t>白、防腐和抗氧化作用。少量二氧化硫进入人体不会对身体健康造成危害，但过量食用会引起如恶心、呕吐等胃肠道反应。二氧化硫残留量超标的原因，可能是为了提高产品色泽而过量使用二氧化硫，也有可能是使用时不计量或计量不准确。</w:t>
      </w:r>
    </w:p>
    <w:p>
      <w:pPr>
        <w:pStyle w:val="15"/>
        <w:snapToGrid w:val="0"/>
        <w:spacing w:line="560" w:lineRule="exact"/>
        <w:ind w:leftChars="0" w:left="0" w:firstLineChars="200" w:firstLine="640"/>
        <w:rPr>
          <w:rFonts w:ascii="方正公文黑体" w:eastAsia="方正公文黑体" w:cs="Times New Roman" w:hAnsi="方正公文黑体" w:hint="eastAsia"/>
          <w:sz w:val="32"/>
          <w:szCs w:val="32"/>
        </w:rPr>
      </w:pPr>
      <w:r>
        <w:rPr>
          <w:rFonts w:ascii="方正公文黑体" w:eastAsia="方正公文黑体" w:cs="Times New Roman" w:hAnsi="方正公文黑体"/>
          <w:sz w:val="32"/>
          <w:szCs w:val="32"/>
        </w:rPr>
        <w:t>四、多菌灵</w:t>
      </w:r>
    </w:p>
    <w:p>
      <w:pPr>
        <w:snapToGrid w:val="0"/>
        <w:spacing w:line="560" w:lineRule="exact"/>
        <w:ind w:firstLineChars="200" w:firstLine="640"/>
        <w:rPr>
          <w:rFonts w:ascii="Times New Roman" w:eastAsia="方正公文仿宋" w:cs="Times New Roman" w:hAnsi="Times New Roman"/>
          <w:sz w:val="32"/>
          <w:szCs w:val="32"/>
        </w:rPr>
      </w:pPr>
      <w:r>
        <w:rPr>
          <w:rFonts w:ascii="Times New Roman" w:eastAsia="方正公文仿宋" w:cs="Times New Roman" w:hAnsi="Times New Roman" w:hint="eastAsia"/>
          <w:sz w:val="32"/>
          <w:szCs w:val="32"/>
        </w:rPr>
        <w:t>多菌灵又名棉萎灵、苯并咪唑44号，是一种广谱性杀菌剂</w:t>
      </w:r>
      <w:r>
        <w:rPr>
          <w:rFonts w:ascii="Times New Roman" w:eastAsia="方正公文仿宋" w:cs="Times New Roman" w:hAnsi="Times New Roman"/>
          <w:sz w:val="32"/>
          <w:szCs w:val="32"/>
        </w:rPr>
        <w:t>，</w:t>
      </w:r>
      <w:r>
        <w:rPr>
          <w:rFonts w:ascii="Times New Roman" w:eastAsia="方正公文仿宋" w:cs="Times New Roman" w:hAnsi="Times New Roman" w:hint="eastAsia"/>
          <w:sz w:val="32"/>
          <w:szCs w:val="32"/>
        </w:rPr>
        <w:t>对多种作物中因真菌（如半知菌、多子囊菌）引起的病害有防治效果。《食品安全国家标准 食品中农药最大残留限量》（GB 2763—2021）中规定，多菌灵在荷兰豆中的最大残留限量值为0.02mg/kg。荷兰豆中多菌灵超标的原因，可能是菜农对使用农药的安全间隔期不了解，从而违规使用农药。</w:t>
      </w:r>
    </w:p>
    <w:p>
      <w:pPr>
        <w:pStyle w:val="19"/>
        <w:spacing w:line="560" w:lineRule="exact"/>
        <w:ind w:firstLineChars="200" w:firstLine="640"/>
        <w:jc w:val="both"/>
        <w:rPr>
          <w:rFonts w:ascii="Times New Roman" w:eastAsia="方正公文仿宋" w:cs="Times New Roman" w:hAnsi="Times New Roman" w:hint="eastAsia"/>
          <w:sz w:val="32"/>
          <w:szCs w:val="32"/>
        </w:rPr>
      </w:pPr>
      <w:bookmarkStart w:id="0" w:name="_GoBack"/>
      <w:bookmarkEnd w:id="0"/>
    </w:p>
    <w:p>
      <w:pPr>
        <w:snapToGrid w:val="0"/>
        <w:spacing w:line="560" w:lineRule="exact"/>
        <w:ind w:firstLineChars="200" w:firstLine="640"/>
        <w:rPr>
          <w:rFonts w:ascii="Times New Roman" w:eastAsia="方正公文仿宋" w:cs="Times New Roman" w:hAnsi="Times New Roman"/>
          <w:sz w:val="32"/>
          <w:szCs w:val="32"/>
        </w:rPr>
      </w:pPr>
    </w:p>
    <w:p>
      <w:pPr>
        <w:snapToGrid w:val="0"/>
        <w:spacing w:line="560" w:lineRule="exact"/>
        <w:ind w:firstLineChars="200" w:firstLine="640"/>
        <w:rPr>
          <w:rFonts w:ascii="Times New Roman" w:eastAsia="方正公文仿宋" w:cs="Times New Roman" w:hAnsi="Times New Roman"/>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公文黑体">
    <w:panose1 w:val="02000500000000000000"/>
    <w:charset w:val="86"/>
    <w:family w:val="auto"/>
    <w:pitch w:val="variable"/>
    <w:sig w:usb0="A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仿宋_GB2312">
    <w:altName w:val="仿宋"/>
    <w:panose1 w:val="00000000000000000000"/>
    <w:charset w:val="86"/>
    <w:family w:val="modern"/>
    <w:pitch w:val="variable"/>
    <w:sig w:usb0="800002BF" w:usb1="38CF7CFA" w:usb2="00000016" w:usb3="00000000" w:csb0="00040001" w:csb1="00000000"/>
  </w:font>
  <w:font w:name="方正公文仿宋">
    <w:panose1 w:val="02000500000000000000"/>
    <w:charset w:val="86"/>
    <w:family w:val="auto"/>
    <w:pitch w:val="variable"/>
    <w:sig w:usb0="A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variable"/>
    <w:sig w:usb0="E0002E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OGMwNGM0NzFiNWYxZmIxNDg4ODE5MzdhNDIxZjQ2M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able of authorities"/>
    <w:basedOn w:val="0"/>
    <w:next w:val="0"/>
    <w:pPr>
      <w:ind w:leftChars="200" w:left="200"/>
    </w:p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spacing w:before="100" w:beforeAutospacing="1" w:after="100" w:afterAutospacing="1"/>
      <w:jc w:val="left"/>
    </w:pPr>
    <w:rPr>
      <w:kern w:val="0"/>
      <w:sz w:val="24"/>
    </w:rPr>
  </w:style>
  <w:style w:type="paragraph" w:styleId="18">
    <w:name w:val="List 2"/>
    <w:basedOn w:val="0"/>
    <w:next w:val="15"/>
    <w:pPr>
      <w:ind w:leftChars="200" w:left="400" w:hangingChars="200" w:hanging="200"/>
    </w:pPr>
    <w:rPr>
      <w:rFonts w:ascii="宋体" w:cs="Times New Roman" w:hAnsi="Times New Roman"/>
      <w:sz w:val="24"/>
    </w:rPr>
  </w:style>
  <w:style w:type="paragraph" w:styleId="19">
    <w:name w:val="HTML Preformatted"/>
    <w:basedOn w:val="0"/>
    <w:next w:val="15"/>
    <w:rPr>
      <w:rFonts w:ascii="Courier New" w:cs="Courier New" w:hAnsi="Courier New"/>
      <w:sz w:val="20"/>
      <w:szCs w:val="20"/>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5E8A710-DAE3-4642-A869-39B15939977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59</TotalTime>
  <Application>Yozo_Office27021597764231179</Application>
  <Pages>2</Pages>
  <Words>0</Words>
  <Characters>597</Characters>
  <Lines>0</Lines>
  <Paragraphs>18</Paragraphs>
  <CharactersWithSpaces>797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5</cp:revision>
  <dcterms:created xsi:type="dcterms:W3CDTF">2020-07-02T07:44:00Z</dcterms:created>
  <dcterms:modified xsi:type="dcterms:W3CDTF">2023-12-19T01:45:50Z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CD77A3EB0102407483C26509382773BF</vt:lpwstr>
  </property>
</Properties>
</file>