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76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市市场监管局发布</w:t>
      </w:r>
    </w:p>
    <w:p>
      <w:pPr>
        <w:spacing w:line="576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插头插座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质量监督抽查分析报告</w:t>
      </w:r>
    </w:p>
    <w:p>
      <w:pPr>
        <w:spacing w:line="30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盐城市市场监督管理局委托盐城市产品质量监督检验所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组织实施插头插座产品市级监督抽查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本次抽查计划10批次，抽到10批次，经检验合格10批次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9"/>
        <w:snapToGrid w:val="0"/>
        <w:spacing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一、产品和产业概况</w:t>
      </w:r>
    </w:p>
    <w:p>
      <w:pPr>
        <w:spacing w:line="576" w:lineRule="exact"/>
        <w:ind w:firstLine="560"/>
        <w:rPr>
          <w:rFonts w:hint="default" w:ascii="Times New Roman" w:hAnsi="Times New Roman" w:eastAsia="楷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lang w:val="en-US" w:eastAsia="zh-CN"/>
        </w:rPr>
        <w:t>（一）产品概况</w:t>
      </w: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插头插座产品种类较多，使用最多的是延长线插座，适合于便携、移动的用电需要，广泛使用在家庭、办公室、工厂、学校等各类场所，具有量大面广的显著特点。据相关部门调查显示，每年国内市场对插座的需求量都在增长，其中固定式插座国内市场需求保持年增速6～8%，年销售额过百亿元人民币。</w:t>
      </w: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我国，插头插座的使用环境条件多样，一些使用场所环境恶劣，如简易厂房、农民房、学校宿舍、露天餐馆等；并且我国消费者和用户安全用电意识低。所以，需要标准从防触电、阻燃、结构、防过载等方面进行规范和保护。插头插座产品属于CCC强制认证管理范畴。</w:t>
      </w:r>
    </w:p>
    <w:p>
      <w:pPr>
        <w:snapToGrid w:val="0"/>
        <w:spacing w:line="576" w:lineRule="exact"/>
        <w:ind w:firstLine="640" w:firstLineChars="200"/>
        <w:rPr>
          <w:rFonts w:hint="default" w:ascii="Times New Roman" w:hAnsi="Times New Roman" w:eastAsia="楷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lang w:val="en-US" w:eastAsia="zh-CN"/>
        </w:rPr>
        <w:t>（二）产业概况</w:t>
      </w:r>
    </w:p>
    <w:p>
      <w:pPr>
        <w:spacing w:line="576" w:lineRule="exact"/>
        <w:ind w:firstLine="687" w:firstLineChars="214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产业分布</w:t>
      </w: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据不完全统计，目前市场销售的插头插座产品获得的有效CCC证书约为2100余张。全国规模性插座生产企业有300多家，分布在浙江、江苏、广东、湖南、上海、天津、北京等地区，尤以珠三角和长三角两地最为集中，各有代表品牌。其中珠三角以广东的惠州、中山、顺德等为主要产地，以奇胜、TCL－罗格朗、朗能、松本、天基等电工品牌厂家为代表。长三角形成了以鸿雁、飞雕、正泰、公牛、德力西、鸿世等为代表的一批行业中坚力量。现在国内市场需求品种规格地区性差异不大，款式多样化，城市以中、高档次为主，但相当部分农村及山区，因收入消费水平有限，仍以低档为主。随着我国加入WTO以及我国对外资企业进入国内市场政策的放宽，大批外资企业进行产业结构调整，在中国建立了生产基地，如罗格朗、施耐德、西门子、松下、ABB、西蒙等，从而使中国成为了全球电器附件主要的制造生产基地，其销售额在全行业所占比重逐年上升，走我国中、高端产品市场路线。</w:t>
      </w: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江苏现有生产企业约6家，知名企业也比较多，如鸿雁、英特曼、海锚等，生产企业主要集中在南京、南通、常州等地。盐城市无生产企业。</w:t>
      </w:r>
    </w:p>
    <w:p>
      <w:pPr>
        <w:widowControl/>
        <w:shd w:val="clear" w:color="auto" w:fill="FFFFFF"/>
        <w:spacing w:line="576" w:lineRule="exac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销售渠道</w:t>
      </w: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目前插头插座的市场主流品牌有公牛、欧普、正泰、西门子、松下、突破、飞利浦、英特曼、TCL、鸿雁、西蒙、朗能、小米、得力等。销售的主要渠道是欧尚超市、大润发、苏果超市等生活超市，苏宁电器、五星电器等电器卖场，装饰城、专卖店、日用百货店。网络平台如京东、国美、苏宁、国美、淘宝和天猫等。盐城市主要销售品牌有公牛、欧普、正泰、西门子、松下、突破、小米等。</w:t>
      </w:r>
    </w:p>
    <w:p>
      <w:pPr>
        <w:pStyle w:val="9"/>
        <w:snapToGrid w:val="0"/>
        <w:spacing w:line="576" w:lineRule="exact"/>
        <w:ind w:firstLine="640" w:firstLineChars="20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二、检验检测概况</w:t>
      </w:r>
    </w:p>
    <w:p>
      <w:pPr>
        <w:snapToGrid w:val="0"/>
        <w:spacing w:line="576" w:lineRule="exact"/>
        <w:ind w:firstLine="640" w:firstLineChars="200"/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lang w:val="en-US" w:eastAsia="zh-CN"/>
        </w:rPr>
        <w:t>（一）样品来源</w:t>
      </w: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本次监督抽查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插头插座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10批次，其中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在实体店抽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查8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电商平台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查2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批次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，具体情况见表1。</w:t>
      </w:r>
    </w:p>
    <w:p>
      <w:pPr>
        <w:widowControl/>
        <w:shd w:val="clear" w:color="auto" w:fill="FFFFFF"/>
        <w:spacing w:line="576" w:lineRule="exact"/>
        <w:ind w:firstLine="560" w:firstLineChars="200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表1 样品来源表</w:t>
      </w:r>
    </w:p>
    <w:tbl>
      <w:tblPr>
        <w:tblStyle w:val="6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865"/>
        <w:gridCol w:w="2400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产品类别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样品来源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  <w:lang w:eastAsia="zh-CN"/>
              </w:rPr>
              <w:t>样品来源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方式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抽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  <w:lang w:val="en-US" w:eastAsia="zh-CN"/>
              </w:rPr>
              <w:t>查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lang w:val="en-US" w:eastAsia="zh-CN"/>
              </w:rPr>
              <w:t>插头插座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实体店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ind w:left="-67" w:leftChars="-32" w:firstLine="40" w:firstLineChars="17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抽样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ind w:left="-67" w:leftChars="-32" w:firstLine="40" w:firstLineChars="17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eastAsia="仿宋" w:cs="Times New Roman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lang w:val="en-US" w:eastAsia="zh-CN"/>
              </w:rPr>
              <w:t>电商平台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ind w:left="-67" w:leftChars="-32" w:firstLine="40" w:firstLineChars="17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抽样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ind w:left="-67" w:leftChars="-32" w:firstLine="40" w:firstLineChars="17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lang w:val="en-US" w:eastAsia="zh-CN"/>
              </w:rPr>
              <w:t>2</w:t>
            </w:r>
          </w:p>
        </w:tc>
      </w:tr>
    </w:tbl>
    <w:p>
      <w:pPr>
        <w:snapToGrid w:val="0"/>
        <w:spacing w:line="576" w:lineRule="exact"/>
        <w:ind w:firstLine="640" w:firstLineChars="200"/>
        <w:rPr>
          <w:rFonts w:hint="default" w:ascii="Times New Roman" w:hAnsi="Times New Roman" w:eastAsia="楷体" w:cs="Times New Roman"/>
          <w:color w:val="333333"/>
          <w:kern w:val="0"/>
          <w:sz w:val="32"/>
          <w:szCs w:val="32"/>
        </w:rPr>
      </w:pPr>
      <w:r>
        <w:rPr>
          <w:rFonts w:hint="eastAsia" w:eastAsia="方正楷体_GBK" w:cs="Times New Roman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eastAsia="方正楷体_GBK" w:cs="Times New Roman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lang w:val="en-US" w:eastAsia="zh-CN"/>
        </w:rPr>
        <w:t>检验检测项目概况</w:t>
      </w: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本次抽查涉及的检验检测项目、方法和判定依据分别详见表2。</w:t>
      </w:r>
    </w:p>
    <w:p>
      <w:pPr>
        <w:widowControl/>
        <w:shd w:val="clear" w:color="auto" w:fill="FFFFFF"/>
        <w:spacing w:line="576" w:lineRule="exact"/>
        <w:ind w:firstLine="560" w:firstLineChars="200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表2  插头插座检验项目</w:t>
      </w:r>
    </w:p>
    <w:tbl>
      <w:tblPr>
        <w:tblStyle w:val="6"/>
        <w:tblW w:w="93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2204"/>
        <w:gridCol w:w="2645"/>
        <w:gridCol w:w="3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204" w:type="dxa"/>
            <w:vMerge w:val="restart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检验项目</w:t>
            </w:r>
          </w:p>
        </w:tc>
        <w:tc>
          <w:tcPr>
            <w:tcW w:w="2645" w:type="dxa"/>
            <w:vMerge w:val="restart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判定依据</w:t>
            </w:r>
          </w:p>
        </w:tc>
        <w:tc>
          <w:tcPr>
            <w:tcW w:w="3873" w:type="dxa"/>
            <w:vMerge w:val="restart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检测方法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4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87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标志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尺寸检查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防触电保护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接地措施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固定式插座的结构/延长线插座的结构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耐老化、防有害进水和防潮/（耐老化、由外壳提供的防护和防潮）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绝缘电阻和电气强度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软缆及其连接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耐热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爬电距离、电气间隙和通过密封胶的距离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绝缘材料的耐非常热、耐燃和耐电痕化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2099.1-2008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2099.1-2021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2099.7-2015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GB/T 1002-2021</w:t>
            </w:r>
          </w:p>
        </w:tc>
      </w:tr>
    </w:tbl>
    <w:p>
      <w:pPr>
        <w:pStyle w:val="9"/>
        <w:snapToGrid w:val="0"/>
        <w:spacing w:line="576" w:lineRule="exact"/>
        <w:ind w:firstLine="640" w:firstLineChars="20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三、监督抽查结果分析</w:t>
      </w:r>
    </w:p>
    <w:p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lang w:val="en-US" w:eastAsia="zh-CN"/>
        </w:rPr>
        <w:t>（一）综合分析</w:t>
      </w: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本次监督抽查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插头插座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10批次，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经检验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合格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批次。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不同样品来源抽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结果见表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widowControl/>
        <w:shd w:val="clear" w:color="auto" w:fill="FFFFFF"/>
        <w:spacing w:line="576" w:lineRule="exact"/>
        <w:ind w:firstLine="560" w:firstLineChars="200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表</w:t>
      </w:r>
      <w:r>
        <w:rPr>
          <w:rFonts w:hint="eastAsia" w:eastAsia="仿宋" w:cs="Times New Roman"/>
          <w:sz w:val="28"/>
          <w:szCs w:val="28"/>
          <w:lang w:val="en-US" w:eastAsia="zh-CN"/>
        </w:rPr>
        <w:t xml:space="preserve">3 </w:t>
      </w:r>
      <w:r>
        <w:rPr>
          <w:rFonts w:hint="default" w:ascii="Times New Roman" w:hAnsi="Times New Roman" w:eastAsia="仿宋" w:cs="Times New Roman"/>
          <w:sz w:val="28"/>
          <w:szCs w:val="28"/>
        </w:rPr>
        <w:t>不同样品来源抽</w:t>
      </w:r>
      <w:r>
        <w:rPr>
          <w:rFonts w:hint="eastAsia" w:eastAsia="仿宋" w:cs="Times New Roman"/>
          <w:sz w:val="28"/>
          <w:szCs w:val="28"/>
          <w:lang w:eastAsia="zh-CN"/>
        </w:rPr>
        <w:t>查</w:t>
      </w:r>
      <w:r>
        <w:rPr>
          <w:rFonts w:hint="default" w:ascii="Times New Roman" w:hAnsi="Times New Roman" w:eastAsia="仿宋" w:cs="Times New Roman"/>
          <w:sz w:val="28"/>
          <w:szCs w:val="28"/>
        </w:rPr>
        <w:t>结果</w:t>
      </w:r>
    </w:p>
    <w:tbl>
      <w:tblPr>
        <w:tblStyle w:val="6"/>
        <w:tblW w:w="939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670"/>
        <w:gridCol w:w="2583"/>
        <w:gridCol w:w="21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产品类别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样品来源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抽</w:t>
            </w:r>
            <w:r>
              <w:rPr>
                <w:rFonts w:hint="eastAsia" w:eastAsia="仿宋" w:cs="Times New Roman"/>
                <w:b/>
                <w:bCs w:val="0"/>
                <w:color w:val="333333"/>
                <w:kern w:val="0"/>
                <w:sz w:val="24"/>
                <w:lang w:val="en-US" w:eastAsia="zh-CN"/>
              </w:rPr>
              <w:t>查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批次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合格批次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  <w:jc w:val="center"/>
        </w:trPr>
        <w:tc>
          <w:tcPr>
            <w:tcW w:w="20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eastAsia="zh-CN"/>
              </w:rPr>
              <w:t>插头插座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实体店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34" w:hRule="atLeast"/>
          <w:jc w:val="center"/>
        </w:trPr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电商平台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</w:tr>
    </w:tbl>
    <w:p>
      <w:pPr>
        <w:widowControl/>
        <w:shd w:val="clear" w:color="auto" w:fill="FFFFFF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本次监督抽查共抽取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我市5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县（市、区）的10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批次产品。不同抽查地区抽查结果见表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widowControl/>
        <w:shd w:val="clear" w:color="auto" w:fill="FFFFFF"/>
        <w:spacing w:line="576" w:lineRule="exact"/>
        <w:ind w:firstLine="560" w:firstLineChars="200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表</w:t>
      </w:r>
      <w:r>
        <w:rPr>
          <w:rFonts w:hint="eastAsia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不同</w:t>
      </w:r>
      <w:r>
        <w:rPr>
          <w:rFonts w:hint="eastAsia" w:eastAsia="仿宋" w:cs="Times New Roman"/>
          <w:sz w:val="28"/>
          <w:szCs w:val="28"/>
          <w:lang w:eastAsia="zh-CN"/>
        </w:rPr>
        <w:t>抽查地区</w:t>
      </w:r>
      <w:r>
        <w:rPr>
          <w:rFonts w:hint="default" w:ascii="Times New Roman" w:hAnsi="Times New Roman" w:eastAsia="仿宋" w:cs="Times New Roman"/>
          <w:sz w:val="28"/>
          <w:szCs w:val="28"/>
        </w:rPr>
        <w:t>抽查结果</w:t>
      </w:r>
    </w:p>
    <w:tbl>
      <w:tblPr>
        <w:tblStyle w:val="6"/>
        <w:tblW w:w="937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730"/>
        <w:gridCol w:w="2700"/>
        <w:gridCol w:w="19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产品类别</w:t>
            </w:r>
          </w:p>
        </w:tc>
        <w:tc>
          <w:tcPr>
            <w:tcW w:w="2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抽查地区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抽</w:t>
            </w:r>
            <w:r>
              <w:rPr>
                <w:rFonts w:hint="eastAsia" w:eastAsia="仿宋" w:cs="Times New Roman"/>
                <w:b/>
                <w:bCs w:val="0"/>
                <w:color w:val="333333"/>
                <w:kern w:val="0"/>
                <w:sz w:val="24"/>
                <w:lang w:val="en-US" w:eastAsia="zh-CN"/>
              </w:rPr>
              <w:t>查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批次</w:t>
            </w:r>
          </w:p>
        </w:tc>
        <w:tc>
          <w:tcPr>
            <w:tcW w:w="1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合格批次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" w:cs="Times New Roman"/>
                <w:bCs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eastAsia="仿宋" w:cs="Times New Roman"/>
                <w:bCs/>
                <w:color w:val="333333"/>
                <w:kern w:val="0"/>
                <w:sz w:val="24"/>
                <w:lang w:eastAsia="zh-CN"/>
              </w:rPr>
              <w:t>插头插座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  <w:t>盐都区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eastAsia="仿宋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9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21"/>
                <w:szCs w:val="21"/>
              </w:rPr>
              <w:t>盐南高新区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eastAsia="仿宋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eastAsia="zh-CN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9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21"/>
                <w:szCs w:val="21"/>
              </w:rPr>
              <w:t>大丰区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eastAsia="仿宋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eastAsia="zh-CN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Times New Roman" w:hAnsi="Times New Roman" w:eastAsia="方正仿宋_GBK" w:cs="Times New Roman"/>
                <w:bCs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21"/>
                <w:szCs w:val="21"/>
              </w:rPr>
              <w:t>射阳</w:t>
            </w:r>
            <w:r>
              <w:rPr>
                <w:rFonts w:hint="eastAsia" w:ascii="方正仿宋_GBK" w:hAnsi="宋体" w:eastAsia="方正仿宋_GBK" w:cs="宋体"/>
                <w:kern w:val="2"/>
                <w:sz w:val="21"/>
                <w:szCs w:val="21"/>
                <w:lang w:val="en-US" w:eastAsia="zh-CN"/>
              </w:rPr>
              <w:t>县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eastAsia="仿宋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eastAsia="zh-CN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jc w:val="center"/>
        </w:trPr>
        <w:tc>
          <w:tcPr>
            <w:tcW w:w="19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21"/>
                <w:szCs w:val="21"/>
              </w:rPr>
              <w:t>经济技术开发区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eastAsia="仿宋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7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  <w:t xml:space="preserve">合 </w:t>
            </w:r>
            <w:r>
              <w:rPr>
                <w:rFonts w:hint="eastAsia" w:ascii="Times New Roman" w:hAnsi="Times New Roman" w:eastAsia="仿宋" w:cs="Times New Roman"/>
                <w:bCs/>
                <w:color w:val="333333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  <w:t>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</w:tbl>
    <w:p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lang w:val="en-US" w:eastAsia="zh-CN"/>
        </w:rPr>
        <w:t>（二）检验检测项目分析</w:t>
      </w:r>
    </w:p>
    <w:p>
      <w:pPr>
        <w:spacing w:line="576" w:lineRule="exact"/>
        <w:ind w:firstLine="687" w:firstLineChars="214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检验检测结果</w:t>
      </w: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本次监督抽查共抽查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插头插座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合格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批次。具体检验检测项目分析见表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center"/>
        <w:rPr>
          <w:rFonts w:hint="default" w:ascii="Times New Roman" w:hAnsi="Times New Roman" w:eastAsia="仿宋" w:cs="Times New Roman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表</w:t>
      </w:r>
      <w:r>
        <w:rPr>
          <w:rFonts w:hint="eastAsia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eastAsia" w:eastAsia="仿宋" w:cs="Times New Roman"/>
          <w:sz w:val="28"/>
          <w:szCs w:val="28"/>
          <w:lang w:val="en-US" w:eastAsia="zh-CN"/>
        </w:rPr>
        <w:t>插头插座产品检验项目情况表</w:t>
      </w:r>
    </w:p>
    <w:tbl>
      <w:tblPr>
        <w:tblStyle w:val="6"/>
        <w:tblW w:w="95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522"/>
        <w:gridCol w:w="2070"/>
        <w:gridCol w:w="1881"/>
        <w:gridCol w:w="2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检验项目名称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3"/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sz w:val="24"/>
                <w:szCs w:val="24"/>
              </w:rPr>
              <w:t>检验批次数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合格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  <w:lang w:eastAsia="zh-CN"/>
              </w:rPr>
              <w:t>批次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数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33333"/>
                <w:kern w:val="0"/>
                <w:sz w:val="24"/>
              </w:rPr>
              <w:t>判定依据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标志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2099.1-2021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2099.7-2015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尺寸检查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2099.1-2021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2099.7-2015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防触电保护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2099.1-2021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2099.7-2015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接地措施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2099.1-2021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2099.7-2015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固定式插座的结构/延长线插座的结构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2099.1-2021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2099.7-2015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耐老化、防有害进水和防潮/（耐老化、由外壳提供的防护和防潮）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2099.1-2021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2099.7-2015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绝缘电阻和电气强度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2099.1-2021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2099.7-2015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软缆及其连接</w:t>
            </w:r>
          </w:p>
        </w:tc>
        <w:tc>
          <w:tcPr>
            <w:tcW w:w="20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2099.1-2021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2099.7-2015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耐热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2099.1-2021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2099.7-2015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爬电距离、电气间隙和通过密封胶的距离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2099.1-2021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2099.7-2015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480" w:lineRule="exact"/>
              <w:rPr>
                <w:rFonts w:hint="default" w:ascii="方正仿宋_GBK" w:hAnsi="宋体" w:eastAsia="方正仿宋_GBK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2"/>
                <w:sz w:val="21"/>
                <w:szCs w:val="21"/>
              </w:rPr>
              <w:t>绝缘材料的耐非常热、耐燃和耐电痕化</w:t>
            </w:r>
          </w:p>
        </w:tc>
        <w:tc>
          <w:tcPr>
            <w:tcW w:w="20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2099.1-2021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2099.7-2015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1002-2008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GB/T 1002-2021</w:t>
            </w:r>
          </w:p>
        </w:tc>
      </w:tr>
    </w:tbl>
    <w:p>
      <w:pPr>
        <w:snapToGrid w:val="0"/>
        <w:spacing w:line="540" w:lineRule="exact"/>
        <w:ind w:firstLine="643" w:firstLineChars="200"/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/>
          <w:color w:val="auto"/>
          <w:sz w:val="32"/>
          <w:szCs w:val="32"/>
          <w:lang w:val="en-US" w:eastAsia="zh-CN"/>
        </w:rPr>
        <w:t>.可能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不合格项目分析</w:t>
      </w: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本次抽查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未检出不合格项目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但常见的不合格项目有标志、防触电保护。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以下对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可能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不合格项目进行分析：</w:t>
      </w: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造商或销售商的识别标志缺失或不明确，这可能导致消费者无法正确识别产品的来源和性质。另外，插座型号缺失也可能反映生产企业未能仔细阅读标准，没有意识到提供完整产品信息的重要性。如果插头插座上未用MAX（或最大）一词来完整标识额定电流和/或功率，就不能提醒消费者安全用电，这属于明显的欺诈行为。根据相关国家标准的规定，转换器上应标注额定电流和/或功率，这对于消费者来说是非常重要的安全信息。</w:t>
      </w:r>
    </w:p>
    <w:p>
      <w:pPr>
        <w:widowControl/>
        <w:shd w:val="clear" w:color="auto" w:fill="FFFFFF"/>
        <w:spacing w:line="576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护门探针测试不合格是一个常见的问题。在进行探针测试时，如果保护门的斜边角度过大，或者弹簧弹力过小，探针就可能在测试过程中轻易打开保护门，触及到内部的带电部件。同时，如果保护门宽度与插孔面板边缘间隙过大，测试探针也容易从间隙进入，碰触到带电铜件。固定式插座的结构也可能影响防触电性能。如果固定式插座的结构设计不合理，或者选用了质量较差的软线，出厂检验不严，那么在插拔插头的过程中，就可能出现触电风险。</w:t>
      </w:r>
    </w:p>
    <w:p>
      <w:pPr>
        <w:pStyle w:val="9"/>
        <w:snapToGrid w:val="0"/>
        <w:spacing w:line="540" w:lineRule="exact"/>
        <w:ind w:firstLine="640" w:firstLineChars="20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四、消费建议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检查外包装和铭牌是否有电压、功率和生产单位名称及地址，确定不是三无产品。插头插座是实施国家强制认证产品，所以消费者在购买时一定要注意是否有CCC标识和号码。仔细查看说明书，是否具备了足够的信息和警示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要选择有正规品牌和正规渠道销售的插头插座，避免购买假冒伪劣产品或者贴牌产品。可以通过查询官方网站、查询品牌评价等方式来了解品牌的真实性和质量。在选择品牌时，要根据自己的需求和使用环境来选择符合规格、负载、材质等要求的产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购买插头插座产品时，观察包装是否完整，表面是否有磕碰或破损，信息印刷是否清晰等。检查插座外观，如外壳面板是否光滑、无瑕疵，包装袋上是否包含完整的厂商和产品信息。查看插头的质量，如插头的外观是否光滑，插孔中的铜片色泽是否均匀，重量是否较重。对于产品的标识和说明书也要进行检查。查看产品的额定电压、电流、功率等参数是否符合使用要求，避免使用不当导致安全事故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NWVlNTljOTZmNzBhYWJkNzdiMTdhNDdiNjgyMDYifQ=="/>
  </w:docVars>
  <w:rsids>
    <w:rsidRoot w:val="00000000"/>
    <w:rsid w:val="00381040"/>
    <w:rsid w:val="00A566D5"/>
    <w:rsid w:val="012A5BD8"/>
    <w:rsid w:val="01EF3980"/>
    <w:rsid w:val="021358C1"/>
    <w:rsid w:val="04C80BE4"/>
    <w:rsid w:val="04FE63B4"/>
    <w:rsid w:val="05263B5D"/>
    <w:rsid w:val="0568248A"/>
    <w:rsid w:val="056D178C"/>
    <w:rsid w:val="062C6F51"/>
    <w:rsid w:val="06954AF6"/>
    <w:rsid w:val="07126147"/>
    <w:rsid w:val="072D11D3"/>
    <w:rsid w:val="07424046"/>
    <w:rsid w:val="074F5A1D"/>
    <w:rsid w:val="07762B7A"/>
    <w:rsid w:val="07A33243"/>
    <w:rsid w:val="08C416C3"/>
    <w:rsid w:val="090917CB"/>
    <w:rsid w:val="09723EBB"/>
    <w:rsid w:val="099C263F"/>
    <w:rsid w:val="0AF344E1"/>
    <w:rsid w:val="0B0A5387"/>
    <w:rsid w:val="0C851169"/>
    <w:rsid w:val="0C963376"/>
    <w:rsid w:val="0CA35A93"/>
    <w:rsid w:val="0CAC5AEE"/>
    <w:rsid w:val="0CE57E5A"/>
    <w:rsid w:val="0D51729D"/>
    <w:rsid w:val="0D52009E"/>
    <w:rsid w:val="0D7A67F4"/>
    <w:rsid w:val="10973B61"/>
    <w:rsid w:val="109D1177"/>
    <w:rsid w:val="110B7123"/>
    <w:rsid w:val="11E06E41"/>
    <w:rsid w:val="123C601A"/>
    <w:rsid w:val="13985C26"/>
    <w:rsid w:val="14AA3E63"/>
    <w:rsid w:val="156E30E2"/>
    <w:rsid w:val="15F33970"/>
    <w:rsid w:val="16D57191"/>
    <w:rsid w:val="17591B70"/>
    <w:rsid w:val="17D0541C"/>
    <w:rsid w:val="18233357"/>
    <w:rsid w:val="1853036D"/>
    <w:rsid w:val="185B5474"/>
    <w:rsid w:val="187A1D9E"/>
    <w:rsid w:val="18964231"/>
    <w:rsid w:val="1A3441CE"/>
    <w:rsid w:val="1A495ECC"/>
    <w:rsid w:val="1BE91714"/>
    <w:rsid w:val="1BEA548C"/>
    <w:rsid w:val="1C493F61"/>
    <w:rsid w:val="1CD6156D"/>
    <w:rsid w:val="1CE95744"/>
    <w:rsid w:val="1E874440"/>
    <w:rsid w:val="1EB678A8"/>
    <w:rsid w:val="1F0B3750"/>
    <w:rsid w:val="1FF468DA"/>
    <w:rsid w:val="21366A7E"/>
    <w:rsid w:val="21701F90"/>
    <w:rsid w:val="21AA3516"/>
    <w:rsid w:val="244D6157"/>
    <w:rsid w:val="250273A3"/>
    <w:rsid w:val="261A0A0E"/>
    <w:rsid w:val="265E2CFF"/>
    <w:rsid w:val="26AF70B6"/>
    <w:rsid w:val="26C07516"/>
    <w:rsid w:val="26D11723"/>
    <w:rsid w:val="26E72CF4"/>
    <w:rsid w:val="275A1718"/>
    <w:rsid w:val="275D6B12"/>
    <w:rsid w:val="279649D3"/>
    <w:rsid w:val="27C40159"/>
    <w:rsid w:val="281F026C"/>
    <w:rsid w:val="28846321"/>
    <w:rsid w:val="2886653D"/>
    <w:rsid w:val="28CF14ED"/>
    <w:rsid w:val="29C46023"/>
    <w:rsid w:val="29E654E5"/>
    <w:rsid w:val="2A554419"/>
    <w:rsid w:val="2A8E0AA1"/>
    <w:rsid w:val="2B02634F"/>
    <w:rsid w:val="2B364ABF"/>
    <w:rsid w:val="2BA94A1C"/>
    <w:rsid w:val="2C245E51"/>
    <w:rsid w:val="2C4D184B"/>
    <w:rsid w:val="2C810C45"/>
    <w:rsid w:val="2D1F486A"/>
    <w:rsid w:val="2D7D7F0E"/>
    <w:rsid w:val="2E073C7C"/>
    <w:rsid w:val="2E7F6685"/>
    <w:rsid w:val="30713946"/>
    <w:rsid w:val="30ED147E"/>
    <w:rsid w:val="30F85AFE"/>
    <w:rsid w:val="31AF49E9"/>
    <w:rsid w:val="31F64450"/>
    <w:rsid w:val="32C4075A"/>
    <w:rsid w:val="32E91BA2"/>
    <w:rsid w:val="32F347CF"/>
    <w:rsid w:val="341D7D55"/>
    <w:rsid w:val="34B01D5A"/>
    <w:rsid w:val="351E1037"/>
    <w:rsid w:val="35DE1766"/>
    <w:rsid w:val="361E1B63"/>
    <w:rsid w:val="364F7F6E"/>
    <w:rsid w:val="36985DB9"/>
    <w:rsid w:val="36CC15BF"/>
    <w:rsid w:val="37CB7A12"/>
    <w:rsid w:val="38244B3F"/>
    <w:rsid w:val="396B1563"/>
    <w:rsid w:val="39A71E6F"/>
    <w:rsid w:val="39AB7BB1"/>
    <w:rsid w:val="3A3A2CE3"/>
    <w:rsid w:val="3AA12D62"/>
    <w:rsid w:val="3B5953EB"/>
    <w:rsid w:val="3C3F2833"/>
    <w:rsid w:val="3C6506B1"/>
    <w:rsid w:val="3D5D5666"/>
    <w:rsid w:val="3D624A2B"/>
    <w:rsid w:val="3D7B244D"/>
    <w:rsid w:val="3D850B54"/>
    <w:rsid w:val="3DBA7065"/>
    <w:rsid w:val="3E8F1850"/>
    <w:rsid w:val="3F7E3672"/>
    <w:rsid w:val="3FEE07F8"/>
    <w:rsid w:val="3FFA719D"/>
    <w:rsid w:val="4041301D"/>
    <w:rsid w:val="40810E37"/>
    <w:rsid w:val="40CE4185"/>
    <w:rsid w:val="411C2382"/>
    <w:rsid w:val="41764F49"/>
    <w:rsid w:val="41EA4FEF"/>
    <w:rsid w:val="428C60A6"/>
    <w:rsid w:val="43923B90"/>
    <w:rsid w:val="43A833B4"/>
    <w:rsid w:val="43C537A8"/>
    <w:rsid w:val="43E97C54"/>
    <w:rsid w:val="43F42155"/>
    <w:rsid w:val="44384737"/>
    <w:rsid w:val="44476729"/>
    <w:rsid w:val="446E1F07"/>
    <w:rsid w:val="486C0E54"/>
    <w:rsid w:val="487F0B87"/>
    <w:rsid w:val="49615D90"/>
    <w:rsid w:val="49C61639"/>
    <w:rsid w:val="4A0F5F3A"/>
    <w:rsid w:val="4A17094B"/>
    <w:rsid w:val="4A5E47CC"/>
    <w:rsid w:val="4B1B446B"/>
    <w:rsid w:val="4BA6467C"/>
    <w:rsid w:val="4BC125AC"/>
    <w:rsid w:val="4C107D48"/>
    <w:rsid w:val="4D272165"/>
    <w:rsid w:val="4D693BB4"/>
    <w:rsid w:val="4E1A6C5C"/>
    <w:rsid w:val="4E1E674C"/>
    <w:rsid w:val="4F4B17C3"/>
    <w:rsid w:val="50C54AE1"/>
    <w:rsid w:val="510559A1"/>
    <w:rsid w:val="52AD41CF"/>
    <w:rsid w:val="52B92EE7"/>
    <w:rsid w:val="52D86E22"/>
    <w:rsid w:val="52F97788"/>
    <w:rsid w:val="53130849"/>
    <w:rsid w:val="53E21FCA"/>
    <w:rsid w:val="548968E9"/>
    <w:rsid w:val="548A4B3B"/>
    <w:rsid w:val="54C85664"/>
    <w:rsid w:val="555E1B24"/>
    <w:rsid w:val="556A671B"/>
    <w:rsid w:val="561B7187"/>
    <w:rsid w:val="569D042A"/>
    <w:rsid w:val="56E66275"/>
    <w:rsid w:val="57540C1D"/>
    <w:rsid w:val="57C77E54"/>
    <w:rsid w:val="586438F5"/>
    <w:rsid w:val="58D8399B"/>
    <w:rsid w:val="593C217C"/>
    <w:rsid w:val="59B77A55"/>
    <w:rsid w:val="5AB50438"/>
    <w:rsid w:val="5AD5177C"/>
    <w:rsid w:val="5ADE798F"/>
    <w:rsid w:val="5B1769FD"/>
    <w:rsid w:val="5BE54D4D"/>
    <w:rsid w:val="5C186ED1"/>
    <w:rsid w:val="5CCB5CF1"/>
    <w:rsid w:val="5D5061F6"/>
    <w:rsid w:val="5DD21301"/>
    <w:rsid w:val="5DD46E27"/>
    <w:rsid w:val="5E015742"/>
    <w:rsid w:val="5E135BA1"/>
    <w:rsid w:val="5E5E779A"/>
    <w:rsid w:val="5E824AD5"/>
    <w:rsid w:val="5EC724E8"/>
    <w:rsid w:val="5F841E36"/>
    <w:rsid w:val="605B738C"/>
    <w:rsid w:val="60A63F8D"/>
    <w:rsid w:val="60D84E80"/>
    <w:rsid w:val="611759A9"/>
    <w:rsid w:val="61B74A96"/>
    <w:rsid w:val="622F287E"/>
    <w:rsid w:val="62B66AFB"/>
    <w:rsid w:val="636522D0"/>
    <w:rsid w:val="6388493C"/>
    <w:rsid w:val="63C90AB0"/>
    <w:rsid w:val="646D12F4"/>
    <w:rsid w:val="64963088"/>
    <w:rsid w:val="6533605F"/>
    <w:rsid w:val="66AD46B9"/>
    <w:rsid w:val="67242BCD"/>
    <w:rsid w:val="67FF7197"/>
    <w:rsid w:val="68352BB8"/>
    <w:rsid w:val="69230C63"/>
    <w:rsid w:val="69232A11"/>
    <w:rsid w:val="698C492A"/>
    <w:rsid w:val="6B4C26F3"/>
    <w:rsid w:val="6BA5067C"/>
    <w:rsid w:val="6BCE135A"/>
    <w:rsid w:val="6C0F121C"/>
    <w:rsid w:val="6C41527C"/>
    <w:rsid w:val="6C6E48EB"/>
    <w:rsid w:val="6CA43E69"/>
    <w:rsid w:val="6CFC1EF7"/>
    <w:rsid w:val="6CFE7A1D"/>
    <w:rsid w:val="6D371181"/>
    <w:rsid w:val="6D6C2BD8"/>
    <w:rsid w:val="6D8617C0"/>
    <w:rsid w:val="6DDD3AD6"/>
    <w:rsid w:val="6E2711F5"/>
    <w:rsid w:val="6EFF7A7C"/>
    <w:rsid w:val="6F3C2A7E"/>
    <w:rsid w:val="6F593630"/>
    <w:rsid w:val="6F5E0C47"/>
    <w:rsid w:val="70161521"/>
    <w:rsid w:val="7148570A"/>
    <w:rsid w:val="71CD79BE"/>
    <w:rsid w:val="72125036"/>
    <w:rsid w:val="72275320"/>
    <w:rsid w:val="72367C59"/>
    <w:rsid w:val="72AA50F9"/>
    <w:rsid w:val="72EE0533"/>
    <w:rsid w:val="73E105F6"/>
    <w:rsid w:val="74C57072"/>
    <w:rsid w:val="75023E22"/>
    <w:rsid w:val="75422471"/>
    <w:rsid w:val="75DC0F14"/>
    <w:rsid w:val="75E1612D"/>
    <w:rsid w:val="76E97048"/>
    <w:rsid w:val="7769462C"/>
    <w:rsid w:val="779416A9"/>
    <w:rsid w:val="77C271A8"/>
    <w:rsid w:val="78056103"/>
    <w:rsid w:val="78857244"/>
    <w:rsid w:val="78B47B29"/>
    <w:rsid w:val="79177954"/>
    <w:rsid w:val="79621333"/>
    <w:rsid w:val="7BA2383D"/>
    <w:rsid w:val="7C7C095E"/>
    <w:rsid w:val="7C7F1785"/>
    <w:rsid w:val="7D671C4B"/>
    <w:rsid w:val="7D713C29"/>
    <w:rsid w:val="7DA57A41"/>
    <w:rsid w:val="7DF05160"/>
    <w:rsid w:val="7E1C41A7"/>
    <w:rsid w:val="7E2C223B"/>
    <w:rsid w:val="7E4C610E"/>
    <w:rsid w:val="7EBC7738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1"/>
    <w:qFormat/>
    <w:uiPriority w:val="99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19"/>
    <w:basedOn w:val="1"/>
    <w:next w:val="3"/>
    <w:qFormat/>
    <w:uiPriority w:val="0"/>
    <w:rPr>
      <w:rFonts w:ascii="宋体" w:hAnsi="Courier New"/>
      <w:szCs w:val="20"/>
    </w:rPr>
  </w:style>
  <w:style w:type="paragraph" w:customStyle="1" w:styleId="10">
    <w:name w:val="表格"/>
    <w:basedOn w:val="1"/>
    <w:qFormat/>
    <w:uiPriority w:val="0"/>
    <w:pPr>
      <w:widowControl/>
      <w:autoSpaceDE/>
      <w:autoSpaceDN/>
      <w:adjustRightInd/>
      <w:spacing w:line="240" w:lineRule="atLeast"/>
      <w:jc w:val="center"/>
    </w:pPr>
    <w:rPr>
      <w:rFonts w:hAnsi="宋体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2906</Words>
  <Characters>4988</Characters>
  <Lines>0</Lines>
  <Paragraphs>0</Paragraphs>
  <TotalTime>91</TotalTime>
  <ScaleCrop>false</ScaleCrop>
  <LinksUpToDate>false</LinksUpToDate>
  <CharactersWithSpaces>5161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2023-04-18T02:06:00Z</dcterms:created>
  <dc:creator>76306</dc:creator>
  <cp:lastModifiedBy>Dopamine</cp:lastModifiedBy>
  <cp:lastPrinted>2023-04-25T02:52:00Z</cp:lastPrinted>
  <dcterms:modified xsi:type="dcterms:W3CDTF">2023-10-13T08:34:13Z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AD7C917BB34A4C758563B9051B55639D_13</vt:lpwstr>
  </property>
</Properties>
</file>