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不合格项目说明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一、产品标识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产品标识作为通过文字、图形、符号等说明产品质量、使用方法及其他内容的一种信息载体,不仅是生产经营者对产品质量做出的一种承诺，也是对产品性能、用途、注意事项的说明。完整的标识标签不仅可以传递质量安全信息、确保可追溯性、保护知情消费权、指导使用者正确使用，同时还可以降低交易成本、规避风险等。标准GB/T 20808《纸巾纸》、GB/T 8939《卫生巾（护垫）》等产品标准规定，标签标识需要包括产品名称、执行标准代号、生产日期和保质期或生产批号和限用日期、产品规格等内容。抽查发现部分纸及纸制品未正确标注产品名称、未标注产品执行标准编号、未标注生产日期和保质期或生产批号和限用日期、未正确标注产品规格等，产品标识项目不符合标准要求，增加了消费者购买不合格产品和不能正确使用产品的风险，造成消费者安全风险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二、允许短缺量、内装量短缺量、</w:t>
      </w:r>
      <w:r>
        <w:rPr>
          <w:rFonts w:eastAsia="黑体"/>
          <w:sz w:val="30"/>
          <w:szCs w:val="30"/>
        </w:rPr>
        <w:t>净含量（短缺量）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允许短缺量、内装量短缺量、净含量（短缺量）反映的是纸制品实际内装数量与产品包装标识（标称数量）不符合的情况，依据产品执行相关标准要求和产品标称数量，短缺量不得大于标准规定的最大短缺量，该项目不合格侵害了消费者利益。</w:t>
      </w:r>
    </w:p>
    <w:p>
      <w:pPr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三、纵向湿抗张强度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纵向湿抗张强度是考核纸巾纸强度性能的重要技术指标，反映纸巾纸在湿态情况下纵向承受拉力的大小。GB/T 20808-2011《纸巾纸》标准规定：质量等级为合格品的产品纵向湿抗张强度≥10.0N/m，若纸巾纸强度太低，则在使用过程中容易破裂、溃烂，导致纸屑、纸毛粘在皮肤上等问题，影响消费者对产品的使用。</w:t>
      </w:r>
    </w:p>
    <w:p>
      <w:pPr>
        <w:spacing w:line="52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四、pH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pH是反映湿巾产品可能对皮肤造成的刺激性指标，GB/T 27728-2011《湿巾》标准中规定pH为3.5~8.5，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如果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pH值不符合标准要求，在使用过程中可能对人的皮肤产生刺激性。</w:t>
      </w:r>
    </w:p>
    <w:p>
      <w:pPr>
        <w:spacing w:line="52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五、渗透性能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渗透性能（回渗量）反映纸尿裤吸收尿液后的干爽程度。GB/T 28004-2011《纸尿裤（片、垫）》标准中规定成人纸尿裤回渗量≤20.0g，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该项目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不符合标准要求，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易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导致消费者在使用过程中皮肤潮湿、不舒适，影响皮肤健康。</w:t>
      </w:r>
    </w:p>
    <w:p/>
    <w:sectPr>
      <w:pgSz w:w="11906" w:h="16838"/>
      <w:pgMar w:top="1417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4DB64DA"/>
    <w:rsid w:val="54D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860</Characters>
  <Lines>0</Lines>
  <Paragraphs>0</Paragraphs>
  <TotalTime>0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2023-07-27T02:24:00Z</dcterms:created>
  <dc:creator>小杜儿～</dc:creator>
  <cp:lastModifiedBy>小杜儿～</cp:lastModifiedBy>
  <dcterms:modified xsi:type="dcterms:W3CDTF">2023-07-27T02:24:59Z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3E684683FAB7497FBDFE153B7E210316_11</vt:lpwstr>
  </property>
</Properties>
</file>