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bidi w:val="0"/>
        <w:adjustRightInd/>
        <w:snapToGrid/>
        <w:spacing w:line="560" w:lineRule="exact"/>
        <w:jc w:val="both"/>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附件1</w:t>
      </w:r>
    </w:p>
    <w:p>
      <w:pPr>
        <w:pStyle w:val="7"/>
        <w:keepNext w:val="0"/>
        <w:keepLines w:val="0"/>
        <w:pageBreakBefore w:val="0"/>
        <w:widowControl/>
        <w:kinsoku/>
        <w:wordWrap w:val="0"/>
        <w:overflowPunct/>
        <w:topLinePunct w:val="0"/>
        <w:autoSpaceDE/>
        <w:bidi w:val="0"/>
        <w:adjustRightInd/>
        <w:snapToGrid/>
        <w:spacing w:before="0" w:beforeLines="0" w:beforeAutospacing="0" w:after="0" w:afterLines="0" w:afterAutospacing="0" w:line="560" w:lineRule="exact"/>
        <w:jc w:val="both"/>
        <w:textAlignment w:val="auto"/>
        <w:rPr>
          <w:rFonts w:hint="eastAsia" w:ascii="宋体" w:hAnsi="宋体"/>
          <w:color w:val="000000" w:themeColor="text1"/>
          <w:sz w:val="32"/>
          <w:szCs w:val="32"/>
          <w:u w:val="none"/>
          <w14:textFill>
            <w14:solidFill>
              <w14:schemeClr w14:val="tx1"/>
            </w14:solidFill>
          </w14:textFill>
        </w:rPr>
      </w:pPr>
    </w:p>
    <w:p>
      <w:pPr>
        <w:pStyle w:val="7"/>
        <w:keepNext w:val="0"/>
        <w:keepLines w:val="0"/>
        <w:pageBreakBefore w:val="0"/>
        <w:widowControl/>
        <w:kinsoku/>
        <w:wordWrap w:val="0"/>
        <w:overflowPunct/>
        <w:topLinePunct w:val="0"/>
        <w:autoSpaceDE/>
        <w:bidi w:val="0"/>
        <w:adjustRightInd/>
        <w:snapToGrid/>
        <w:spacing w:before="0" w:beforeLines="0" w:beforeAutospacing="0" w:after="0" w:afterLines="0" w:afterAutospacing="0" w:line="560" w:lineRule="exact"/>
        <w:jc w:val="center"/>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r>
        <w:rPr>
          <w:rFonts w:hint="eastAsia" w:ascii="方正小标宋简体" w:eastAsia="方正小标宋简体"/>
          <w:color w:val="000000" w:themeColor="text1"/>
          <w:spacing w:val="-12"/>
          <w:sz w:val="44"/>
          <w:szCs w:val="44"/>
          <w:u w:val="none"/>
          <w14:textFill>
            <w14:solidFill>
              <w14:schemeClr w14:val="tx1"/>
            </w14:solidFill>
          </w14:textFill>
        </w:rPr>
        <w:t>部分不合格项目的小知识</w:t>
      </w:r>
    </w:p>
    <w:p>
      <w:pPr>
        <w:pStyle w:val="7"/>
        <w:keepNext w:val="0"/>
        <w:keepLines w:val="0"/>
        <w:pageBreakBefore w:val="0"/>
        <w:widowControl/>
        <w:kinsoku/>
        <w:wordWrap w:val="0"/>
        <w:overflowPunct/>
        <w:topLinePunct w:val="0"/>
        <w:autoSpaceDE/>
        <w:bidi w:val="0"/>
        <w:adjustRightInd/>
        <w:snapToGrid/>
        <w:spacing w:before="0" w:beforeLines="0" w:beforeAutospacing="0" w:after="0" w:afterLines="0" w:afterAutospacing="0" w:line="560" w:lineRule="exact"/>
        <w:jc w:val="both"/>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p>
    <w:p>
      <w:pPr>
        <w:pStyle w:val="7"/>
        <w:widowControl/>
        <w:wordWrap w:val="0"/>
        <w:spacing w:before="0" w:beforeAutospacing="0" w:after="0" w:afterAutospacing="0" w:line="600" w:lineRule="exact"/>
        <w:ind w:firstLine="640" w:firstLineChars="200"/>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pPr>
      <w:r>
        <w:rPr>
          <w:rFonts w:hint="eastAsia" w:eastAsia="黑体" w:cs="黑体"/>
          <w:color w:val="000000" w:themeColor="text1"/>
          <w:kern w:val="2"/>
          <w:sz w:val="32"/>
          <w:szCs w:val="32"/>
          <w:u w:val="none"/>
          <w:lang w:val="en-US" w:eastAsia="zh-CN" w:bidi="ar-SA"/>
          <w14:textFill>
            <w14:solidFill>
              <w14:schemeClr w14:val="tx1"/>
            </w14:solidFill>
          </w14:textFill>
        </w:rPr>
        <w:t>一、</w:t>
      </w:r>
      <w:r>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t>恩诺沙星</w:t>
      </w:r>
    </w:p>
    <w:p>
      <w:pPr>
        <w:pStyle w:val="7"/>
        <w:widowControl/>
        <w:wordWrap w:val="0"/>
        <w:spacing w:before="0" w:beforeAutospacing="0" w:after="0" w:afterAutospacing="0" w:line="600" w:lineRule="exact"/>
        <w:ind w:firstLine="640"/>
        <w:rPr>
          <w:rFonts w:hint="default" w:ascii="仿宋" w:hAnsi="仿宋" w:eastAsia="仿宋" w:cs="仿宋_GB2312"/>
          <w:color w:val="000000" w:themeColor="text1"/>
          <w:kern w:val="2"/>
          <w:sz w:val="32"/>
          <w:szCs w:val="32"/>
          <w:u w:val="none"/>
          <w14:textFill>
            <w14:solidFill>
              <w14:schemeClr w14:val="tx1"/>
            </w14:solidFill>
          </w14:textFill>
        </w:rPr>
      </w:pPr>
      <w:r>
        <w:rPr>
          <w:rFonts w:hint="default" w:ascii="仿宋" w:hAnsi="仿宋" w:eastAsia="仿宋" w:cs="仿宋_GB2312"/>
          <w:color w:val="000000" w:themeColor="text1"/>
          <w:kern w:val="2"/>
          <w:sz w:val="32"/>
          <w:szCs w:val="32"/>
          <w:u w:val="none"/>
          <w14:textFill>
            <w14:solidFill>
              <w14:schemeClr w14:val="tx1"/>
            </w14:solidFill>
          </w14:textFill>
        </w:rPr>
        <w:t>恩诺沙星属第三代喹诺酮类药物，是一类人工合成的广谱抗菌药，用于治疗动物的皮肤感染、呼吸道感染等，是动物专属用药。动物源性食品中恩诺沙星超标的原因，可能是在养殖过程中为快速控制疫病，养殖户违规加大用药量或不遵守休药期规定，致使产品上市销售时药物残留超标。</w:t>
      </w:r>
    </w:p>
    <w:p>
      <w:pPr>
        <w:pStyle w:val="7"/>
        <w:keepNext w:val="0"/>
        <w:keepLines w:val="0"/>
        <w:pageBreakBefore w:val="0"/>
        <w:widowControl/>
        <w:kinsoku/>
        <w:wordWrap w:val="0"/>
        <w:overflowPunct/>
        <w:topLinePunct w:val="0"/>
        <w:autoSpaceDE/>
        <w:bidi w:val="0"/>
        <w:adjustRightInd/>
        <w:snapToGrid/>
        <w:spacing w:before="0" w:beforeLines="0" w:beforeAutospacing="0" w:after="0" w:afterLines="0" w:afterAutospacing="0" w:line="560" w:lineRule="exact"/>
        <w:ind w:firstLine="640"/>
        <w:textAlignment w:val="auto"/>
        <w:rPr>
          <w:rFonts w:hint="eastAsia" w:ascii="黑体" w:hAnsi="黑体" w:eastAsia="黑体" w:cs="仿宋_GB2312"/>
          <w:color w:val="000000" w:themeColor="text1"/>
          <w:kern w:val="2"/>
          <w:sz w:val="32"/>
          <w:szCs w:val="32"/>
          <w:u w:val="none"/>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二、</w:t>
      </w:r>
      <w:r>
        <w:rPr>
          <w:rFonts w:hint="eastAsia" w:ascii="黑体" w:hAnsi="黑体" w:eastAsia="黑体" w:cs="仿宋_GB2312"/>
          <w:color w:val="000000" w:themeColor="text1"/>
          <w:kern w:val="2"/>
          <w:sz w:val="32"/>
          <w:szCs w:val="32"/>
          <w:u w:val="none"/>
          <w14:textFill>
            <w14:solidFill>
              <w14:schemeClr w14:val="tx1"/>
            </w14:solidFill>
          </w14:textFill>
        </w:rPr>
        <w:t>酒精度</w:t>
      </w:r>
    </w:p>
    <w:p>
      <w:pPr>
        <w:keepNext w:val="0"/>
        <w:keepLines w:val="0"/>
        <w:pageBreakBefore w:val="0"/>
        <w:kinsoku/>
        <w:overflowPunct/>
        <w:topLinePunct w:val="0"/>
        <w:autoSpaceDE/>
        <w:bidi w:val="0"/>
        <w:adjustRightInd/>
        <w:snapToGrid/>
        <w:spacing w:line="560" w:lineRule="exact"/>
        <w:ind w:firstLine="640" w:firstLineChars="200"/>
        <w:contextualSpacing/>
        <w:textAlignment w:val="auto"/>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酒精度又叫酒度，是指在20℃时，100毫升酒中含有乙醇（酒精）的毫升数，即体积（容量）的百分数。酒精度是酒类产品的一个重要理化指标，含量不达标主要影响产品的品质。</w:t>
      </w:r>
      <w:r>
        <w:rPr>
          <w:rFonts w:hint="eastAsia" w:ascii="Times New Roman" w:hAnsi="Times New Roman" w:eastAsia="仿宋_GB2312" w:cs="Times New Roman"/>
          <w:color w:val="000000" w:themeColor="text1"/>
          <w:kern w:val="0"/>
          <w:sz w:val="32"/>
          <w:szCs w:val="32"/>
          <w14:textFill>
            <w14:solidFill>
              <w14:schemeClr w14:val="tx1"/>
            </w14:solidFill>
          </w14:textFill>
        </w:rPr>
        <w:t>酒类中</w:t>
      </w:r>
      <w:r>
        <w:rPr>
          <w:rFonts w:ascii="Times New Roman" w:hAnsi="Times New Roman" w:eastAsia="仿宋_GB2312" w:cs="Times New Roman"/>
          <w:color w:val="000000" w:themeColor="text1"/>
          <w:kern w:val="0"/>
          <w:sz w:val="32"/>
          <w:szCs w:val="32"/>
          <w14:textFill>
            <w14:solidFill>
              <w14:schemeClr w14:val="tx1"/>
            </w14:solidFill>
          </w14:textFill>
        </w:rPr>
        <w:t>酒精度未达到产品标签明示要求的原因，</w:t>
      </w:r>
      <w:r>
        <w:rPr>
          <w:rFonts w:ascii="Times New Roman" w:hAnsi="Times New Roman" w:eastAsia="仿宋_GB2312" w:cs="Times New Roman"/>
          <w:color w:val="000000" w:themeColor="text1"/>
          <w:sz w:val="32"/>
          <w:szCs w:val="32"/>
          <w14:textFill>
            <w14:solidFill>
              <w14:schemeClr w14:val="tx1"/>
            </w14:solidFill>
          </w14:textFill>
        </w:rPr>
        <w:t>可能是个别企业生产工艺控制不严格或生产工艺水平较低，无法准确控制酒精度；也</w:t>
      </w:r>
      <w:r>
        <w:rPr>
          <w:rFonts w:ascii="Times New Roman" w:hAnsi="Times New Roman" w:eastAsia="仿宋_GB2312" w:cs="Times New Roman"/>
          <w:color w:val="000000" w:themeColor="text1"/>
          <w:kern w:val="0"/>
          <w:sz w:val="32"/>
          <w:szCs w:val="32"/>
          <w14:textFill>
            <w14:solidFill>
              <w14:schemeClr w14:val="tx1"/>
            </w14:solidFill>
          </w14:textFill>
        </w:rPr>
        <w:t>可能是生产企业检验器具未检定或检验过程不规范，造成检验结果有偏差；还可能是包装不严密造成酒精挥发</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p>
    <w:p>
      <w:pPr>
        <w:keepNext w:val="0"/>
        <w:keepLines w:val="0"/>
        <w:pageBreakBefore w:val="0"/>
        <w:widowControl/>
        <w:suppressLineNumbers w:val="0"/>
        <w:kinsoku/>
        <w:overflowPunct/>
        <w:topLinePunct w:val="0"/>
        <w:autoSpaceDE/>
        <w:bidi w:val="0"/>
        <w:adjustRightInd/>
        <w:snapToGrid/>
        <w:spacing w:line="560" w:lineRule="exact"/>
        <w:ind w:firstLine="640" w:firstLineChars="200"/>
        <w:jc w:val="both"/>
        <w:textAlignment w:val="auto"/>
        <w:rPr>
          <w:rFonts w:hint="default" w:ascii="黑体" w:hAnsi="黑体" w:eastAsia="黑体" w:cs="Times New Roman"/>
          <w:color w:val="000000"/>
          <w:kern w:val="2"/>
          <w:sz w:val="32"/>
          <w:szCs w:val="32"/>
          <w:u w:val="none"/>
          <w:lang w:val="en-US" w:eastAsia="zh-CN" w:bidi="ar-SA"/>
        </w:rPr>
      </w:pPr>
      <w:r>
        <w:rPr>
          <w:rFonts w:hint="eastAsia" w:ascii="黑体" w:hAnsi="黑体" w:eastAsia="黑体" w:cs="Times New Roman"/>
          <w:color w:val="000000"/>
          <w:kern w:val="2"/>
          <w:sz w:val="32"/>
          <w:szCs w:val="32"/>
          <w:u w:val="none"/>
          <w:lang w:val="en-US" w:eastAsia="zh-CN" w:bidi="ar-SA"/>
        </w:rPr>
        <w:t>三、</w:t>
      </w:r>
      <w:r>
        <w:rPr>
          <w:rFonts w:hint="default" w:ascii="黑体" w:hAnsi="黑体" w:eastAsia="黑体" w:cs="Times New Roman"/>
          <w:color w:val="000000"/>
          <w:kern w:val="2"/>
          <w:sz w:val="32"/>
          <w:szCs w:val="32"/>
          <w:u w:val="none"/>
          <w:lang w:val="en-US" w:eastAsia="zh-CN" w:bidi="ar-SA"/>
        </w:rPr>
        <w:t>噻虫胺</w:t>
      </w:r>
    </w:p>
    <w:p>
      <w:pPr>
        <w:pStyle w:val="7"/>
        <w:keepNext w:val="0"/>
        <w:keepLines w:val="0"/>
        <w:pageBreakBefore w:val="0"/>
        <w:widowControl/>
        <w:numPr>
          <w:ilvl w:val="0"/>
          <w:numId w:val="0"/>
        </w:numPr>
        <w:kinsoku/>
        <w:wordWrap w:val="0"/>
        <w:overflowPunct/>
        <w:topLinePunct w:val="0"/>
        <w:autoSpaceDE/>
        <w:bidi w:val="0"/>
        <w:adjustRightInd/>
        <w:snapToGrid/>
        <w:spacing w:before="0" w:beforeLines="0" w:beforeAutospacing="0" w:after="0" w:afterLines="0" w:afterAutospacing="0" w:line="560" w:lineRule="exact"/>
        <w:ind w:right="0" w:rightChars="0" w:firstLine="640" w:firstLineChars="200"/>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噻虫胺是一种有机化合物，是新烟碱类中的一种杀虫剂，是一类高效安全、高选择性的新型杀虫剂。该药具有高效广谱、毒性较低等优点。蔬菜等农产品中噻虫胺残留量超标，可能为种植者未严格按照《食品安全国家标准 食品中农药最大残留限量》（GB 2763—2021）中规定用量使用，或者使用后未严格落实农药使用后安全间隔期有关规定而导致。</w:t>
      </w:r>
    </w:p>
    <w:p>
      <w:pPr>
        <w:keepNext w:val="0"/>
        <w:keepLines w:val="0"/>
        <w:pageBreakBefore w:val="0"/>
        <w:kinsoku/>
        <w:overflowPunct/>
        <w:topLinePunct w:val="0"/>
        <w:autoSpaceDE/>
        <w:bidi w:val="0"/>
        <w:snapToGrid/>
        <w:spacing w:line="560" w:lineRule="exact"/>
        <w:ind w:firstLine="592" w:firstLineChars="200"/>
        <w:jc w:val="both"/>
        <w:textAlignment w:val="auto"/>
        <w:rPr>
          <w:rFonts w:ascii="黑体" w:hAnsi="黑体" w:eastAsia="黑体"/>
          <w:spacing w:val="-12"/>
          <w:sz w:val="32"/>
          <w:szCs w:val="32"/>
        </w:rPr>
      </w:pPr>
      <w:r>
        <w:rPr>
          <w:rFonts w:hint="eastAsia" w:ascii="黑体" w:hAnsi="黑体" w:eastAsia="黑体"/>
          <w:spacing w:val="-12"/>
          <w:sz w:val="32"/>
          <w:szCs w:val="32"/>
          <w:lang w:val="en-US" w:eastAsia="zh-CN"/>
        </w:rPr>
        <w:t>四、</w:t>
      </w:r>
      <w:r>
        <w:rPr>
          <w:rFonts w:hint="eastAsia" w:ascii="黑体" w:hAnsi="黑体" w:eastAsia="黑体"/>
          <w:spacing w:val="-12"/>
          <w:sz w:val="32"/>
          <w:szCs w:val="32"/>
        </w:rPr>
        <w:t>铅（以Pb计）</w:t>
      </w:r>
    </w:p>
    <w:p>
      <w:pPr>
        <w:keepNext w:val="0"/>
        <w:keepLines w:val="0"/>
        <w:pageBreakBefore w:val="0"/>
        <w:kinsoku/>
        <w:overflowPunct/>
        <w:topLinePunct w:val="0"/>
        <w:autoSpaceDE/>
        <w:bidi w:val="0"/>
        <w:adjustRightInd/>
        <w:snapToGrid/>
        <w:spacing w:line="520" w:lineRule="exact"/>
        <w:ind w:firstLine="640" w:firstLineChars="200"/>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铅是常见的重金属污染物。造成铅污染的原因可能是食品生产企业在食品生产加工过程中，原辅料、包装材料、加工设备、容器中的铅迁移带入食品；也可能是食用农产品在生长过程中通过土壤、空气、水等途径导致铅污染，例如含铅的废水废渣排放污染水体和土壤后，进而污染生长中的食用农产品。食用农产品中的铅超标可能是其生长环境中的铅污染而导致。</w:t>
      </w:r>
    </w:p>
    <w:p>
      <w:pPr>
        <w:keepNext w:val="0"/>
        <w:keepLines w:val="0"/>
        <w:pageBreakBefore w:val="0"/>
        <w:kinsoku/>
        <w:overflowPunct/>
        <w:topLinePunct w:val="0"/>
        <w:autoSpaceDE/>
        <w:bidi w:val="0"/>
        <w:adjustRightInd/>
        <w:snapToGrid/>
        <w:spacing w:line="520" w:lineRule="exact"/>
        <w:ind w:firstLine="640" w:firstLineChars="200"/>
        <w:textAlignment w:val="auto"/>
        <w:rPr>
          <w:rFonts w:hint="default" w:ascii="黑体" w:hAnsi="黑体" w:eastAsia="黑体" w:cs="Times New Roman"/>
          <w:color w:val="000000"/>
          <w:kern w:val="2"/>
          <w:sz w:val="32"/>
          <w:szCs w:val="32"/>
          <w:u w:val="none"/>
          <w:lang w:val="en-US" w:eastAsia="zh-CN" w:bidi="ar-SA"/>
        </w:rPr>
      </w:pPr>
      <w:r>
        <w:rPr>
          <w:rFonts w:hint="eastAsia" w:ascii="黑体" w:hAnsi="黑体" w:eastAsia="黑体" w:cs="Times New Roman"/>
          <w:color w:val="000000"/>
          <w:kern w:val="2"/>
          <w:sz w:val="32"/>
          <w:szCs w:val="32"/>
          <w:u w:val="none"/>
          <w:lang w:val="en-US" w:eastAsia="zh-CN" w:bidi="ar-SA"/>
        </w:rPr>
        <w:t>五、</w:t>
      </w:r>
      <w:r>
        <w:rPr>
          <w:rFonts w:hint="default" w:ascii="黑体" w:hAnsi="黑体" w:eastAsia="黑体" w:cs="Times New Roman"/>
          <w:color w:val="000000"/>
          <w:kern w:val="2"/>
          <w:sz w:val="32"/>
          <w:szCs w:val="32"/>
          <w:u w:val="none"/>
          <w:lang w:val="en-US" w:eastAsia="zh-CN" w:bidi="ar-SA"/>
        </w:rPr>
        <w:t>脱氢乙酸及其钠盐(以脱氢乙酸计)</w:t>
      </w:r>
    </w:p>
    <w:p>
      <w:pPr>
        <w:pStyle w:val="7"/>
        <w:keepNext w:val="0"/>
        <w:keepLines w:val="0"/>
        <w:pageBreakBefore w:val="0"/>
        <w:widowControl/>
        <w:kinsoku/>
        <w:wordWrap w:val="0"/>
        <w:overflowPunct/>
        <w:topLinePunct w:val="0"/>
        <w:autoSpaceDE/>
        <w:bidi w:val="0"/>
        <w:adjustRightInd/>
        <w:snapToGrid/>
        <w:spacing w:before="0" w:beforeAutospacing="0" w:after="0" w:afterAutospacing="0" w:line="520" w:lineRule="exact"/>
        <w:ind w:firstLine="640"/>
        <w:textAlignment w:val="auto"/>
        <w:rPr>
          <w:rFonts w:hint="eastAsia" w:ascii="仿宋" w:hAnsi="仿宋" w:eastAsia="仿宋" w:cs="仿宋_GB2312"/>
          <w:color w:val="000000"/>
          <w:kern w:val="2"/>
          <w:sz w:val="32"/>
          <w:szCs w:val="32"/>
          <w:u w:val="none"/>
          <w:lang w:eastAsia="zh-CN"/>
        </w:rPr>
      </w:pPr>
      <w:r>
        <w:rPr>
          <w:rFonts w:hint="eastAsia" w:ascii="仿宋" w:hAnsi="仿宋" w:eastAsia="仿宋" w:cs="仿宋_GB2312"/>
          <w:color w:val="000000"/>
          <w:kern w:val="2"/>
          <w:sz w:val="32"/>
          <w:szCs w:val="32"/>
          <w:u w:val="none"/>
          <w:lang w:val="en-US" w:eastAsia="zh-CN"/>
        </w:rPr>
        <w:t>脱氢乙酸及其钠盐作为防腐剂被广泛用于食品生产领域的食品添加剂，它能延长产品的保质期。</w:t>
      </w:r>
      <w:r>
        <w:rPr>
          <w:rFonts w:hint="eastAsia" w:ascii="仿宋" w:hAnsi="仿宋" w:eastAsia="仿宋" w:cs="仿宋_GB2312"/>
          <w:color w:val="000000"/>
          <w:kern w:val="2"/>
          <w:sz w:val="32"/>
          <w:szCs w:val="32"/>
          <w:u w:val="none"/>
        </w:rPr>
        <w:t>脱氢乙酸及其钠盐作为一种广谱食品防腐剂，毒性较低</w:t>
      </w:r>
      <w:r>
        <w:rPr>
          <w:rFonts w:hint="eastAsia" w:ascii="仿宋" w:hAnsi="仿宋" w:eastAsia="仿宋" w:cs="仿宋_GB2312"/>
          <w:color w:val="000000"/>
          <w:kern w:val="2"/>
          <w:sz w:val="32"/>
          <w:szCs w:val="32"/>
          <w:u w:val="none"/>
          <w:lang w:eastAsia="zh-CN"/>
        </w:rPr>
        <w:t>。</w:t>
      </w:r>
      <w:r>
        <w:rPr>
          <w:rFonts w:hint="eastAsia" w:ascii="仿宋" w:hAnsi="仿宋" w:eastAsia="仿宋" w:cs="仿宋_GB2312"/>
          <w:color w:val="000000"/>
          <w:kern w:val="2"/>
          <w:sz w:val="32"/>
          <w:szCs w:val="32"/>
          <w:u w:val="none"/>
        </w:rPr>
        <w:t>脱氢乙酸超标的原因可能是个别企业为防止食品腐败变质，超量使用了该添加剂，或者其使用的复配添加剂中该添加剂含量较高</w:t>
      </w:r>
      <w:r>
        <w:rPr>
          <w:rFonts w:hint="eastAsia" w:ascii="仿宋" w:hAnsi="仿宋" w:eastAsia="仿宋" w:cs="仿宋_GB2312"/>
          <w:color w:val="000000"/>
          <w:kern w:val="2"/>
          <w:sz w:val="32"/>
          <w:szCs w:val="32"/>
          <w:u w:val="none"/>
          <w:lang w:eastAsia="zh-CN"/>
        </w:rPr>
        <w:t>。</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六、糖精钠</w:t>
      </w:r>
    </w:p>
    <w:p>
      <w:pPr>
        <w:pStyle w:val="7"/>
        <w:widowControl/>
        <w:wordWrap w:val="0"/>
        <w:spacing w:before="0" w:beforeAutospacing="0" w:after="0" w:afterAutospacing="0" w:line="600" w:lineRule="exact"/>
        <w:ind w:firstLine="640" w:firstLineChars="200"/>
        <w:rPr>
          <w:rFonts w:hint="default" w:ascii="仿宋" w:hAnsi="仿宋" w:eastAsia="仿宋" w:cs="仿宋_GB2312"/>
          <w:color w:val="000000" w:themeColor="text1"/>
          <w:kern w:val="2"/>
          <w:sz w:val="32"/>
          <w:szCs w:val="32"/>
          <w:u w:val="none"/>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14:textFill>
            <w14:solidFill>
              <w14:schemeClr w14:val="tx1"/>
            </w14:solidFill>
          </w14:textFill>
        </w:rPr>
        <w:t>糖精钠是一种甜味剂，为增强食品的味觉效果，糖精钠通常被用在这类产品生产加工过程中。其不合格的主要原因为：原辅材料质量控制不严，盲目使用一些成份不明确的复合添加剂，造成糖精钠超标。</w:t>
      </w:r>
    </w:p>
    <w:p>
      <w:pPr>
        <w:pStyle w:val="7"/>
        <w:keepNext w:val="0"/>
        <w:keepLines w:val="0"/>
        <w:pageBreakBefore w:val="0"/>
        <w:widowControl/>
        <w:kinsoku/>
        <w:wordWrap w:val="0"/>
        <w:overflowPunct/>
        <w:topLinePunct w:val="0"/>
        <w:autoSpaceDE/>
        <w:bidi w:val="0"/>
        <w:snapToGrid/>
        <w:spacing w:before="0" w:beforeLines="0" w:beforeAutospacing="0" w:after="0" w:afterLines="0" w:afterAutospacing="0" w:line="560" w:lineRule="exact"/>
        <w:ind w:firstLine="640"/>
        <w:jc w:val="both"/>
        <w:textAlignment w:val="auto"/>
        <w:rPr>
          <w:rFonts w:hint="default" w:ascii="黑体" w:hAnsi="黑体" w:eastAsia="黑体" w:cs="仿宋_GB2312"/>
          <w:color w:val="auto"/>
          <w:kern w:val="2"/>
          <w:sz w:val="32"/>
          <w:szCs w:val="32"/>
          <w:u w:val="none"/>
          <w:lang w:val="en-US" w:eastAsia="zh-CN" w:bidi="ar-SA"/>
        </w:rPr>
      </w:pPr>
      <w:r>
        <w:rPr>
          <w:rFonts w:hint="eastAsia" w:ascii="黑体" w:hAnsi="黑体" w:eastAsia="黑体" w:cs="仿宋_GB2312"/>
          <w:color w:val="auto"/>
          <w:kern w:val="2"/>
          <w:sz w:val="32"/>
          <w:szCs w:val="32"/>
          <w:u w:val="none"/>
          <w:lang w:val="en-US" w:eastAsia="zh-CN" w:bidi="ar-SA"/>
        </w:rPr>
        <w:t>七、腐霉利</w:t>
      </w:r>
    </w:p>
    <w:p>
      <w:pPr>
        <w:pStyle w:val="7"/>
        <w:keepNext w:val="0"/>
        <w:keepLines w:val="0"/>
        <w:pageBreakBefore w:val="0"/>
        <w:widowControl/>
        <w:kinsoku/>
        <w:wordWrap w:val="0"/>
        <w:overflowPunct/>
        <w:topLinePunct w:val="0"/>
        <w:autoSpaceDE/>
        <w:bidi w:val="0"/>
        <w:snapToGrid/>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腐霉利是一种杀菌剂，兼具保护和治疗作用，可用于防治黄瓜、茄子、番茄、洋葱等的灰霉病，莴苣、辣椒的茎腐病，油菜菌核病等。《食品安全国家标准 食品中农药最大残留限量》（GB 2763—2021）中规定，食用农产品</w:t>
      </w:r>
      <w:bookmarkStart w:id="0" w:name="_GoBack"/>
      <w:bookmarkEnd w:id="0"/>
      <w:r>
        <w:rPr>
          <w:rFonts w:hint="eastAsia" w:ascii="仿宋_GB2312" w:hAnsi="仿宋_GB2312" w:eastAsia="仿宋_GB2312" w:cs="仿宋_GB2312"/>
          <w:color w:val="auto"/>
          <w:kern w:val="2"/>
          <w:sz w:val="32"/>
          <w:szCs w:val="32"/>
          <w:u w:val="none"/>
          <w:lang w:val="en-US" w:eastAsia="zh-CN" w:bidi="ar-SA"/>
        </w:rPr>
        <w:t>中腐霉利的最大残留限量为0.2mg/kg。</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eastAsia" w:ascii="黑体" w:hAnsi="黑体" w:eastAsia="黑体" w:cs="仿宋_GB2312"/>
          <w:color w:val="auto"/>
          <w:kern w:val="2"/>
          <w:sz w:val="32"/>
          <w:szCs w:val="32"/>
          <w:u w:val="none"/>
        </w:rPr>
      </w:pPr>
      <w:r>
        <w:rPr>
          <w:rFonts w:hint="eastAsia" w:ascii="黑体" w:hAnsi="黑体" w:eastAsia="黑体" w:cs="仿宋_GB2312"/>
          <w:color w:val="auto"/>
          <w:kern w:val="2"/>
          <w:sz w:val="32"/>
          <w:szCs w:val="32"/>
          <w:u w:val="none"/>
          <w:lang w:val="en-US" w:eastAsia="zh-CN"/>
        </w:rPr>
        <w:t>八、</w:t>
      </w:r>
      <w:r>
        <w:rPr>
          <w:rFonts w:hint="eastAsia" w:ascii="黑体" w:hAnsi="黑体" w:eastAsia="黑体" w:cs="仿宋_GB2312"/>
          <w:color w:val="auto"/>
          <w:kern w:val="2"/>
          <w:sz w:val="32"/>
          <w:szCs w:val="32"/>
          <w:u w:val="none"/>
        </w:rPr>
        <w:t>菌落总数</w:t>
      </w:r>
    </w:p>
    <w:p>
      <w:pPr>
        <w:keepNext w:val="0"/>
        <w:keepLines w:val="0"/>
        <w:pageBreakBefore w:val="0"/>
        <w:kinsoku/>
        <w:wordWrap w:val="0"/>
        <w:overflowPunct/>
        <w:topLinePunct w:val="0"/>
        <w:autoSpaceDE/>
        <w:autoSpaceDN w:val="0"/>
        <w:bidi w:val="0"/>
        <w:adjustRightInd/>
        <w:snapToGrid/>
        <w:spacing w:line="560" w:lineRule="exact"/>
        <w:ind w:firstLine="627" w:firstLineChars="196"/>
        <w:jc w:val="left"/>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菌落总数是指示性微生物指标，用以反映食品的卫生状况。超标原因可能是生产企业所使用的原辅料初始菌落数较高；也可能是生产加工过程中卫生条件控制不严格；还可能与产品包装密封不严、储运条件控制不当等有关。</w:t>
      </w:r>
    </w:p>
    <w:p>
      <w:pPr>
        <w:keepNext w:val="0"/>
        <w:keepLines w:val="0"/>
        <w:pageBreakBefore w:val="0"/>
        <w:kinsoku/>
        <w:overflowPunct/>
        <w:topLinePunct w:val="0"/>
        <w:autoSpaceDE/>
        <w:autoSpaceDN/>
        <w:bidi w:val="0"/>
        <w:snapToGrid/>
        <w:spacing w:line="500" w:lineRule="exact"/>
        <w:ind w:firstLine="640" w:firstLineChars="200"/>
        <w:jc w:val="both"/>
        <w:textAlignment w:val="auto"/>
        <w:rPr>
          <w:rFonts w:hint="default" w:ascii="仿宋_GB2312" w:hAnsi="仿宋_GB2312" w:eastAsia="仿宋_GB2312" w:cs="仿宋_GB2312"/>
          <w:color w:val="000000"/>
          <w:kern w:val="2"/>
          <w:sz w:val="32"/>
          <w:szCs w:val="32"/>
          <w:u w:val="none"/>
          <w:lang w:val="en-US" w:eastAsia="zh-CN" w:bidi="ar-SA"/>
        </w:rPr>
      </w:pPr>
      <w:r>
        <w:rPr>
          <w:rFonts w:hint="eastAsia" w:ascii="黑体" w:hAnsi="黑体" w:eastAsia="黑体" w:cs="Times New Roman"/>
          <w:color w:val="000000"/>
          <w:kern w:val="2"/>
          <w:sz w:val="32"/>
          <w:szCs w:val="32"/>
          <w:u w:val="none"/>
          <w:lang w:val="en-US" w:eastAsia="zh-CN" w:bidi="ar-SA"/>
        </w:rPr>
        <w:t>九、甲拌磷</w:t>
      </w:r>
    </w:p>
    <w:p>
      <w:pPr>
        <w:keepNext w:val="0"/>
        <w:keepLines w:val="0"/>
        <w:pageBreakBefore w:val="0"/>
        <w:numPr>
          <w:ilvl w:val="0"/>
          <w:numId w:val="0"/>
        </w:numPr>
        <w:kinsoku/>
        <w:overflowPunct/>
        <w:topLinePunct w:val="0"/>
        <w:autoSpaceDE/>
        <w:autoSpaceDN/>
        <w:bidi w:val="0"/>
        <w:snapToGrid/>
        <w:spacing w:line="500" w:lineRule="exact"/>
        <w:ind w:firstLine="640" w:firstLineChars="200"/>
        <w:textAlignment w:val="auto"/>
        <w:rPr>
          <w:rFonts w:hint="default"/>
          <w:lang w:val="en-US" w:eastAsia="zh-CN"/>
        </w:rPr>
      </w:pPr>
      <w:r>
        <w:rPr>
          <w:rFonts w:hint="eastAsia" w:ascii="仿宋_GB2312" w:eastAsia="仿宋_GB2312"/>
          <w:sz w:val="32"/>
          <w:szCs w:val="32"/>
        </w:rPr>
        <w:t>甲拌磷是一种高毒广谱的内吸性有机磷类杀虫剂，具有触杀、胃毒、熏蒸作用，对刺吸式口器和咀嚼式口器害虫均具有很好的防治作用。少量的残留不会引起人体急性中毒，但长期食用甲拌磷超标的食品，对人体健</w:t>
      </w:r>
      <w:r>
        <w:rPr>
          <w:rFonts w:hint="eastAsia" w:ascii="仿宋_GB2312" w:hAnsi="仿宋_GB2312" w:eastAsia="仿宋_GB2312" w:cs="仿宋_GB2312"/>
          <w:color w:val="000000"/>
          <w:kern w:val="2"/>
          <w:sz w:val="32"/>
          <w:szCs w:val="32"/>
          <w:u w:val="none"/>
          <w:lang w:val="en-US" w:eastAsia="zh-CN" w:bidi="ar-SA"/>
        </w:rPr>
        <w:t>康可能有一定影响。《食品安全国家标准 食品中农药最大残留限量》（</w:t>
      </w:r>
      <w:r>
        <w:rPr>
          <w:rFonts w:hint="eastAsia" w:ascii="仿宋" w:hAnsi="仿宋" w:eastAsia="仿宋" w:cs="仿宋_GB2312"/>
          <w:color w:val="auto"/>
          <w:kern w:val="2"/>
          <w:sz w:val="32"/>
          <w:szCs w:val="32"/>
          <w:u w:val="none"/>
          <w:lang w:val="en-US" w:eastAsia="zh-CN" w:bidi="ar-SA"/>
        </w:rPr>
        <w:t>GB 2763—2021）中规定，甲拌磷在叶菜类蔬菜中的最大残留限量值为0.01mg/kg。食用农产品中甲拌磷残留量超</w:t>
      </w:r>
      <w:r>
        <w:rPr>
          <w:rFonts w:hint="eastAsia" w:ascii="Times New Roman" w:hAnsi="Times New Roman" w:eastAsia="仿宋_GB2312" w:cs="Times New Roman"/>
          <w:sz w:val="32"/>
          <w:szCs w:val="32"/>
        </w:rPr>
        <w:t>标的原因，</w:t>
      </w:r>
      <w:r>
        <w:rPr>
          <w:rFonts w:hint="eastAsia" w:ascii="Times New Roman" w:hAnsi="Times New Roman" w:eastAsia="仿宋_GB2312"/>
          <w:sz w:val="32"/>
          <w:szCs w:val="32"/>
        </w:rPr>
        <w:t>可能是为</w:t>
      </w:r>
      <w:r>
        <w:rPr>
          <w:rFonts w:ascii="Times New Roman" w:hAnsi="Times New Roman" w:eastAsia="仿宋_GB2312"/>
          <w:sz w:val="32"/>
          <w:szCs w:val="32"/>
        </w:rPr>
        <w:t>快速控制</w:t>
      </w:r>
      <w:r>
        <w:rPr>
          <w:rFonts w:hint="eastAsia" w:ascii="Times New Roman" w:hAnsi="Times New Roman" w:eastAsia="仿宋_GB2312"/>
          <w:sz w:val="32"/>
          <w:szCs w:val="32"/>
        </w:rPr>
        <w:t>虫害而违规使用</w:t>
      </w:r>
      <w:r>
        <w:rPr>
          <w:rFonts w:ascii="Times New Roman" w:hAnsi="Times New Roman" w:eastAsia="仿宋_GB2312"/>
          <w:sz w:val="32"/>
          <w:szCs w:val="32"/>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roman"/>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MzExMGFjNGI3MGU0NmMxMTA3NmIzOWNmMWZkMzgifQ=="/>
  </w:docVars>
  <w:rsids>
    <w:rsidRoot w:val="0C8C4767"/>
    <w:rsid w:val="02D4355F"/>
    <w:rsid w:val="0458048F"/>
    <w:rsid w:val="051C7148"/>
    <w:rsid w:val="05745268"/>
    <w:rsid w:val="06D74455"/>
    <w:rsid w:val="08123F6F"/>
    <w:rsid w:val="0B45380D"/>
    <w:rsid w:val="0BA40294"/>
    <w:rsid w:val="0C8C4767"/>
    <w:rsid w:val="15EC594F"/>
    <w:rsid w:val="167B6CBC"/>
    <w:rsid w:val="168C6AE4"/>
    <w:rsid w:val="17677D3A"/>
    <w:rsid w:val="18484AED"/>
    <w:rsid w:val="1924456A"/>
    <w:rsid w:val="193E766E"/>
    <w:rsid w:val="1A1F09D3"/>
    <w:rsid w:val="1D4213BE"/>
    <w:rsid w:val="228D283B"/>
    <w:rsid w:val="2462067D"/>
    <w:rsid w:val="26631425"/>
    <w:rsid w:val="26DF4641"/>
    <w:rsid w:val="272354B2"/>
    <w:rsid w:val="279C4F22"/>
    <w:rsid w:val="27A95480"/>
    <w:rsid w:val="28B22DF6"/>
    <w:rsid w:val="29572E48"/>
    <w:rsid w:val="2A2D3458"/>
    <w:rsid w:val="2A8B307E"/>
    <w:rsid w:val="2BAF5CCC"/>
    <w:rsid w:val="2BCE09B8"/>
    <w:rsid w:val="2D851703"/>
    <w:rsid w:val="2DB63420"/>
    <w:rsid w:val="324E00CB"/>
    <w:rsid w:val="32DF42A3"/>
    <w:rsid w:val="332F602F"/>
    <w:rsid w:val="33775400"/>
    <w:rsid w:val="33883CFF"/>
    <w:rsid w:val="36225F84"/>
    <w:rsid w:val="39B72E0C"/>
    <w:rsid w:val="3C0E1DC6"/>
    <w:rsid w:val="3C350180"/>
    <w:rsid w:val="3CB27B7F"/>
    <w:rsid w:val="3EAE1333"/>
    <w:rsid w:val="4039711A"/>
    <w:rsid w:val="42C5372B"/>
    <w:rsid w:val="435033F0"/>
    <w:rsid w:val="451200B3"/>
    <w:rsid w:val="460D6897"/>
    <w:rsid w:val="49810C65"/>
    <w:rsid w:val="4C615739"/>
    <w:rsid w:val="4E2C5712"/>
    <w:rsid w:val="4FBE9E45"/>
    <w:rsid w:val="508E0988"/>
    <w:rsid w:val="50BD5E1A"/>
    <w:rsid w:val="50CD6CD5"/>
    <w:rsid w:val="51DB6199"/>
    <w:rsid w:val="567A47C5"/>
    <w:rsid w:val="58501DF0"/>
    <w:rsid w:val="59224657"/>
    <w:rsid w:val="593659D6"/>
    <w:rsid w:val="5B380402"/>
    <w:rsid w:val="5C454A26"/>
    <w:rsid w:val="5D6D3F12"/>
    <w:rsid w:val="5D817942"/>
    <w:rsid w:val="5DC475F0"/>
    <w:rsid w:val="5E1E6906"/>
    <w:rsid w:val="5ED95286"/>
    <w:rsid w:val="5F806432"/>
    <w:rsid w:val="5FC26101"/>
    <w:rsid w:val="60A46527"/>
    <w:rsid w:val="62393C54"/>
    <w:rsid w:val="63217256"/>
    <w:rsid w:val="648D0CE1"/>
    <w:rsid w:val="65BE4C71"/>
    <w:rsid w:val="68010EE0"/>
    <w:rsid w:val="68DA55BD"/>
    <w:rsid w:val="6B3B0481"/>
    <w:rsid w:val="6CE62940"/>
    <w:rsid w:val="6DFF29E8"/>
    <w:rsid w:val="71D631AF"/>
    <w:rsid w:val="72B73991"/>
    <w:rsid w:val="76CB3F79"/>
    <w:rsid w:val="772D16F5"/>
    <w:rsid w:val="77704BDB"/>
    <w:rsid w:val="77745CF2"/>
    <w:rsid w:val="785415C7"/>
    <w:rsid w:val="7A935AC6"/>
    <w:rsid w:val="7CCF0986"/>
    <w:rsid w:val="F7DED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rPr>
      <w:rFonts w:hAnsi="Calibri"/>
      <w:kern w:val="0"/>
      <w:szCs w:val="20"/>
    </w:rPr>
  </w:style>
  <w:style w:type="paragraph" w:styleId="4">
    <w:name w:val="Normal Indent"/>
    <w:basedOn w:val="1"/>
    <w:qFormat/>
    <w:uiPriority w:val="0"/>
    <w:pPr>
      <w:ind w:firstLine="420"/>
    </w:pPr>
    <w:rPr>
      <w:rFonts w:ascii="Times New Roman" w:hAnsi="Times New Roman" w:cs="Times New Roman"/>
      <w:szCs w:val="20"/>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Lines="0" w:beforeAutospacing="1" w:after="100" w:afterLines="0" w:afterAutospacing="1"/>
      <w:ind w:left="0" w:right="0"/>
      <w:jc w:val="left"/>
    </w:pPr>
    <w:rPr>
      <w:color w:val="CC0000"/>
      <w:kern w:val="0"/>
      <w:sz w:val="24"/>
      <w:u w:val="single"/>
      <w:lang w:val="en-US" w:eastAsia="zh-CN" w:bidi="ar-SA"/>
    </w:r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1304</Words>
  <Characters>1345</Characters>
  <Lines>0</Lines>
  <Paragraphs>0</Paragraphs>
  <TotalTime>7</TotalTime>
  <ScaleCrop>false</ScaleCrop>
  <LinksUpToDate>false</LinksUpToDate>
  <CharactersWithSpaces>1351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2021-11-09T06:11:00Z</dcterms:created>
  <dc:creator>anshenghui</dc:creator>
  <cp:lastModifiedBy>范舟（公文收发）</cp:lastModifiedBy>
  <cp:lastPrinted>2021-11-09T09:23:00Z</cp:lastPrinted>
  <dcterms:modified xsi:type="dcterms:W3CDTF">2023-07-05T02:16:12Z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23FEE66A1C6C4AF8B70EAE3BAFBF0C9A_13</vt:lpwstr>
  </property>
</Properties>
</file>