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</w:t>
      </w:r>
      <w:r>
        <w:rPr>
          <w:rFonts w:hint="eastAsia"/>
          <w:sz w:val="44"/>
          <w:szCs w:val="44"/>
          <w:lang w:val="en-US" w:eastAsia="zh-CN"/>
        </w:rPr>
        <w:t>：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本次检验项目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餐饮食品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抽检依据为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《食品安全国家标准 消毒餐(饮)具》（GB 14934-2016）、《食品安全国家标准 食品添加剂使用标准》（GB 2760-2014）、《食品安全国家标准 食品中污染物限量》（GB 2762-2017）、《食品中可能违法添加的非食用物质和易滥用的食品添加剂品种名单(第五批)》（整顿办函[2011]1号）《中华人民共和国卫生部、国家食品药品监督管理局公告》（2012年第10号）等标准及产品明示标准和质量要求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复用餐饮具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(餐馆自行消毒)检验项目包括阴离子合成洗涤剂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(以十二烷基苯磺酸钠计)、大肠菌群。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2.生食动物性水产品(自制)检验项目包括铝的残留量(以即食海蜇中Al计)、大肠菌群、菌落总数。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3.油饼油条(自制)检验项目包括铝的残留量(干样品，以Al计)。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馒头花卷(自制)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检验项目包括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苯甲酸及其钠盐(以苯甲酸计)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、山梨酸及其钾盐(以山梨酸计)、和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糖精钠(以糖精计)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酒类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抽检依据为《食品安全国家标准 食品添加剂使用标准》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GB 2760-2014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《食品安全国家标准 蒸馏酒及其配制酒》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GB 2757-2012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《浓香型白酒》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GB/T 10781.1-2006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《固液法白酒》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GB/T 20822-2007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）等标准及产品明示标准和质量要求。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1.白酒、白酒(液态)、白酒(原酒)检验项目包括铅(以Pb计)、甲醇、甜蜜素(以环己基氨基磺酸计)、氰化物(以HCN计)、糖精钠(以糖精计)、三氯蔗糖、酒精度。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粮食加工品</w:t>
      </w:r>
    </w:p>
    <w:p>
      <w:pPr>
        <w:pStyle w:val="2"/>
        <w:ind w:left="752"/>
      </w:pPr>
      <w:r>
        <w:rPr>
          <w:w w:val="95"/>
        </w:rPr>
        <w:t>（一）抽检依据</w:t>
      </w:r>
    </w:p>
    <w:p>
      <w:pPr>
        <w:pStyle w:val="2"/>
        <w:spacing w:before="191" w:line="350" w:lineRule="auto"/>
        <w:ind w:right="265" w:firstLine="640"/>
      </w:pPr>
      <w:r>
        <w:rPr>
          <w:spacing w:val="-12"/>
        </w:rPr>
        <w:t>抽检依据为《食品安全国家标准 食品添加剂使用标准</w:t>
      </w:r>
      <w:r>
        <w:rPr>
          <w:spacing w:val="-267"/>
        </w:rPr>
        <w:t>》</w:t>
      </w:r>
      <w:r>
        <w:rPr>
          <w:spacing w:val="-3"/>
        </w:rPr>
        <w:t>（</w:t>
      </w:r>
      <w:r>
        <w:rPr>
          <w:rFonts w:ascii="Times New Roman" w:eastAsia="Times New Roman"/>
          <w:spacing w:val="-3"/>
        </w:rPr>
        <w:t xml:space="preserve">GB </w:t>
      </w:r>
      <w:r>
        <w:rPr>
          <w:rFonts w:ascii="Times New Roman" w:eastAsia="Times New Roman"/>
          <w:spacing w:val="-4"/>
        </w:rPr>
        <w:t>2760-2014</w:t>
      </w:r>
      <w:r>
        <w:rPr>
          <w:spacing w:val="-4"/>
        </w:rPr>
        <w:t>）</w:t>
      </w:r>
      <w:r>
        <w:rPr>
          <w:spacing w:val="-13"/>
        </w:rPr>
        <w:t>、《食品安全国家标准 食品中真菌毒素限量》</w:t>
      </w:r>
      <w:r>
        <w:t>（</w:t>
      </w:r>
      <w:r>
        <w:rPr>
          <w:rFonts w:ascii="Times New Roman" w:eastAsia="Times New Roman"/>
        </w:rPr>
        <w:t>GB2761-2017</w:t>
      </w:r>
      <w:r>
        <w:t>）</w:t>
      </w:r>
      <w:r>
        <w:rPr>
          <w:spacing w:val="3"/>
        </w:rPr>
        <w:t>、《食品安全国家标准 食品中污染物限量》（</w:t>
      </w:r>
      <w:r>
        <w:rPr>
          <w:rFonts w:ascii="Times New Roman" w:eastAsia="Times New Roman"/>
          <w:spacing w:val="3"/>
        </w:rPr>
        <w:t>GB</w:t>
      </w:r>
      <w:r>
        <w:rPr>
          <w:rFonts w:ascii="Times New Roman" w:eastAsia="Times New Roman"/>
        </w:rPr>
        <w:t>2762-2017</w:t>
      </w:r>
      <w:r>
        <w:t>）</w:t>
      </w:r>
      <w:r>
        <w:rPr>
          <w:spacing w:val="3"/>
        </w:rPr>
        <w:t>、《关于撤销食品添加剂过氧化苯甲酰、过氧化钙</w:t>
      </w:r>
      <w:r>
        <w:rPr>
          <w:spacing w:val="-10"/>
        </w:rPr>
        <w:t>的公告》</w:t>
      </w:r>
      <w:r>
        <w:t>（</w:t>
      </w:r>
      <w:r>
        <w:rPr>
          <w:spacing w:val="-5"/>
        </w:rPr>
        <w:t>卫生部公告〔</w:t>
      </w:r>
      <w:r>
        <w:rPr>
          <w:rFonts w:ascii="Times New Roman" w:eastAsia="Times New Roman"/>
        </w:rPr>
        <w:t>2011</w:t>
      </w:r>
      <w:r>
        <w:rPr>
          <w:spacing w:val="-36"/>
        </w:rPr>
        <w:t xml:space="preserve">〕第 </w:t>
      </w:r>
      <w:r>
        <w:rPr>
          <w:rFonts w:ascii="Times New Roman" w:eastAsia="Times New Roman"/>
        </w:rPr>
        <w:t xml:space="preserve">4 </w:t>
      </w:r>
      <w:r>
        <w:t>号</w:t>
      </w:r>
      <w:r>
        <w:rPr>
          <w:spacing w:val="-24"/>
        </w:rPr>
        <w:t>）</w:t>
      </w:r>
      <w:r>
        <w:t>等标准及产品明示标准和质量要求。</w:t>
      </w:r>
    </w:p>
    <w:p>
      <w:pPr>
        <w:pStyle w:val="2"/>
        <w:spacing w:before="4"/>
        <w:ind w:left="752"/>
      </w:pPr>
      <w:r>
        <w:t>（二）检验项目</w:t>
      </w:r>
    </w:p>
    <w:p>
      <w:pPr>
        <w:pStyle w:val="5"/>
        <w:numPr>
          <w:ilvl w:val="0"/>
          <w:numId w:val="2"/>
        </w:numPr>
        <w:tabs>
          <w:tab w:val="left" w:pos="994"/>
        </w:tabs>
        <w:spacing w:before="190" w:after="0" w:line="350" w:lineRule="auto"/>
        <w:ind w:left="111" w:right="106" w:firstLine="640"/>
        <w:jc w:val="left"/>
        <w:rPr>
          <w:sz w:val="32"/>
        </w:rPr>
      </w:pPr>
      <w:r>
        <w:rPr>
          <w:sz w:val="32"/>
        </w:rPr>
        <w:t>小麦粉检验项目包括镉（</w:t>
      </w:r>
      <w:r>
        <w:rPr>
          <w:spacing w:val="-31"/>
          <w:sz w:val="32"/>
        </w:rPr>
        <w:t xml:space="preserve">以 </w:t>
      </w:r>
      <w:r>
        <w:rPr>
          <w:rFonts w:ascii="Times New Roman" w:eastAsia="Times New Roman"/>
          <w:sz w:val="32"/>
        </w:rPr>
        <w:t>Cd</w:t>
      </w:r>
      <w:r>
        <w:rPr>
          <w:rFonts w:ascii="Times New Roman" w:eastAsia="Times New Roman"/>
          <w:spacing w:val="17"/>
          <w:sz w:val="32"/>
        </w:rPr>
        <w:t xml:space="preserve"> </w:t>
      </w:r>
      <w:r>
        <w:rPr>
          <w:sz w:val="32"/>
        </w:rPr>
        <w:t>计）、苯并</w:t>
      </w:r>
      <w:r>
        <w:rPr>
          <w:rFonts w:ascii="Times New Roman" w:eastAsia="Times New Roman"/>
          <w:sz w:val="32"/>
        </w:rPr>
        <w:t>[a]</w:t>
      </w:r>
      <w:r>
        <w:rPr>
          <w:sz w:val="32"/>
        </w:rPr>
        <w:t>芘、玉米赤</w:t>
      </w:r>
      <w:r>
        <w:rPr>
          <w:spacing w:val="-8"/>
          <w:sz w:val="32"/>
        </w:rPr>
        <w:t xml:space="preserve">霉烯酮、脱氧雪腐镰刀菌烯醇、赭曲霉毒素 </w:t>
      </w:r>
      <w:r>
        <w:rPr>
          <w:rFonts w:ascii="Times New Roman" w:eastAsia="Times New Roman"/>
          <w:sz w:val="32"/>
        </w:rPr>
        <w:t>A</w:t>
      </w:r>
      <w:r>
        <w:rPr>
          <w:spacing w:val="-15"/>
          <w:sz w:val="32"/>
        </w:rPr>
        <w:t xml:space="preserve">、黄曲霉毒素 </w:t>
      </w:r>
      <w:r>
        <w:rPr>
          <w:rFonts w:ascii="Times New Roman" w:eastAsia="Times New Roman"/>
          <w:sz w:val="32"/>
        </w:rPr>
        <w:t>B</w:t>
      </w:r>
      <w:r>
        <w:rPr>
          <w:rFonts w:ascii="Times New Roman" w:eastAsia="Times New Roman"/>
          <w:sz w:val="32"/>
          <w:vertAlign w:val="subscript"/>
        </w:rPr>
        <w:t>1</w:t>
      </w:r>
      <w:r>
        <w:rPr>
          <w:sz w:val="32"/>
          <w:vertAlign w:val="baseline"/>
        </w:rPr>
        <w:t>、过氧化苯甲酰</w:t>
      </w:r>
      <w:r>
        <w:rPr>
          <w:rFonts w:hint="eastAsia"/>
          <w:sz w:val="32"/>
          <w:vertAlign w:val="baseline"/>
          <w:lang w:eastAsia="zh-CN"/>
        </w:rPr>
        <w:t>、偶氮甲酰胺</w:t>
      </w:r>
      <w:r>
        <w:rPr>
          <w:sz w:val="32"/>
          <w:vertAlign w:val="baseline"/>
        </w:rPr>
        <w:t>。</w:t>
      </w:r>
    </w:p>
    <w:p>
      <w:pPr>
        <w:pStyle w:val="5"/>
        <w:numPr>
          <w:ilvl w:val="0"/>
          <w:numId w:val="2"/>
        </w:numPr>
        <w:tabs>
          <w:tab w:val="left" w:pos="994"/>
        </w:tabs>
        <w:spacing w:before="190" w:after="0" w:line="350" w:lineRule="auto"/>
        <w:ind w:left="111" w:right="106" w:firstLine="640"/>
        <w:jc w:val="left"/>
        <w:rPr>
          <w:sz w:val="32"/>
          <w:vertAlign w:val="baseline"/>
        </w:rPr>
      </w:pPr>
      <w:r>
        <w:rPr>
          <w:spacing w:val="-2"/>
          <w:sz w:val="32"/>
        </w:rPr>
        <w:t>大</w:t>
      </w:r>
      <w:r>
        <w:rPr>
          <w:sz w:val="32"/>
          <w:vertAlign w:val="baseline"/>
        </w:rPr>
        <w:t>米检验项目包括铅（以 Pb 计）、镉（以 Cd 计）、黄曲霉毒素 B1。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肉制品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抽检依据为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《食品安全国家标准 食品添加剂使用标准》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（GB 2760-2014）、《食品安全国家标准 食品中污染物限量》（GB 2762-2017）、《食品中可能违法添加的非食用物质和易滥用的食品添加剂品种名单（第五批）》（整顿办函〔2011〕1 号）等标准及产品明示标准和质量要求。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1.熏煮香肠火腿制品检验项目包括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大肠菌群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山梨酸及其钾盐(以山梨酸计)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沙门氏菌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胭脂红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脱氢乙酸及其钠盐(以脱氢乙酸计)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苯甲酸及其钠盐(以苯甲酸计)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菌落总数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亚硝酸盐(以亚硝酸钠计)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氯霉素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防腐剂混合使用时各自用量占其最大使用量的比例之和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2.酱卤肉制品检验项目包括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山梨酸及其钾盐(以山梨酸计)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胭脂红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脱氢乙酸及其钠盐(以脱氢乙酸计)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苯甲酸及其钠盐(以苯甲酸计)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亚硝酸盐(以亚硝酸钠计)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、糖精钠(以糖精计)、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氯霉素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、总砷(以As计) 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防腐剂混合使用时各自用量占其最大使用量的比例之和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食用农产品</w:t>
      </w:r>
    </w:p>
    <w:p>
      <w:pPr>
        <w:pStyle w:val="2"/>
        <w:ind w:left="752"/>
      </w:pPr>
      <w:r>
        <w:rPr>
          <w:w w:val="95"/>
        </w:rPr>
        <w:t>（一）抽检依据</w:t>
      </w:r>
    </w:p>
    <w:p>
      <w:pPr>
        <w:pStyle w:val="2"/>
        <w:spacing w:line="350" w:lineRule="auto"/>
        <w:ind w:right="206" w:firstLine="640"/>
      </w:pPr>
      <w:r>
        <w:rPr>
          <w:spacing w:val="-7"/>
        </w:rPr>
        <w:t>抽检依据为《食品安全国家标准 食品中污染物限量》</w:t>
      </w:r>
      <w:r>
        <w:t>（</w:t>
      </w:r>
      <w:r>
        <w:rPr>
          <w:rFonts w:ascii="Times New Roman" w:eastAsia="Times New Roman"/>
        </w:rPr>
        <w:t>GB 2762-2017</w:t>
      </w:r>
      <w:r>
        <w:t>）</w:t>
      </w:r>
      <w:r>
        <w:rPr>
          <w:spacing w:val="-2"/>
        </w:rPr>
        <w:t>、《食品安全国家标准 食品中农药最大残留限量》</w:t>
      </w:r>
      <w:r>
        <w:t>（</w:t>
      </w:r>
      <w:r>
        <w:rPr>
          <w:rFonts w:ascii="Times New Roman" w:eastAsia="Times New Roman"/>
        </w:rPr>
        <w:t>GB</w:t>
      </w:r>
      <w:r>
        <w:rPr>
          <w:rFonts w:ascii="Times New Roman" w:eastAsia="Times New Roman"/>
          <w:spacing w:val="-12"/>
        </w:rPr>
        <w:t xml:space="preserve"> </w:t>
      </w:r>
      <w:r>
        <w:rPr>
          <w:rFonts w:ascii="Times New Roman" w:eastAsia="Times New Roman"/>
        </w:rPr>
        <w:t>2763-2019</w:t>
      </w:r>
      <w:r>
        <w:t>）</w:t>
      </w:r>
      <w:r>
        <w:rPr>
          <w:spacing w:val="-9"/>
        </w:rPr>
        <w:t>、《食品安全国家标准 鲜</w:t>
      </w:r>
      <w:r>
        <w:t>（冻</w:t>
      </w:r>
      <w:r>
        <w:rPr>
          <w:spacing w:val="-17"/>
        </w:rPr>
        <w:t>）</w:t>
      </w:r>
      <w:r>
        <w:rPr>
          <w:spacing w:val="-4"/>
        </w:rPr>
        <w:t>畜、禽产品》</w:t>
      </w:r>
      <w:r>
        <w:t>（</w:t>
      </w:r>
      <w:r>
        <w:rPr>
          <w:rFonts w:ascii="Times New Roman" w:eastAsia="Times New Roman"/>
        </w:rPr>
        <w:t>GB</w:t>
      </w:r>
      <w:r>
        <w:rPr>
          <w:rFonts w:ascii="Times New Roman" w:eastAsia="Times New Roman"/>
          <w:spacing w:val="49"/>
        </w:rPr>
        <w:t xml:space="preserve"> </w:t>
      </w:r>
      <w:r>
        <w:rPr>
          <w:rFonts w:ascii="Times New Roman" w:eastAsia="Times New Roman"/>
        </w:rPr>
        <w:t>2707-2016</w:t>
      </w:r>
      <w:r>
        <w:t>）</w:t>
      </w:r>
      <w:r>
        <w:rPr>
          <w:spacing w:val="-1"/>
        </w:rPr>
        <w:t>、《食品安全国家标准 食品中兽药最大残留</w:t>
      </w:r>
      <w:r>
        <w:rPr>
          <w:spacing w:val="-13"/>
        </w:rPr>
        <w:t>限量》</w:t>
      </w:r>
      <w:r>
        <w:t>（</w:t>
      </w:r>
      <w:r>
        <w:rPr>
          <w:rFonts w:ascii="Times New Roman" w:eastAsia="Times New Roman"/>
        </w:rPr>
        <w:t>GB</w:t>
      </w:r>
      <w:r>
        <w:rPr>
          <w:rFonts w:ascii="Times New Roman" w:eastAsia="Times New Roman"/>
          <w:spacing w:val="-8"/>
        </w:rPr>
        <w:t xml:space="preserve"> </w:t>
      </w:r>
      <w:r>
        <w:rPr>
          <w:rFonts w:ascii="Times New Roman" w:eastAsia="Times New Roman"/>
        </w:rPr>
        <w:t>31650-2019</w:t>
      </w:r>
      <w:r>
        <w:t>）</w:t>
      </w:r>
      <w:r>
        <w:rPr>
          <w:spacing w:val="-8"/>
        </w:rPr>
        <w:t>、《食品安全国家标准 鲜、冻动物性</w:t>
      </w:r>
      <w:r>
        <w:rPr>
          <w:spacing w:val="-17"/>
        </w:rPr>
        <w:t>水产品》</w:t>
      </w:r>
      <w:r>
        <w:t>（</w:t>
      </w:r>
      <w:r>
        <w:rPr>
          <w:rFonts w:ascii="Times New Roman" w:eastAsia="Times New Roman"/>
        </w:rPr>
        <w:t>GB</w:t>
      </w:r>
      <w:r>
        <w:rPr>
          <w:rFonts w:ascii="Times New Roman" w:eastAsia="Times New Roman"/>
          <w:spacing w:val="-3"/>
        </w:rPr>
        <w:t xml:space="preserve"> 2733-2015</w:t>
      </w:r>
      <w:r>
        <w:rPr>
          <w:spacing w:val="-3"/>
        </w:rPr>
        <w:t>）</w:t>
      </w:r>
      <w:r>
        <w:rPr>
          <w:spacing w:val="-7"/>
        </w:rPr>
        <w:t>、《食品中可能违法添加的非食用物</w:t>
      </w:r>
      <w:r>
        <w:rPr>
          <w:spacing w:val="-7"/>
          <w:w w:val="95"/>
        </w:rPr>
        <w:t>质和易滥用的食品添加剂名单（第四批）》（</w:t>
      </w:r>
      <w:r>
        <w:rPr>
          <w:spacing w:val="-5"/>
          <w:w w:val="95"/>
        </w:rPr>
        <w:t>整顿办函〔</w:t>
      </w:r>
      <w:r>
        <w:rPr>
          <w:rFonts w:ascii="Times New Roman" w:eastAsia="Times New Roman"/>
          <w:w w:val="95"/>
        </w:rPr>
        <w:t>2010</w:t>
      </w:r>
      <w:r>
        <w:rPr>
          <w:spacing w:val="-13"/>
          <w:w w:val="95"/>
        </w:rPr>
        <w:t>〕</w:t>
      </w:r>
      <w:r>
        <w:rPr>
          <w:rFonts w:ascii="Times New Roman" w:eastAsia="Times New Roman"/>
        </w:rPr>
        <w:t>50</w:t>
      </w:r>
      <w:r>
        <w:t>号）、《动物性食品中兽药最高残留限量》（农业部公告第</w:t>
      </w:r>
      <w:r>
        <w:rPr>
          <w:rFonts w:ascii="Times New Roman" w:eastAsia="Times New Roman"/>
        </w:rPr>
        <w:t xml:space="preserve">235 </w:t>
      </w:r>
      <w:r>
        <w:t>号</w:t>
      </w:r>
      <w:r>
        <w:rPr>
          <w:spacing w:val="-32"/>
        </w:rPr>
        <w:t>）</w:t>
      </w:r>
      <w:r>
        <w:rPr>
          <w:spacing w:val="-14"/>
        </w:rPr>
        <w:t>、《兽药地方标准废止目录》</w:t>
      </w:r>
      <w:r>
        <w:t>（</w:t>
      </w:r>
      <w:r>
        <w:rPr>
          <w:spacing w:val="-12"/>
        </w:rPr>
        <w:t xml:space="preserve">农业部公告第 </w:t>
      </w:r>
      <w:r>
        <w:rPr>
          <w:rFonts w:ascii="Times New Roman" w:eastAsia="Times New Roman"/>
        </w:rPr>
        <w:t xml:space="preserve">560 </w:t>
      </w:r>
      <w:r>
        <w:t>号</w:t>
      </w:r>
      <w:r>
        <w:rPr>
          <w:spacing w:val="-32"/>
        </w:rPr>
        <w:t>）</w:t>
      </w:r>
      <w:r>
        <w:t>、</w:t>
      </w:r>
      <w:r>
        <w:rPr>
          <w:spacing w:val="-6"/>
        </w:rPr>
        <w:t>《食品动物中禁止使用的药品及其他化合物清单》</w:t>
      </w:r>
      <w:r>
        <w:t>（</w:t>
      </w:r>
      <w:r>
        <w:rPr>
          <w:spacing w:val="-3"/>
        </w:rPr>
        <w:t>农业农村部</w:t>
      </w:r>
      <w:r>
        <w:rPr>
          <w:spacing w:val="-20"/>
        </w:rPr>
        <w:t xml:space="preserve">公告第 </w:t>
      </w:r>
      <w:r>
        <w:rPr>
          <w:rFonts w:ascii="Times New Roman" w:eastAsia="Times New Roman"/>
        </w:rPr>
        <w:t xml:space="preserve">250 </w:t>
      </w:r>
      <w:r>
        <w:t>号）等标准及产品明示标准和质量要求。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豆芽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检验项目包括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4-氯苯氧乙酸钠(以4-氯苯氧乙酸计)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6-苄基腺嘌呤(6-BA)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二氧化硫残留量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总汞(以Hg计)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铅(以Pb计)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其他水产品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检验项目包括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镉(以Cd计)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恩诺沙星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氯霉素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孔雀石绿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呋喃唑酮代谢物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呋喃西林代谢物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检验项目包括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铅(以Pb计)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镉(以Cd计)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甲拌磷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氯氰菊酯和高效氯氰菊酯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氯氟氰菊酯和高效氯氟氰菊酯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噻虫胺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吡虫啉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克百威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芹菜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检验项目包括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铅(以Pb计)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镉(以Cd计)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阿维菌素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百菌清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氯氟氰菊酯和高效氯氟氰菊酯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甲拌磷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氧乐果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毒死蜱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淡水鱼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检验项目包括甲硝唑 、甲氧苄啶、磺胺类(总量)、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恩诺沙星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、地西泮、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氯霉素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孔雀石绿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呋喃唑酮代谢物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呋喃西林代谢物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蔬菜制品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抽检依据为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《食品安全国家标准 食品添加剂使用标准》（GB 2760-2014）、《食品安全国家标准 食品中污染物限量》（GB 2762-2017）等标准及产品明示标准和质量要求。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1.蔬菜干制品检验项目包括二氧化硫残留量、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山梨酸及其钾盐(以山梨酸计)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苯甲酸及其钠盐(以苯甲酸计)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、铅(以Pb计)。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速冻食品</w:t>
      </w:r>
    </w:p>
    <w:p>
      <w:pPr>
        <w:pStyle w:val="2"/>
        <w:spacing w:before="233"/>
        <w:ind w:left="752"/>
      </w:pPr>
      <w:r>
        <w:t>（一）抽检依据</w:t>
      </w:r>
    </w:p>
    <w:p>
      <w:pPr>
        <w:pStyle w:val="2"/>
        <w:spacing w:line="350" w:lineRule="auto"/>
        <w:ind w:right="265" w:firstLine="640"/>
      </w:pPr>
      <w:r>
        <w:rPr>
          <w:spacing w:val="-12"/>
        </w:rPr>
        <w:t>抽检依据为《食品安全国家标准 食品添加剂使用标准</w:t>
      </w:r>
      <w:r>
        <w:rPr>
          <w:spacing w:val="-267"/>
        </w:rPr>
        <w:t>》</w:t>
      </w:r>
      <w:r>
        <w:rPr>
          <w:spacing w:val="-3"/>
        </w:rPr>
        <w:t>（</w:t>
      </w:r>
      <w:r>
        <w:rPr>
          <w:rFonts w:ascii="Times New Roman" w:eastAsia="Times New Roman"/>
          <w:spacing w:val="-3"/>
        </w:rPr>
        <w:t xml:space="preserve">GB </w:t>
      </w:r>
      <w:r>
        <w:rPr>
          <w:rFonts w:ascii="Times New Roman" w:eastAsia="Times New Roman"/>
        </w:rPr>
        <w:t>2760-2014</w:t>
      </w:r>
      <w:r>
        <w:t>）</w:t>
      </w:r>
      <w:r>
        <w:rPr>
          <w:spacing w:val="3"/>
        </w:rPr>
        <w:t>、《食品安全国家标准 食品中污染物限量》（</w:t>
      </w:r>
      <w:r>
        <w:rPr>
          <w:rFonts w:ascii="Times New Roman" w:eastAsia="Times New Roman"/>
          <w:spacing w:val="3"/>
        </w:rPr>
        <w:t>GB</w:t>
      </w:r>
      <w:r>
        <w:rPr>
          <w:rFonts w:ascii="Times New Roman" w:eastAsia="Times New Roman"/>
        </w:rPr>
        <w:t>2762-2017</w:t>
      </w:r>
      <w:r>
        <w:rPr>
          <w:rFonts w:ascii="Times New Roman" w:eastAsia="Times New Roman"/>
          <w:spacing w:val="-46"/>
        </w:rPr>
        <w:t xml:space="preserve"> </w:t>
      </w:r>
      <w:r>
        <w:rPr>
          <w:spacing w:val="35"/>
        </w:rPr>
        <w:t>）</w:t>
      </w:r>
      <w:r>
        <w:rPr>
          <w:spacing w:val="34"/>
        </w:rPr>
        <w:t>、《食品安全国家标准 速冻面米制品》</w:t>
      </w:r>
      <w:r>
        <w:t>（</w:t>
      </w:r>
      <w:r>
        <w:rPr>
          <w:spacing w:val="-121"/>
        </w:rPr>
        <w:t xml:space="preserve"> </w:t>
      </w:r>
      <w:r>
        <w:rPr>
          <w:rFonts w:ascii="Times New Roman" w:eastAsia="Times New Roman"/>
        </w:rPr>
        <w:t>GB19295-2011</w:t>
      </w:r>
      <w:r>
        <w:t>）等标准及产品明示标准和质量要求。</w:t>
      </w:r>
    </w:p>
    <w:p>
      <w:pPr>
        <w:pStyle w:val="2"/>
        <w:spacing w:before="191"/>
        <w:ind w:left="752"/>
      </w:pPr>
      <w:r>
        <w:t>（二）检验项目</w:t>
      </w:r>
    </w:p>
    <w:p>
      <w:pPr>
        <w:pStyle w:val="2"/>
        <w:spacing w:line="350" w:lineRule="auto"/>
        <w:ind w:right="269" w:firstLine="64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/>
          <w:spacing w:val="-11"/>
          <w:lang w:val="en-US" w:eastAsia="zh-CN"/>
        </w:rPr>
        <w:t>1.速冻调理肉制品</w:t>
      </w:r>
      <w:r>
        <w:rPr>
          <w:spacing w:val="-11"/>
        </w:rPr>
        <w:t>检验项目包括</w:t>
      </w:r>
      <w:r>
        <w:rPr>
          <w:rFonts w:hint="default"/>
          <w:spacing w:val="-11"/>
          <w:lang w:val="en-US" w:eastAsia="zh-CN"/>
        </w:rPr>
        <w:t>氯霉素</w:t>
      </w:r>
      <w:r>
        <w:rPr>
          <w:rFonts w:hint="eastAsia"/>
          <w:spacing w:val="-11"/>
          <w:lang w:val="en-US" w:eastAsia="zh-CN"/>
        </w:rPr>
        <w:t>、</w:t>
      </w:r>
      <w:r>
        <w:rPr>
          <w:spacing w:val="-11"/>
        </w:rPr>
        <w:t>过氧化值（以脂肪计）、铅（以 Pb 计）、</w:t>
      </w:r>
      <w:r>
        <w:rPr>
          <w:rFonts w:hint="default"/>
          <w:spacing w:val="-11"/>
          <w:lang w:val="en-US" w:eastAsia="zh-CN"/>
        </w:rPr>
        <w:t>铬(以Cr计)</w:t>
      </w:r>
      <w:r>
        <w:rPr>
          <w:rFonts w:hint="eastAsia"/>
          <w:spacing w:val="-11"/>
          <w:lang w:val="en-US" w:eastAsia="zh-CN"/>
        </w:rPr>
        <w:t>、</w:t>
      </w:r>
      <w:r>
        <w:rPr>
          <w:rFonts w:hint="default"/>
          <w:spacing w:val="-11"/>
          <w:lang w:val="en-US" w:eastAsia="zh-CN"/>
        </w:rPr>
        <w:t>胭脂红</w:t>
      </w:r>
      <w:r>
        <w:rPr>
          <w:rFonts w:hint="eastAsia"/>
          <w:spacing w:val="-11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tabs>
          <w:tab w:val="left" w:pos="994"/>
        </w:tabs>
        <w:spacing w:before="190" w:after="0" w:line="350" w:lineRule="auto"/>
        <w:ind w:right="106" w:rightChars="0"/>
        <w:jc w:val="left"/>
        <w:rPr>
          <w:sz w:val="32"/>
          <w:vertAlign w:val="baseline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111" w:hanging="24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2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1" w:hanging="2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51" w:hanging="2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62" w:hanging="2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3" w:hanging="2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3" w:hanging="2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4" w:hanging="2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05" w:hanging="242"/>
      </w:pPr>
      <w:rPr>
        <w:rFonts w:hint="default"/>
        <w:lang w:val="zh-CN" w:eastAsia="zh-CN" w:bidi="zh-CN"/>
      </w:rPr>
    </w:lvl>
  </w:abstractNum>
  <w:abstractNum w:abstractNumId="1">
    <w:nsid w:val="FE2323F4"/>
    <w:multiLevelType w:val="singleLevel"/>
    <w:tmpl w:val="FE2323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ZGU5ZDQxODE3M2UzZmQ1ZDI3YzEyNTcwNzllOGMifQ=="/>
  </w:docVars>
  <w:rsids>
    <w:rsidRoot w:val="493123BE"/>
    <w:rsid w:val="01A83C09"/>
    <w:rsid w:val="03AF0EE7"/>
    <w:rsid w:val="05271AFA"/>
    <w:rsid w:val="05824577"/>
    <w:rsid w:val="06016502"/>
    <w:rsid w:val="064006F3"/>
    <w:rsid w:val="06A74625"/>
    <w:rsid w:val="071A45E3"/>
    <w:rsid w:val="07814779"/>
    <w:rsid w:val="08A63A80"/>
    <w:rsid w:val="09751554"/>
    <w:rsid w:val="0A2E2E3D"/>
    <w:rsid w:val="0A3525AE"/>
    <w:rsid w:val="0A8D5FAA"/>
    <w:rsid w:val="0AA6399E"/>
    <w:rsid w:val="0D823275"/>
    <w:rsid w:val="0E3C4B55"/>
    <w:rsid w:val="0E625DBC"/>
    <w:rsid w:val="0E892E6C"/>
    <w:rsid w:val="10141E19"/>
    <w:rsid w:val="11FA1F2B"/>
    <w:rsid w:val="12337339"/>
    <w:rsid w:val="13834602"/>
    <w:rsid w:val="1457591B"/>
    <w:rsid w:val="148772D3"/>
    <w:rsid w:val="16313A49"/>
    <w:rsid w:val="165E3829"/>
    <w:rsid w:val="19312338"/>
    <w:rsid w:val="198C7FDB"/>
    <w:rsid w:val="1A355B24"/>
    <w:rsid w:val="1BDF278A"/>
    <w:rsid w:val="1DEF77E3"/>
    <w:rsid w:val="1F4B16D3"/>
    <w:rsid w:val="1F5A4CCF"/>
    <w:rsid w:val="21E41B6F"/>
    <w:rsid w:val="231A06FF"/>
    <w:rsid w:val="23377BB1"/>
    <w:rsid w:val="23B33E8E"/>
    <w:rsid w:val="23C55C42"/>
    <w:rsid w:val="243C3C0C"/>
    <w:rsid w:val="25C70768"/>
    <w:rsid w:val="25CD3AD4"/>
    <w:rsid w:val="2613738E"/>
    <w:rsid w:val="2633007B"/>
    <w:rsid w:val="27E345BB"/>
    <w:rsid w:val="28811AD3"/>
    <w:rsid w:val="28FA301D"/>
    <w:rsid w:val="296D4238"/>
    <w:rsid w:val="2A64751E"/>
    <w:rsid w:val="2BB31480"/>
    <w:rsid w:val="2BDE587A"/>
    <w:rsid w:val="2BF90788"/>
    <w:rsid w:val="2D415CCC"/>
    <w:rsid w:val="2DDC50D9"/>
    <w:rsid w:val="2FD22494"/>
    <w:rsid w:val="305D7B83"/>
    <w:rsid w:val="307A464B"/>
    <w:rsid w:val="30C47501"/>
    <w:rsid w:val="31035AE2"/>
    <w:rsid w:val="317926D5"/>
    <w:rsid w:val="31FB075D"/>
    <w:rsid w:val="31FF509F"/>
    <w:rsid w:val="32D86506"/>
    <w:rsid w:val="33EB21DE"/>
    <w:rsid w:val="343119C1"/>
    <w:rsid w:val="34BF0E0C"/>
    <w:rsid w:val="35A02B5B"/>
    <w:rsid w:val="35B360E6"/>
    <w:rsid w:val="360B3FD4"/>
    <w:rsid w:val="36683797"/>
    <w:rsid w:val="372C3DBA"/>
    <w:rsid w:val="37497DFB"/>
    <w:rsid w:val="37AD777D"/>
    <w:rsid w:val="39294E48"/>
    <w:rsid w:val="39BC4267"/>
    <w:rsid w:val="3A754535"/>
    <w:rsid w:val="3B0B40DD"/>
    <w:rsid w:val="3B0D6591"/>
    <w:rsid w:val="40714F85"/>
    <w:rsid w:val="417D1C7B"/>
    <w:rsid w:val="42333C8E"/>
    <w:rsid w:val="425C6541"/>
    <w:rsid w:val="45EF780F"/>
    <w:rsid w:val="45F848BE"/>
    <w:rsid w:val="460A75DE"/>
    <w:rsid w:val="46913617"/>
    <w:rsid w:val="46A74AC6"/>
    <w:rsid w:val="47E72F8E"/>
    <w:rsid w:val="485D2719"/>
    <w:rsid w:val="493123BE"/>
    <w:rsid w:val="495F4DC6"/>
    <w:rsid w:val="49932805"/>
    <w:rsid w:val="4A233E3D"/>
    <w:rsid w:val="4AF15A3B"/>
    <w:rsid w:val="4B3B73A1"/>
    <w:rsid w:val="4B63653E"/>
    <w:rsid w:val="4BF058F8"/>
    <w:rsid w:val="4C49704E"/>
    <w:rsid w:val="4F060C85"/>
    <w:rsid w:val="500561E6"/>
    <w:rsid w:val="50125C19"/>
    <w:rsid w:val="50A40420"/>
    <w:rsid w:val="517234D1"/>
    <w:rsid w:val="523C5AB8"/>
    <w:rsid w:val="52417F5C"/>
    <w:rsid w:val="528F75F0"/>
    <w:rsid w:val="53436A33"/>
    <w:rsid w:val="534A3870"/>
    <w:rsid w:val="536F07D8"/>
    <w:rsid w:val="5546165C"/>
    <w:rsid w:val="56531A1B"/>
    <w:rsid w:val="565C7795"/>
    <w:rsid w:val="568963F4"/>
    <w:rsid w:val="56E32125"/>
    <w:rsid w:val="5A5F25C6"/>
    <w:rsid w:val="5AE8332B"/>
    <w:rsid w:val="5C6254AC"/>
    <w:rsid w:val="5CB07976"/>
    <w:rsid w:val="5E711B14"/>
    <w:rsid w:val="5EDF760B"/>
    <w:rsid w:val="5EE24F84"/>
    <w:rsid w:val="5F80154C"/>
    <w:rsid w:val="5FC4581F"/>
    <w:rsid w:val="608E5C42"/>
    <w:rsid w:val="60E55BA0"/>
    <w:rsid w:val="61006F29"/>
    <w:rsid w:val="614218FD"/>
    <w:rsid w:val="61C30D25"/>
    <w:rsid w:val="625903F2"/>
    <w:rsid w:val="644B3932"/>
    <w:rsid w:val="64CB3FD2"/>
    <w:rsid w:val="65764FA6"/>
    <w:rsid w:val="65885534"/>
    <w:rsid w:val="66A7453E"/>
    <w:rsid w:val="66A87576"/>
    <w:rsid w:val="66C90100"/>
    <w:rsid w:val="66DFE915"/>
    <w:rsid w:val="679514C2"/>
    <w:rsid w:val="67D278AC"/>
    <w:rsid w:val="6A125A4F"/>
    <w:rsid w:val="6A922829"/>
    <w:rsid w:val="6E447837"/>
    <w:rsid w:val="6E861978"/>
    <w:rsid w:val="6F6560B7"/>
    <w:rsid w:val="6F7271AA"/>
    <w:rsid w:val="6FF22EEA"/>
    <w:rsid w:val="716B3F05"/>
    <w:rsid w:val="71847558"/>
    <w:rsid w:val="73A04FAE"/>
    <w:rsid w:val="74291359"/>
    <w:rsid w:val="74FF2988"/>
    <w:rsid w:val="76111D49"/>
    <w:rsid w:val="77A25F54"/>
    <w:rsid w:val="78C0027C"/>
    <w:rsid w:val="78FB2A90"/>
    <w:rsid w:val="79BF6085"/>
    <w:rsid w:val="7AD324E9"/>
    <w:rsid w:val="7C9061B7"/>
    <w:rsid w:val="7CBC7B4E"/>
    <w:rsid w:val="7D034F6E"/>
    <w:rsid w:val="7D123535"/>
    <w:rsid w:val="7D4F6416"/>
    <w:rsid w:val="7DBA1D68"/>
    <w:rsid w:val="7E153868"/>
    <w:rsid w:val="7E786BF0"/>
    <w:rsid w:val="7F11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  <w:ind w:left="11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List Paragraph"/>
    <w:basedOn w:val="1"/>
    <w:qFormat/>
    <w:uiPriority w:val="1"/>
    <w:pPr>
      <w:spacing w:before="5"/>
      <w:ind w:left="111" w:right="106" w:firstLine="64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2050</Words>
  <Characters>2334</Characters>
  <Lines>0</Lines>
  <Paragraphs>0</Paragraphs>
  <TotalTime>2</TotalTime>
  <ScaleCrop>false</ScaleCrop>
  <LinksUpToDate>false</LinksUpToDate>
  <CharactersWithSpaces>2397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2021-09-08T22:54:00Z</dcterms:created>
  <dc:creator>我爱的是你爱我</dc:creator>
  <cp:lastModifiedBy>user</cp:lastModifiedBy>
  <dcterms:modified xsi:type="dcterms:W3CDTF">2023-05-09T09:36:16Z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CE75A34F0E8A4757851654E79981FF54</vt:lpwstr>
  </property>
</Properties>
</file>