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FF000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after="156" w:afterLines="5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来宾市市场监督管理局2022年你点我检500批次检验项目</w:t>
      </w:r>
    </w:p>
    <w:tbl>
      <w:tblPr>
        <w:tblStyle w:val="8"/>
        <w:tblW w:w="5508" w:type="pct"/>
        <w:jc w:val="center"/>
        <w:tblLayout w:type="fixed"/>
        <w:tblCellMar>
          <w:top w:w="0" w:type="dxa"/>
          <w:left w:w="108" w:type="dxa"/>
          <w:bottom w:w="0" w:type="dxa"/>
          <w:right w:w="108" w:type="dxa"/>
        </w:tblCellMar>
      </w:tblPr>
      <w:tblGrid>
        <w:gridCol w:w="612"/>
        <w:gridCol w:w="1138"/>
        <w:gridCol w:w="1260"/>
        <w:gridCol w:w="673"/>
        <w:gridCol w:w="1289"/>
        <w:gridCol w:w="1306"/>
        <w:gridCol w:w="1401"/>
        <w:gridCol w:w="2820"/>
        <w:gridCol w:w="1809"/>
        <w:gridCol w:w="1899"/>
        <w:gridCol w:w="1407"/>
      </w:tblGrid>
      <w:tr>
        <w:tblPrEx>
          <w:tblCellMar>
            <w:top w:w="0" w:type="dxa"/>
            <w:left w:w="108" w:type="dxa"/>
            <w:bottom w:w="0" w:type="dxa"/>
            <w:right w:w="108" w:type="dxa"/>
          </w:tblCellMar>
        </w:tblPrEx>
        <w:trPr>
          <w:trHeight w:val="680" w:hRule="atLeast"/>
          <w:tblHeader/>
          <w:jc w:val="center"/>
        </w:trPr>
        <w:tc>
          <w:tcPr>
            <w:tcW w:w="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序号</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食品大类</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（一级）</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抽样环节</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批次</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食品亚类</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（二级）</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食品品种</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（三级）</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食品细类</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（四级）</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检验项目</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依据法律法规或标准</w:t>
            </w:r>
          </w:p>
        </w:tc>
        <w:tc>
          <w:tcPr>
            <w:tcW w:w="60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检测方法</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szCs w:val="21"/>
              </w:rPr>
            </w:pPr>
            <w:r>
              <w:rPr>
                <w:rFonts w:hint="eastAsia" w:ascii="黑体" w:hAnsi="黑体" w:eastAsia="黑体" w:cs="黑体"/>
                <w:kern w:val="0"/>
                <w:szCs w:val="21"/>
                <w:lang w:bidi="ar"/>
              </w:rPr>
              <w:t>备注</w:t>
            </w:r>
          </w:p>
        </w:tc>
      </w:tr>
      <w:tr>
        <w:tblPrEx>
          <w:tblCellMar>
            <w:top w:w="0" w:type="dxa"/>
            <w:left w:w="108" w:type="dxa"/>
            <w:bottom w:w="0" w:type="dxa"/>
            <w:right w:w="108" w:type="dxa"/>
          </w:tblCellMar>
        </w:tblPrEx>
        <w:trPr>
          <w:trHeight w:val="1500" w:hRule="atLeast"/>
          <w:jc w:val="center"/>
        </w:trPr>
        <w:tc>
          <w:tcPr>
            <w:tcW w:w="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粮食加工品</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r>
              <w:rPr>
                <w:rFonts w:hint="eastAsia" w:eastAsia="仿宋_GB2312"/>
                <w:color w:val="000000" w:themeColor="text1"/>
                <w:kern w:val="0"/>
                <w:szCs w:val="21"/>
                <w:lang w:bidi="ar"/>
                <w14:textFill>
                  <w14:solidFill>
                    <w14:schemeClr w14:val="tx1"/>
                  </w14:solidFill>
                </w14:textFill>
              </w:rPr>
              <w:t>、餐饮环节</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50</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其他粮食加工品</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谷物粉类制成品</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米粉制品（干米粉、鲜湿米粉）</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苯甲酸及其钠盐（以苯甲酸计）、山梨酸及其钾盐（以山梨酸计）、脱氢乙酸及其钠盐（以脱氢乙酸计）、二氧化硫残留量</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5009.28、GB 5009.121、GB 5009.34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r>
      <w:tr>
        <w:tblPrEx>
          <w:tblCellMar>
            <w:top w:w="0" w:type="dxa"/>
            <w:left w:w="108" w:type="dxa"/>
            <w:bottom w:w="0" w:type="dxa"/>
            <w:right w:w="108" w:type="dxa"/>
          </w:tblCellMar>
        </w:tblPrEx>
        <w:trPr>
          <w:trHeight w:val="90" w:hRule="atLeast"/>
          <w:jc w:val="center"/>
        </w:trPr>
        <w:tc>
          <w:tcPr>
            <w:tcW w:w="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2</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食用油、油脂及其制品</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r>
              <w:rPr>
                <w:rFonts w:hint="eastAsia" w:eastAsia="仿宋_GB2312"/>
                <w:color w:val="000000" w:themeColor="text1"/>
                <w:kern w:val="0"/>
                <w:szCs w:val="21"/>
                <w:lang w:bidi="ar"/>
                <w14:textFill>
                  <w14:solidFill>
                    <w14:schemeClr w14:val="tx1"/>
                  </w14:solidFill>
                </w14:textFill>
              </w:rPr>
              <w:t>、餐饮环节</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kern w:val="0"/>
                <w:sz w:val="24"/>
                <w:lang w:bidi="ar"/>
              </w:rPr>
              <w:t>56</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食用植物油（含煎炸用油）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食用植物油（半精炼、全 精炼）</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花生油、玉米油、菜籽油、大豆油、食用植物调和油</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酸价、过氧化值、苯并[a]芘、特丁基对苯二酚（TBHQ）</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2716、产品明示标准和质量要求、GB 2762、GB 2760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5009.229、GB 5009.227、GB 5009.27、GB 5009.32</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638"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3</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乳制品</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p>
        </w:tc>
        <w:tc>
          <w:tcPr>
            <w:tcW w:w="2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kern w:val="0"/>
                <w:sz w:val="24"/>
                <w:lang w:bidi="ar"/>
              </w:rPr>
              <w:t>56</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乳制品</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液体乳</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灭菌乳</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蛋白质、酸度、三聚氰胺、商业无菌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25190、卫生部、工业和信息化部、农业部、工商总局质检总局公告 2011 年第 10 号</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5009.5、GB 5009.239、GB/T 22388、GB 4789.26</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35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发酵乳</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大肠菌群、酵母、霉菌、金黄色葡萄球菌、沙门氏菌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19302、GB 29921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4789.3 平板计数法、GB 4789.15、GB 4789.10 定性检验、GB 4789.4</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69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调制乳</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蛋白质、三聚氰胺、商业无菌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25191、卫生部、工业和信息化部、农业 部、工商总局质检总局公告 2011 年第 10 号</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5009.5、GB/T 22388、GB 4789.26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限采用灭菌工艺生产的调制乳检测，如果是铝箔纸包装为灭菌工艺生产</w:t>
            </w:r>
          </w:p>
        </w:tc>
      </w:tr>
      <w:tr>
        <w:tblPrEx>
          <w:tblCellMar>
            <w:top w:w="0" w:type="dxa"/>
            <w:left w:w="108" w:type="dxa"/>
            <w:bottom w:w="0" w:type="dxa"/>
            <w:right w:w="108" w:type="dxa"/>
          </w:tblCellMar>
        </w:tblPrEx>
        <w:trPr>
          <w:trHeight w:val="810"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4</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饮料</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p>
        </w:tc>
        <w:tc>
          <w:tcPr>
            <w:tcW w:w="2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kern w:val="0"/>
                <w:sz w:val="24"/>
                <w:lang w:bidi="ar"/>
              </w:rPr>
              <w:t>72</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饮料</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包装饮用水</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饮用天然矿泉水</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溴酸盐、亚硝酸盐（以NO2-计）、大肠菌群、铜绿假单胞菌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8537、GB 2762</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8538</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饮用纯净水</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亚硝酸盐（以 NO2-计）、溴酸盐、大肠菌群、铜绿假单胞菌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19298</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8538、GB/T 5750.10、GB 4789.3 平板计数法</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其他类饮用水</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亚硝酸盐（以 NO2-计）、溴酸盐、大肠菌群、铜绿假单胞菌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19298</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8538、 GB/T 5750.10、GB 4789.3 平板计数法</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35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果蔬汁类及其饮料</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果蔬汁类及其饮料</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eastAsia="仿宋_GB2312"/>
                <w:szCs w:val="21"/>
              </w:rPr>
            </w:pPr>
            <w:r>
              <w:rPr>
                <w:rFonts w:hint="default" w:eastAsia="仿宋_GB2312"/>
                <w:kern w:val="0"/>
                <w:szCs w:val="21"/>
                <w:lang w:bidi="ar"/>
              </w:rPr>
              <w:t>安赛蜜、糖精钠、菌落总数、大肠菌群、霉菌、酵母</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eastAsia="仿宋_GB2312"/>
                <w:szCs w:val="21"/>
              </w:rPr>
            </w:pPr>
            <w:r>
              <w:rPr>
                <w:rFonts w:hint="default" w:eastAsia="仿宋_GB2312"/>
                <w:kern w:val="0"/>
                <w:szCs w:val="21"/>
                <w:lang w:bidi="ar"/>
              </w:rPr>
              <w:t>GB 2760、GB 7101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GB/T 5009.140、GB 5009.28、GB 4789.2、GB 4789.3 平板计数法、GB 4789.15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1.限预包装食品检测；           2.不适用于活菌（未杀菌）型产品；                      3.执行 GB 17325 的产品除外。</w:t>
            </w: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蛋白饮料</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蛋白饮料</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菌落总数、大肠菌群、沙门氏菌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7101、GB 29921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4789.2、GB 4789.3 平板计数法、GB 4789.4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1.不适用于活菌（未杀菌）型产品；                   2.限预包装食品检测。</w:t>
            </w:r>
          </w:p>
        </w:tc>
      </w:tr>
      <w:tr>
        <w:tblPrEx>
          <w:tblCellMar>
            <w:top w:w="0" w:type="dxa"/>
            <w:left w:w="108" w:type="dxa"/>
            <w:bottom w:w="0" w:type="dxa"/>
            <w:right w:w="108" w:type="dxa"/>
          </w:tblCellMar>
        </w:tblPrEx>
        <w:trPr>
          <w:trHeight w:val="635"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碳酸饮料(汽水)</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碳酸饮料(汽水)</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苯甲酸及其钠盐（以苯甲酸计）、山梨酸及其钾盐（以山梨酸计）、菌落总数、霉菌、酵母</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GB 2760、GB 7101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5009.28、GB 4789.2、GB 4789.15</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限预包装食品检测。</w:t>
            </w:r>
          </w:p>
        </w:tc>
      </w:tr>
      <w:tr>
        <w:tblPrEx>
          <w:tblCellMar>
            <w:top w:w="0" w:type="dxa"/>
            <w:left w:w="108" w:type="dxa"/>
            <w:bottom w:w="0" w:type="dxa"/>
            <w:right w:w="108" w:type="dxa"/>
          </w:tblCellMar>
        </w:tblPrEx>
        <w:trPr>
          <w:trHeight w:val="108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固体饮料</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固体饮料</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苯甲酸及其钠盐（以苯甲酸计）、山梨酸及其钾盐（以山梨酸计）、糖精钠（以糖精计）、霉菌</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2760、GB 7101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5009.28、GB 4789.3 平板计数法、GB 4789.15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限预包装食品检测。</w:t>
            </w:r>
          </w:p>
        </w:tc>
      </w:tr>
      <w:tr>
        <w:tblPrEx>
          <w:tblCellMar>
            <w:top w:w="0" w:type="dxa"/>
            <w:left w:w="108" w:type="dxa"/>
            <w:bottom w:w="0" w:type="dxa"/>
            <w:right w:w="108" w:type="dxa"/>
          </w:tblCellMar>
        </w:tblPrEx>
        <w:trPr>
          <w:trHeight w:val="132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其他饮料</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其他饮料</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苯甲酸及其钠盐（以苯甲酸计）、山梨酸及其钾盐（以山梨酸计）、糖精钠（以糖精计）、霉菌、酵母</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2760、GB 7101</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5009.28、GB 4789.15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限预包装食品检测。</w:t>
            </w:r>
          </w:p>
        </w:tc>
      </w:tr>
      <w:tr>
        <w:tblPrEx>
          <w:tblCellMar>
            <w:top w:w="0" w:type="dxa"/>
            <w:left w:w="108" w:type="dxa"/>
            <w:bottom w:w="0" w:type="dxa"/>
            <w:right w:w="108" w:type="dxa"/>
          </w:tblCellMar>
        </w:tblPrEx>
        <w:trPr>
          <w:trHeight w:val="1456"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5</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炒货食品及坚果制品</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r>
              <w:rPr>
                <w:rFonts w:hint="eastAsia" w:eastAsia="仿宋_GB2312"/>
                <w:color w:val="000000" w:themeColor="text1"/>
                <w:kern w:val="0"/>
                <w:szCs w:val="21"/>
                <w:lang w:bidi="ar"/>
                <w14:textFill>
                  <w14:solidFill>
                    <w14:schemeClr w14:val="tx1"/>
                  </w14:solidFill>
                </w14:textFill>
              </w:rPr>
              <w:t>、餐饮环节</w:t>
            </w:r>
          </w:p>
        </w:tc>
        <w:tc>
          <w:tcPr>
            <w:tcW w:w="2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 w:val="24"/>
              </w:rPr>
              <w:t>39</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炒货食品及坚果制品</w:t>
            </w:r>
          </w:p>
        </w:tc>
        <w:tc>
          <w:tcPr>
            <w:tcW w:w="41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炒货食品及坚果制品（烘炒类、油炸类、其他类）</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开心果、杏仁、扁桃仁、松仁、瓜子</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酸价(以脂肪计）、过氧化值(以脂肪计）、铅（以Pb计）、糖精钠（以糖精计）、甜蜜素（以环己基氨基磺酸计）</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19300、GB 2762、GB 2760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5009.229、GB 5009.227、GB 5009.12、GB 5009.28、GB 5009.97</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color w:val="000000" w:themeColor="text1"/>
                <w:szCs w:val="21"/>
                <w14:textFill>
                  <w14:solidFill>
                    <w14:schemeClr w14:val="tx1"/>
                  </w14:solidFill>
                </w14:textFill>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其他炒货食品及坚果制品</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铅（以Pb计）、糖精钠（以糖精计）、甜蜜素(以环己基氨基磺酸计)</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2760</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5009.12、GB 5009.28、GB 5009.97</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520" w:hRule="atLeast"/>
          <w:jc w:val="center"/>
        </w:trPr>
        <w:tc>
          <w:tcPr>
            <w:tcW w:w="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6</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糕点</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kern w:val="0"/>
                <w:sz w:val="24"/>
                <w:lang w:bidi="ar"/>
              </w:rPr>
              <w:t>52</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糕点</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糕点</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糕点</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苯甲酸及其钠盐（以苯甲酸计）、山梨酸及其钾盐（以山梨酸计）、糖精钠（以糖精计）、菌落总数、大肠菌群</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2760、GB 7099</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5009.28、GB 4789.2、GB 4789.3 平板计数法</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szCs w:val="21"/>
              </w:rPr>
            </w:pPr>
            <w:r>
              <w:rPr>
                <w:rFonts w:hint="eastAsia" w:eastAsia="仿宋_GB2312"/>
                <w:szCs w:val="21"/>
              </w:rPr>
              <w:t>不适用于现制现售的产品以及含有未熟制的发酵配料或新鲜水果蔬菜的产品。</w:t>
            </w:r>
          </w:p>
        </w:tc>
      </w:tr>
      <w:tr>
        <w:tblPrEx>
          <w:tblCellMar>
            <w:top w:w="0" w:type="dxa"/>
            <w:left w:w="108" w:type="dxa"/>
            <w:bottom w:w="0" w:type="dxa"/>
            <w:right w:w="108" w:type="dxa"/>
          </w:tblCellMar>
        </w:tblPrEx>
        <w:trPr>
          <w:trHeight w:val="1080" w:hRule="atLeast"/>
          <w:jc w:val="center"/>
        </w:trPr>
        <w:tc>
          <w:tcPr>
            <w:tcW w:w="1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7</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食用农产品</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color w:val="000000" w:themeColor="text1"/>
                <w:szCs w:val="21"/>
                <w14:textFill>
                  <w14:solidFill>
                    <w14:schemeClr w14:val="tx1"/>
                  </w14:solidFill>
                </w14:textFill>
              </w:rPr>
            </w:pPr>
            <w:r>
              <w:rPr>
                <w:rFonts w:hint="eastAsia" w:eastAsia="仿宋_GB2312"/>
                <w:color w:val="000000" w:themeColor="text1"/>
                <w:kern w:val="0"/>
                <w:szCs w:val="21"/>
                <w:lang w:bidi="ar"/>
                <w14:textFill>
                  <w14:solidFill>
                    <w14:schemeClr w14:val="tx1"/>
                  </w14:solidFill>
                </w14:textFill>
              </w:rPr>
              <w:t>生产环节、</w:t>
            </w:r>
            <w:r>
              <w:rPr>
                <w:rFonts w:hint="default" w:eastAsia="仿宋_GB2312"/>
                <w:color w:val="000000" w:themeColor="text1"/>
                <w:kern w:val="0"/>
                <w:szCs w:val="21"/>
                <w:lang w:bidi="ar"/>
                <w14:textFill>
                  <w14:solidFill>
                    <w14:schemeClr w14:val="tx1"/>
                  </w14:solidFill>
                </w14:textFill>
              </w:rPr>
              <w:t>流通环节</w:t>
            </w:r>
          </w:p>
        </w:tc>
        <w:tc>
          <w:tcPr>
            <w:tcW w:w="21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 w:val="24"/>
              </w:rPr>
              <w:t>175</w:t>
            </w: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蔬菜</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叶菜类蔬菜</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菠菜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铅、镉、氯氰菊酯和高效氯氰菊酯、毒死蜱、氧乐果</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5009.12、GB 5009.15、NY/T 761、GB 23200.113</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芹菜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毒死蜱、甲拌磷、氧乐果、氯氟氰菊酯和高效氯氟氰菊酯、甲基异柳磷</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23200.113 、NY/T 761</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65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普通白菜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铅（以 Pb 计）、毒死蜱、氧乐果、甲基异柳磷、氯氰菊酯和高效氯氰菊酯</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5009.12、GB 23200.113 、NY/T 761</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34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大白菜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镉（以 Cd 计）、毒死蜱、氧乐果、甲胺磷、水胺硫磷</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2762、GB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5009.15、GB 23200.113、NY/T 761</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1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油麦菜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毒死蜱、甲胺磷、氧乐果、氯氟氰菊酯和高效氯氟氰菊酯</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23200.113、NY/T 761</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1115"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瓜类蔬菜</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黄瓜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敌敌畏、毒死蜱、甲拌磷、氧乐果、腐霉利</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NY/T 761、GB 23200.113</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540"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水果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仁果类水果</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苹果</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敌敌畏、毒死蜱、甲拌磷、氧乐果</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NY/T 761、GB 23200.113</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874" w:hRule="atLeast"/>
          <w:jc w:val="center"/>
        </w:trPr>
        <w:tc>
          <w:tcPr>
            <w:tcW w:w="19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21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浆果和其他小型水果</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葡萄</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Cs w:val="21"/>
              </w:rPr>
            </w:pPr>
            <w:r>
              <w:rPr>
                <w:rFonts w:hint="default" w:eastAsia="仿宋_GB2312"/>
                <w:kern w:val="0"/>
                <w:szCs w:val="21"/>
                <w:lang w:bidi="ar"/>
              </w:rPr>
              <w:t>甲胺磷、氯氰菊酯和高效氯氰菊酯、氧乐果、氯氟氰菊酯和高效氯氟氰菊酯</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GB 2763</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szCs w:val="21"/>
              </w:rPr>
            </w:pPr>
            <w:r>
              <w:rPr>
                <w:rFonts w:hint="default" w:eastAsia="仿宋_GB2312"/>
                <w:kern w:val="0"/>
                <w:szCs w:val="21"/>
                <w:lang w:bidi="ar"/>
              </w:rPr>
              <w:t>NY/T 761、GB 23200.113</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eastAsia="仿宋_GB2312"/>
                <w:szCs w:val="21"/>
              </w:rPr>
            </w:pPr>
          </w:p>
        </w:tc>
      </w:tr>
      <w:tr>
        <w:tblPrEx>
          <w:tblCellMar>
            <w:top w:w="0" w:type="dxa"/>
            <w:left w:w="108" w:type="dxa"/>
            <w:bottom w:w="0" w:type="dxa"/>
            <w:right w:w="108" w:type="dxa"/>
          </w:tblCellMar>
        </w:tblPrEx>
        <w:trPr>
          <w:trHeight w:val="557" w:hRule="atLeast"/>
          <w:jc w:val="center"/>
        </w:trPr>
        <w:tc>
          <w:tcPr>
            <w:tcW w:w="56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b/>
                <w:bCs/>
                <w:szCs w:val="21"/>
              </w:rPr>
            </w:pPr>
            <w:r>
              <w:rPr>
                <w:rFonts w:hint="eastAsia" w:ascii="黑体" w:hAnsi="黑体" w:eastAsia="黑体" w:cs="黑体"/>
                <w:kern w:val="0"/>
                <w:szCs w:val="21"/>
                <w:lang w:bidi="ar"/>
              </w:rPr>
              <w:t>合计</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eastAsia="仿宋_GB2312"/>
                <w:b/>
                <w:bCs/>
                <w:szCs w:val="21"/>
              </w:rPr>
            </w:pPr>
          </w:p>
        </w:tc>
        <w:tc>
          <w:tcPr>
            <w:tcW w:w="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eastAsia="仿宋_GB2312"/>
                <w:b/>
                <w:bCs/>
                <w:szCs w:val="21"/>
              </w:rPr>
            </w:pPr>
            <w:r>
              <w:rPr>
                <w:rFonts w:hint="default" w:eastAsia="仿宋_GB2312"/>
                <w:kern w:val="0"/>
                <w:szCs w:val="21"/>
                <w:lang w:bidi="ar"/>
              </w:rPr>
              <w:t>500</w:t>
            </w: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eastAsia="仿宋_GB2312"/>
                <w:b/>
                <w:bCs/>
                <w:szCs w:val="21"/>
              </w:rPr>
            </w:pPr>
          </w:p>
        </w:tc>
        <w:tc>
          <w:tcPr>
            <w:tcW w:w="5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eastAsia="仿宋_GB2312"/>
                <w:b/>
                <w:bCs/>
                <w:szCs w:val="21"/>
              </w:rPr>
            </w:pP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eastAsia="仿宋_GB2312"/>
                <w:szCs w:val="21"/>
              </w:rPr>
            </w:pPr>
          </w:p>
        </w:tc>
      </w:tr>
    </w:tbl>
    <w:p/>
    <w:p>
      <w:r>
        <w:rPr>
          <w:rFonts w:eastAsia="仿宋_GB2312"/>
          <w:szCs w:val="21"/>
        </w:rPr>
        <w:t>注：在现场抽样过程中，若食品分类中的食品细类（四级）抽不到的，可根据抽样现场的食品在该食品大类中自行调整。</w:t>
      </w:r>
    </w:p>
    <w:p>
      <w:pPr>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suppressAutoHyphens/>
        <w:spacing w:line="640" w:lineRule="exact"/>
        <w:jc w:val="both"/>
      </w:pPr>
    </w:p>
    <w:sectPr>
      <w:footerReference r:id="rId3" w:type="default"/>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wZTY2MjEyN2Q4MjkxOWM0NmMzNzUyNjJlNmQifQ=="/>
  </w:docVars>
  <w:rsids>
    <w:rsidRoot w:val="1A9D4A9C"/>
    <w:rsid w:val="00004A80"/>
    <w:rsid w:val="000059B2"/>
    <w:rsid w:val="00062190"/>
    <w:rsid w:val="0020598D"/>
    <w:rsid w:val="002061E8"/>
    <w:rsid w:val="00212058"/>
    <w:rsid w:val="002D55A5"/>
    <w:rsid w:val="00313060"/>
    <w:rsid w:val="003A215B"/>
    <w:rsid w:val="00403375"/>
    <w:rsid w:val="007B26AB"/>
    <w:rsid w:val="00850CD3"/>
    <w:rsid w:val="008D3553"/>
    <w:rsid w:val="0097533C"/>
    <w:rsid w:val="00A43600"/>
    <w:rsid w:val="00A51798"/>
    <w:rsid w:val="00AF136A"/>
    <w:rsid w:val="00AF3992"/>
    <w:rsid w:val="00C671E5"/>
    <w:rsid w:val="00CF6796"/>
    <w:rsid w:val="00E2108C"/>
    <w:rsid w:val="1A9D4A9C"/>
    <w:rsid w:val="1CED606A"/>
    <w:rsid w:val="20357C1F"/>
    <w:rsid w:val="2C925601"/>
    <w:rsid w:val="4BA956F9"/>
    <w:rsid w:val="59617FD5"/>
    <w:rsid w:val="6FC7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link w:val="12"/>
    <w:qFormat/>
    <w:uiPriority w:val="0"/>
    <w:pPr>
      <w:jc w:val="center"/>
    </w:pPr>
    <w:rPr>
      <w:rFonts w:ascii="Times New Roman" w:hAnsi="Times New Roman" w:eastAsia="华文中宋"/>
      <w:b/>
      <w:bCs/>
      <w:color w:val="FF0000"/>
      <w:spacing w:val="52"/>
      <w:w w:val="80"/>
      <w:kern w:val="0"/>
      <w:sz w:val="72"/>
      <w:szCs w:val="20"/>
    </w:rPr>
  </w:style>
  <w:style w:type="paragraph" w:styleId="4">
    <w:name w:val="Body Text Indent"/>
    <w:basedOn w:val="1"/>
    <w:link w:val="11"/>
    <w:qFormat/>
    <w:uiPriority w:val="0"/>
    <w:pPr>
      <w:ind w:firstLine="627" w:firstLineChars="196"/>
    </w:pPr>
    <w:rPr>
      <w:rFonts w:eastAsia="仿宋_GB2312"/>
      <w:sz w:val="32"/>
      <w:szCs w:val="24"/>
    </w:rPr>
  </w:style>
  <w:style w:type="paragraph" w:styleId="5">
    <w:name w:val="footer"/>
    <w:basedOn w:val="1"/>
    <w:link w:val="16"/>
    <w:qFormat/>
    <w:uiPriority w:val="0"/>
    <w:pPr>
      <w:tabs>
        <w:tab w:val="center" w:pos="4153"/>
        <w:tab w:val="right" w:pos="8306"/>
      </w:tabs>
      <w:suppressAutoHyphens/>
      <w:snapToGrid w:val="0"/>
      <w:jc w:val="left"/>
    </w:pPr>
    <w:rPr>
      <w:kern w:val="1"/>
      <w:sz w:val="18"/>
      <w:szCs w:val="18"/>
      <w:lang w:eastAsia="ar-SA"/>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0">
    <w:name w:val="page number"/>
    <w:basedOn w:val="9"/>
    <w:qFormat/>
    <w:uiPriority w:val="0"/>
  </w:style>
  <w:style w:type="character" w:customStyle="1" w:styleId="11">
    <w:name w:val="正文文本缩进 Char"/>
    <w:basedOn w:val="9"/>
    <w:link w:val="4"/>
    <w:qFormat/>
    <w:uiPriority w:val="0"/>
    <w:rPr>
      <w:rFonts w:eastAsia="仿宋_GB2312"/>
      <w:kern w:val="2"/>
      <w:sz w:val="32"/>
      <w:szCs w:val="24"/>
    </w:rPr>
  </w:style>
  <w:style w:type="character" w:customStyle="1" w:styleId="12">
    <w:name w:val="正文文本 Char"/>
    <w:basedOn w:val="9"/>
    <w:link w:val="3"/>
    <w:qFormat/>
    <w:uiPriority w:val="0"/>
    <w:rPr>
      <w:rFonts w:ascii="Times New Roman" w:hAnsi="Times New Roman" w:eastAsia="华文中宋"/>
      <w:b/>
      <w:bCs/>
      <w:color w:val="FF0000"/>
      <w:spacing w:val="52"/>
      <w:w w:val="80"/>
      <w:sz w:val="72"/>
    </w:rPr>
  </w:style>
  <w:style w:type="paragraph" w:customStyle="1" w:styleId="13">
    <w:name w:val="列出段落1"/>
    <w:basedOn w:val="1"/>
    <w:qFormat/>
    <w:uiPriority w:val="0"/>
    <w:pPr>
      <w:autoSpaceDE w:val="0"/>
      <w:autoSpaceDN w:val="0"/>
      <w:spacing w:before="1" w:after="100" w:afterAutospacing="1"/>
      <w:ind w:left="928" w:firstLine="480"/>
      <w:jc w:val="left"/>
    </w:pPr>
    <w:rPr>
      <w:rFonts w:ascii="宋体" w:hAnsi="宋体" w:cs="宋体"/>
      <w:kern w:val="0"/>
      <w:sz w:val="22"/>
    </w:rPr>
  </w:style>
  <w:style w:type="paragraph" w:customStyle="1" w:styleId="14">
    <w:name w:val="列表段落"/>
    <w:basedOn w:val="1"/>
    <w:qFormat/>
    <w:uiPriority w:val="0"/>
    <w:pPr>
      <w:ind w:firstLine="420" w:firstLineChars="200"/>
    </w:pPr>
    <w:rPr>
      <w:rFonts w:ascii="Times New Roman" w:hAnsi="Times New Roman"/>
      <w:szCs w:val="21"/>
    </w:rPr>
  </w:style>
  <w:style w:type="character" w:customStyle="1" w:styleId="15">
    <w:name w:val="页眉 Char"/>
    <w:basedOn w:val="9"/>
    <w:link w:val="6"/>
    <w:qFormat/>
    <w:uiPriority w:val="0"/>
    <w:rPr>
      <w:kern w:val="2"/>
      <w:sz w:val="18"/>
      <w:szCs w:val="22"/>
    </w:rPr>
  </w:style>
  <w:style w:type="character" w:customStyle="1" w:styleId="16">
    <w:name w:val="页脚 Char"/>
    <w:basedOn w:val="9"/>
    <w:link w:val="5"/>
    <w:qFormat/>
    <w:uiPriority w:val="0"/>
    <w:rPr>
      <w:kern w:val="1"/>
      <w:sz w:val="18"/>
      <w:szCs w:val="18"/>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941</Words>
  <Characters>952</Characters>
  <Lines>20</Lines>
  <Paragraphs>5</Paragraphs>
  <TotalTime>2</TotalTime>
  <ScaleCrop>false</ScaleCrop>
  <LinksUpToDate>false</LinksUpToDate>
  <CharactersWithSpaces>953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2019-10-18T07:13:00Z</dcterms:created>
  <dc:creator>Administrator</dc:creator>
  <cp:lastModifiedBy>Administrator</cp:lastModifiedBy>
  <dcterms:modified xsi:type="dcterms:W3CDTF">2023-04-24T08:14:46Z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585CA6B30C884A99A903C418FC134DCF</vt:lpwstr>
  </property>
</Properties>
</file>