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95"/>
        </w:tabs>
        <w:spacing w:line="440" w:lineRule="atLeast"/>
        <w:jc w:val="center"/>
        <w:rPr>
          <w:rFonts w:eastAsia="楷体_GB2312"/>
          <w:b/>
          <w:bCs/>
          <w:sz w:val="72"/>
          <w:szCs w:val="72"/>
        </w:rPr>
      </w:pPr>
    </w:p>
    <w:p>
      <w:pPr>
        <w:tabs>
          <w:tab w:val="left" w:pos="1995"/>
        </w:tabs>
        <w:spacing w:line="440" w:lineRule="atLeast"/>
        <w:jc w:val="center"/>
        <w:rPr>
          <w:rFonts w:eastAsia="楷体_GB2312"/>
          <w:b w:val="0"/>
          <w:bCs w:val="0"/>
          <w:sz w:val="72"/>
          <w:szCs w:val="72"/>
        </w:rPr>
      </w:pPr>
    </w:p>
    <w:p>
      <w:pPr>
        <w:tabs>
          <w:tab w:val="left" w:pos="1995"/>
        </w:tabs>
        <w:spacing w:line="440" w:lineRule="atLeast"/>
        <w:jc w:val="center"/>
        <w:rPr>
          <w:rFonts w:hint="eastAsia" w:ascii="方正小标宋_GBK" w:hAnsi="方正小标宋_GBK" w:eastAsia="方正小标宋_GBK" w:cs="方正小标宋_GBK"/>
          <w:b/>
          <w:bCs/>
          <w:sz w:val="56"/>
          <w:szCs w:val="56"/>
        </w:rPr>
      </w:pPr>
      <w:r>
        <w:rPr>
          <w:rFonts w:hint="eastAsia" w:ascii="方正小标宋_GBK" w:hAnsi="方正小标宋_GBK" w:eastAsia="方正小标宋_GBK" w:cs="方正小标宋_GBK"/>
          <w:b/>
          <w:bCs/>
          <w:sz w:val="56"/>
          <w:szCs w:val="56"/>
        </w:rPr>
        <w:t>榆林市市场监督管理局</w:t>
      </w:r>
    </w:p>
    <w:p>
      <w:pPr>
        <w:tabs>
          <w:tab w:val="left" w:pos="1995"/>
        </w:tabs>
        <w:spacing w:line="440" w:lineRule="atLeast"/>
        <w:jc w:val="center"/>
        <w:rPr>
          <w:rFonts w:hint="eastAsia" w:ascii="方正小标宋_GBK" w:hAnsi="方正小标宋_GBK" w:eastAsia="方正小标宋_GBK" w:cs="方正小标宋_GBK"/>
          <w:b w:val="0"/>
          <w:bCs w:val="0"/>
          <w:sz w:val="44"/>
          <w:szCs w:val="44"/>
        </w:rPr>
      </w:pPr>
      <w:bookmarkStart w:id="27" w:name="_GoBack"/>
      <w:r>
        <w:rPr>
          <w:rFonts w:hint="eastAsia" w:ascii="方正小标宋_GBK" w:hAnsi="方正小标宋_GBK" w:eastAsia="方正小标宋_GBK" w:cs="方正小标宋_GBK"/>
          <w:b/>
          <w:bCs/>
          <w:sz w:val="56"/>
          <w:szCs w:val="56"/>
        </w:rPr>
        <w:t>2022年食品安全</w:t>
      </w:r>
      <w:r>
        <w:rPr>
          <w:rFonts w:hint="eastAsia" w:ascii="方正小标宋_GBK" w:hAnsi="方正小标宋_GBK" w:eastAsia="方正小标宋_GBK" w:cs="方正小标宋_GBK"/>
          <w:b/>
          <w:bCs/>
          <w:sz w:val="56"/>
          <w:szCs w:val="56"/>
          <w:lang w:val="en-US" w:eastAsia="zh-CN"/>
        </w:rPr>
        <w:t>监督</w:t>
      </w:r>
      <w:r>
        <w:rPr>
          <w:rFonts w:hint="eastAsia" w:ascii="方正小标宋_GBK" w:hAnsi="方正小标宋_GBK" w:eastAsia="方正小标宋_GBK" w:cs="方正小标宋_GBK"/>
          <w:b/>
          <w:bCs/>
          <w:sz w:val="56"/>
          <w:szCs w:val="56"/>
        </w:rPr>
        <w:t>抽检分析报告</w:t>
      </w:r>
    </w:p>
    <w:bookmarkEnd w:id="27"/>
    <w:p>
      <w:pPr>
        <w:tabs>
          <w:tab w:val="left" w:pos="1995"/>
        </w:tabs>
        <w:spacing w:line="440" w:lineRule="atLeast"/>
        <w:jc w:val="center"/>
        <w:rPr>
          <w:rFonts w:eastAsia="楷体_GB2312"/>
          <w:b/>
          <w:bCs/>
          <w:sz w:val="84"/>
          <w:szCs w:val="84"/>
        </w:rPr>
      </w:pPr>
    </w:p>
    <w:p>
      <w:pPr>
        <w:tabs>
          <w:tab w:val="left" w:pos="1995"/>
        </w:tabs>
        <w:spacing w:line="0" w:lineRule="atLeast"/>
        <w:rPr>
          <w:b/>
          <w:bCs/>
          <w:szCs w:val="21"/>
        </w:rPr>
      </w:pPr>
    </w:p>
    <w:p>
      <w:pPr>
        <w:tabs>
          <w:tab w:val="left" w:pos="1995"/>
        </w:tabs>
        <w:spacing w:line="0" w:lineRule="atLeast"/>
        <w:jc w:val="center"/>
        <w:rPr>
          <w:b/>
          <w:bCs/>
          <w:szCs w:val="21"/>
        </w:rPr>
      </w:pPr>
    </w:p>
    <w:p>
      <w:pPr>
        <w:pStyle w:val="6"/>
      </w:pPr>
    </w:p>
    <w:p/>
    <w:p>
      <w:pPr>
        <w:pStyle w:val="2"/>
      </w:pPr>
    </w:p>
    <w:p>
      <w:pPr>
        <w:tabs>
          <w:tab w:val="left" w:pos="1995"/>
        </w:tabs>
        <w:spacing w:line="0" w:lineRule="atLeast"/>
        <w:jc w:val="center"/>
        <w:rPr>
          <w:b/>
          <w:bCs/>
          <w:szCs w:val="21"/>
        </w:rPr>
      </w:pPr>
    </w:p>
    <w:p>
      <w:pPr>
        <w:pStyle w:val="2"/>
        <w:rPr>
          <w:b/>
          <w:bCs/>
          <w:szCs w:val="21"/>
        </w:rPr>
      </w:pPr>
    </w:p>
    <w:p>
      <w:pPr>
        <w:rPr>
          <w:b/>
          <w:bCs/>
          <w:szCs w:val="21"/>
        </w:rPr>
      </w:pPr>
    </w:p>
    <w:p>
      <w:pPr>
        <w:pStyle w:val="2"/>
      </w:pPr>
    </w:p>
    <w:p>
      <w:pPr>
        <w:widowControl/>
        <w:ind w:right="-28"/>
        <w:jc w:val="left"/>
        <w:textAlignment w:val="bottom"/>
        <w:rPr>
          <w:b/>
          <w:color w:val="FFFFFF"/>
          <w:sz w:val="32"/>
        </w:rPr>
      </w:pPr>
    </w:p>
    <w:p>
      <w:pPr>
        <w:widowControl/>
        <w:ind w:right="-28"/>
        <w:jc w:val="center"/>
        <w:textAlignment w:val="bottom"/>
        <w:rPr>
          <w:b/>
          <w:color w:val="000000" w:themeColor="text1"/>
          <w:sz w:val="32"/>
          <w14:textFill>
            <w14:solidFill>
              <w14:schemeClr w14:val="tx1"/>
            </w14:solidFill>
          </w14:textFill>
        </w:rPr>
      </w:pPr>
    </w:p>
    <w:p>
      <w:pPr>
        <w:widowControl/>
        <w:ind w:right="-28"/>
        <w:jc w:val="center"/>
        <w:textAlignment w:val="bottom"/>
        <w:rPr>
          <w:b/>
          <w:color w:val="000000" w:themeColor="text1"/>
          <w:sz w:val="32"/>
          <w14:textFill>
            <w14:solidFill>
              <w14:schemeClr w14:val="tx1"/>
            </w14:solidFill>
          </w14:textFill>
        </w:rPr>
      </w:pPr>
    </w:p>
    <w:p>
      <w:pPr>
        <w:widowControl/>
        <w:ind w:right="-28"/>
        <w:jc w:val="center"/>
        <w:textAlignment w:val="bottom"/>
        <w:rPr>
          <w:rFonts w:hint="eastAsia" w:eastAsia="方正小标宋_GBK"/>
          <w:b/>
          <w:color w:val="000000" w:themeColor="text1"/>
          <w:sz w:val="32"/>
          <w:lang w:eastAsia="zh-CN"/>
          <w14:textFill>
            <w14:solidFill>
              <w14:schemeClr w14:val="tx1"/>
            </w14:solidFill>
          </w14:textFill>
        </w:rPr>
      </w:pP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t>二</w:t>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fldChar w:fldCharType="begin"/>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instrText xml:space="preserve"> = 0 \* Arabic \* MERGEFORMAT </w:instrText>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fldChar w:fldCharType="separate"/>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t>0</w:t>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fldChar w:fldCharType="end"/>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t>二三</w:t>
      </w:r>
      <w:r>
        <w:rPr>
          <w:rFonts w:hint="eastAsia" w:ascii="方正小标宋_GBK" w:hAnsi="方正小标宋_GBK" w:eastAsia="方正小标宋_GBK" w:cs="方正小标宋_GBK"/>
          <w:b/>
          <w:color w:val="000000" w:themeColor="text1"/>
          <w:sz w:val="32"/>
          <w14:textFill>
            <w14:solidFill>
              <w14:schemeClr w14:val="tx1"/>
            </w14:solidFill>
          </w14:textFill>
        </w:rPr>
        <w:t>年</w:t>
      </w:r>
      <w:r>
        <w:rPr>
          <w:rFonts w:hint="eastAsia" w:ascii="方正小标宋_GBK" w:hAnsi="方正小标宋_GBK" w:eastAsia="方正小标宋_GBK" w:cs="方正小标宋_GBK"/>
          <w:b/>
          <w:color w:val="000000" w:themeColor="text1"/>
          <w:sz w:val="32"/>
          <w:lang w:eastAsia="zh-CN"/>
          <w14:textFill>
            <w14:solidFill>
              <w14:schemeClr w14:val="tx1"/>
            </w14:solidFill>
          </w14:textFill>
        </w:rPr>
        <w:t>四月</w:t>
      </w:r>
    </w:p>
    <w:p>
      <w:pPr>
        <w:pStyle w:val="6"/>
      </w:pPr>
    </w:p>
    <w:p/>
    <w:p>
      <w:pPr>
        <w:pStyle w:val="6"/>
      </w:pPr>
    </w:p>
    <w:p/>
    <w:p>
      <w:pPr>
        <w:pStyle w:val="2"/>
      </w:pPr>
    </w:p>
    <w:p/>
    <w:p>
      <w:pPr>
        <w:pStyle w:val="2"/>
      </w:pPr>
    </w:p>
    <w:p/>
    <w:p>
      <w:pPr>
        <w:pStyle w:val="2"/>
      </w:pPr>
    </w:p>
    <w:p>
      <w:pPr>
        <w:bidi w:val="0"/>
        <w:sectPr>
          <w:headerReference r:id="rId3" w:type="default"/>
          <w:footerReference r:id="rId4" w:type="default"/>
          <w:pgSz w:w="11906" w:h="16838"/>
          <w:pgMar w:top="1134" w:right="1474" w:bottom="1134" w:left="1474" w:header="851" w:footer="851" w:gutter="0"/>
          <w:pgNumType w:start="1"/>
          <w:cols w:space="720" w:num="1"/>
          <w:docGrid w:type="linesAndChars" w:linePitch="312" w:charSpace="0"/>
        </w:sectPr>
      </w:pPr>
    </w:p>
    <w:p>
      <w:pPr>
        <w:pStyle w:val="3"/>
        <w:bidi w:val="0"/>
        <w:jc w:val="center"/>
      </w:pPr>
      <w:bookmarkStart w:id="0" w:name="_Toc17595"/>
      <w:bookmarkStart w:id="1" w:name="_Toc21824"/>
    </w:p>
    <w:p>
      <w:pPr>
        <w:pStyle w:val="3"/>
        <w:bidi w:val="0"/>
        <w:jc w:val="center"/>
      </w:pPr>
      <w:r>
        <w:rPr>
          <w:rFonts w:hint="eastAsia" w:ascii="方正小标宋_GBK" w:hAnsi="方正小标宋_GBK" w:eastAsia="方正小标宋_GBK" w:cs="方正小标宋_GBK"/>
          <w:sz w:val="40"/>
          <w:szCs w:val="52"/>
        </w:rPr>
        <w:t>摘</w:t>
      </w:r>
      <w:r>
        <w:rPr>
          <w:rFonts w:hint="eastAsia" w:ascii="方正小标宋_GBK" w:hAnsi="方正小标宋_GBK" w:eastAsia="方正小标宋_GBK" w:cs="方正小标宋_GBK"/>
          <w:sz w:val="40"/>
          <w:szCs w:val="52"/>
          <w:lang w:val="en-US" w:eastAsia="zh-CN"/>
        </w:rPr>
        <w:t xml:space="preserve">  </w:t>
      </w:r>
      <w:r>
        <w:rPr>
          <w:rFonts w:hint="eastAsia" w:ascii="方正小标宋_GBK" w:hAnsi="方正小标宋_GBK" w:eastAsia="方正小标宋_GBK" w:cs="方正小标宋_GBK"/>
          <w:sz w:val="40"/>
          <w:szCs w:val="52"/>
        </w:rPr>
        <w:t>要</w:t>
      </w:r>
      <w:bookmarkEnd w:id="0"/>
      <w:bookmarkEnd w:id="1"/>
    </w:p>
    <w:p>
      <w:pPr>
        <w:ind w:firstLine="640" w:firstLineChars="20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为全面分析掌握榆林全市区域内食品安全总体状况，及时发现和处置食品安全问题，防范系统性、区域性风险，提升食品安全治理水平，榆林市市场监督管理局根据《关于印发2022年市、县级食品安全抽样检验计划的通知》（陕市监发〔2022〕35号）</w:t>
      </w:r>
      <w:r>
        <w:rPr>
          <w:rFonts w:hint="eastAsia" w:ascii="仿宋_GB2312" w:hAnsi="仿宋_GB2312" w:eastAsia="仿宋_GB2312" w:cs="仿宋_GB2312"/>
          <w:sz w:val="32"/>
          <w:szCs w:val="32"/>
          <w:lang w:eastAsia="zh-CN"/>
        </w:rPr>
        <w:t>、《关于印发</w:t>
      </w:r>
      <w:r>
        <w:rPr>
          <w:rFonts w:hint="eastAsia" w:ascii="仿宋_GB2312" w:hAnsi="仿宋_GB2312" w:eastAsia="仿宋_GB2312" w:cs="仿宋_GB2312"/>
          <w:sz w:val="32"/>
          <w:szCs w:val="32"/>
          <w:lang w:val="en-US" w:eastAsia="zh-CN"/>
        </w:rPr>
        <w:t>2022年榆林市食品安全抽样检验计划的通知</w:t>
      </w:r>
      <w:r>
        <w:rPr>
          <w:rFonts w:hint="eastAsia" w:ascii="仿宋_GB2312" w:hAnsi="仿宋_GB2312" w:eastAsia="仿宋_GB2312" w:cs="仿宋_GB2312"/>
          <w:sz w:val="32"/>
          <w:szCs w:val="32"/>
          <w:lang w:eastAsia="zh-CN"/>
        </w:rPr>
        <w:t>》（榆市监发〔</w:t>
      </w:r>
      <w:r>
        <w:rPr>
          <w:rFonts w:hint="eastAsia" w:ascii="仿宋_GB2312" w:hAnsi="仿宋_GB2312" w:eastAsia="仿宋_GB2312" w:cs="仿宋_GB2312"/>
          <w:sz w:val="32"/>
          <w:szCs w:val="32"/>
          <w:lang w:val="en-US" w:eastAsia="zh-CN"/>
        </w:rPr>
        <w:t>2022</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50号</w:t>
      </w:r>
      <w:r>
        <w:rPr>
          <w:rFonts w:hint="eastAsia" w:ascii="仿宋_GB2312" w:hAnsi="仿宋_GB2312" w:eastAsia="仿宋_GB2312" w:cs="仿宋_GB2312"/>
          <w:sz w:val="32"/>
          <w:szCs w:val="32"/>
          <w:lang w:eastAsia="zh-CN"/>
        </w:rPr>
        <w:t>）要求</w:t>
      </w:r>
      <w:r>
        <w:rPr>
          <w:rFonts w:hint="default" w:ascii="仿宋_GB2312" w:hAnsi="仿宋_GB2312" w:eastAsia="仿宋_GB2312" w:cs="仿宋_GB2312"/>
          <w:sz w:val="32"/>
          <w:szCs w:val="32"/>
        </w:rPr>
        <w:t>，依据《国家食品安全监督抽检实施细则（2022年版）》，结合区域实际情况，以问题为导向，制定了2022年榆林市</w:t>
      </w:r>
      <w:r>
        <w:rPr>
          <w:rFonts w:hint="eastAsia" w:ascii="仿宋_GB2312" w:hAnsi="仿宋_GB2312" w:eastAsia="仿宋_GB2312" w:cs="仿宋_GB2312"/>
          <w:sz w:val="32"/>
          <w:szCs w:val="32"/>
          <w:lang w:eastAsia="zh-CN"/>
        </w:rPr>
        <w:t>级</w:t>
      </w:r>
      <w:r>
        <w:rPr>
          <w:rFonts w:hint="default" w:ascii="仿宋_GB2312" w:hAnsi="仿宋_GB2312" w:eastAsia="仿宋_GB2312" w:cs="仿宋_GB2312"/>
          <w:sz w:val="32"/>
          <w:szCs w:val="32"/>
        </w:rPr>
        <w:t>食品</w:t>
      </w:r>
      <w:r>
        <w:rPr>
          <w:rFonts w:hint="eastAsia" w:ascii="仿宋_GB2312" w:hAnsi="仿宋_GB2312" w:eastAsia="仿宋_GB2312" w:cs="仿宋_GB2312"/>
          <w:sz w:val="32"/>
          <w:szCs w:val="32"/>
          <w:lang w:eastAsia="zh-CN"/>
        </w:rPr>
        <w:t>安全</w:t>
      </w:r>
      <w:r>
        <w:rPr>
          <w:rFonts w:hint="default" w:ascii="仿宋_GB2312" w:hAnsi="仿宋_GB2312" w:eastAsia="仿宋_GB2312" w:cs="仿宋_GB2312"/>
          <w:sz w:val="32"/>
          <w:szCs w:val="32"/>
        </w:rPr>
        <w:t>抽检</w:t>
      </w:r>
      <w:r>
        <w:rPr>
          <w:rFonts w:hint="eastAsia" w:ascii="仿宋_GB2312" w:hAnsi="仿宋_GB2312" w:eastAsia="仿宋_GB2312" w:cs="仿宋_GB2312"/>
          <w:sz w:val="32"/>
          <w:szCs w:val="32"/>
          <w:lang w:eastAsia="zh-CN"/>
        </w:rPr>
        <w:t>实施方案</w:t>
      </w:r>
      <w:r>
        <w:rPr>
          <w:rFonts w:hint="default" w:ascii="仿宋_GB2312" w:hAnsi="仿宋_GB2312" w:eastAsia="仿宋_GB2312" w:cs="仿宋_GB2312"/>
          <w:sz w:val="32"/>
          <w:szCs w:val="32"/>
        </w:rPr>
        <w:t>，委托榆林市食品检验检测中心、华研</w:t>
      </w:r>
      <w:r>
        <w:rPr>
          <w:rFonts w:hint="eastAsia" w:ascii="仿宋_GB2312" w:hAnsi="仿宋_GB2312" w:eastAsia="仿宋_GB2312" w:cs="仿宋_GB2312"/>
          <w:sz w:val="32"/>
          <w:szCs w:val="32"/>
          <w:lang w:eastAsia="zh-CN"/>
        </w:rPr>
        <w:t>检测集团有限责任公司</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陕西</w:t>
      </w:r>
      <w:r>
        <w:rPr>
          <w:rFonts w:hint="default" w:ascii="仿宋_GB2312" w:hAnsi="仿宋_GB2312" w:eastAsia="仿宋_GB2312" w:cs="仿宋_GB2312"/>
          <w:sz w:val="32"/>
          <w:szCs w:val="32"/>
        </w:rPr>
        <w:t>新时代</w:t>
      </w:r>
      <w:r>
        <w:rPr>
          <w:rFonts w:hint="eastAsia" w:ascii="仿宋_GB2312" w:hAnsi="仿宋_GB2312" w:eastAsia="仿宋_GB2312" w:cs="仿宋_GB2312"/>
          <w:sz w:val="32"/>
          <w:szCs w:val="32"/>
          <w:lang w:eastAsia="zh-CN"/>
        </w:rPr>
        <w:t>生物转化检测有限公司</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陕西</w:t>
      </w:r>
      <w:r>
        <w:rPr>
          <w:rFonts w:hint="default" w:ascii="仿宋_GB2312" w:hAnsi="仿宋_GB2312" w:eastAsia="仿宋_GB2312" w:cs="仿宋_GB2312"/>
          <w:sz w:val="32"/>
          <w:szCs w:val="32"/>
        </w:rPr>
        <w:t>阔成</w:t>
      </w:r>
      <w:r>
        <w:rPr>
          <w:rFonts w:hint="eastAsia" w:ascii="仿宋_GB2312" w:hAnsi="仿宋_GB2312" w:eastAsia="仿宋_GB2312" w:cs="仿宋_GB2312"/>
          <w:sz w:val="32"/>
          <w:szCs w:val="32"/>
          <w:lang w:eastAsia="zh-CN"/>
        </w:rPr>
        <w:t>检测服务有限公司</w:t>
      </w:r>
      <w:r>
        <w:rPr>
          <w:rFonts w:hint="default" w:ascii="仿宋_GB2312" w:hAnsi="仿宋_GB2312" w:eastAsia="仿宋_GB2312" w:cs="仿宋_GB2312"/>
          <w:sz w:val="32"/>
          <w:szCs w:val="32"/>
        </w:rPr>
        <w:t>等四家检验机构开展了2022年</w:t>
      </w:r>
      <w:r>
        <w:rPr>
          <w:rFonts w:hint="eastAsia" w:ascii="仿宋_GB2312" w:hAnsi="仿宋_GB2312" w:eastAsia="仿宋_GB2312" w:cs="仿宋_GB2312"/>
          <w:sz w:val="32"/>
          <w:szCs w:val="32"/>
          <w:lang w:eastAsia="zh-CN"/>
        </w:rPr>
        <w:t>市级</w:t>
      </w:r>
      <w:r>
        <w:rPr>
          <w:rFonts w:hint="default" w:ascii="仿宋_GB2312" w:hAnsi="仿宋_GB2312" w:eastAsia="仿宋_GB2312" w:cs="仿宋_GB2312"/>
          <w:sz w:val="32"/>
          <w:szCs w:val="32"/>
        </w:rPr>
        <w:t>食品安全抽检工作。</w:t>
      </w:r>
    </w:p>
    <w:p>
      <w:pPr>
        <w:ind w:firstLine="640" w:firstLineChars="200"/>
        <w:rPr>
          <w:rFonts w:hint="default" w:ascii="Times New Roman" w:hAnsi="Times New Roman" w:eastAsia="仿宋" w:cs="Times New Roman"/>
          <w:sz w:val="32"/>
          <w:szCs w:val="32"/>
        </w:rPr>
      </w:pPr>
      <w:r>
        <w:rPr>
          <w:rFonts w:hint="eastAsia" w:ascii="仿宋_GB2312" w:hAnsi="仿宋_GB2312" w:eastAsia="仿宋_GB2312" w:cs="仿宋_GB2312"/>
          <w:sz w:val="32"/>
          <w:szCs w:val="32"/>
        </w:rPr>
        <w:t>2022年完成</w:t>
      </w:r>
      <w:r>
        <w:rPr>
          <w:rFonts w:hint="eastAsia" w:ascii="仿宋_GB2312" w:hAnsi="仿宋_GB2312" w:eastAsia="仿宋_GB2312" w:cs="仿宋_GB2312"/>
          <w:sz w:val="32"/>
          <w:szCs w:val="32"/>
          <w:lang w:eastAsia="zh-CN"/>
        </w:rPr>
        <w:t>市级</w:t>
      </w:r>
      <w:r>
        <w:rPr>
          <w:rFonts w:hint="eastAsia" w:ascii="仿宋_GB2312" w:hAnsi="仿宋_GB2312" w:eastAsia="仿宋_GB2312" w:cs="仿宋_GB2312"/>
          <w:sz w:val="32"/>
          <w:szCs w:val="32"/>
        </w:rPr>
        <w:t>抽检</w:t>
      </w:r>
      <w:r>
        <w:rPr>
          <w:rFonts w:hint="eastAsia" w:ascii="仿宋_GB2312" w:hAnsi="仿宋_GB2312" w:eastAsia="仿宋_GB2312" w:cs="仿宋_GB2312"/>
          <w:sz w:val="32"/>
          <w:szCs w:val="32"/>
          <w:lang w:val="en-US" w:eastAsia="zh-CN"/>
        </w:rPr>
        <w:t>2386</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监督抽检</w:t>
      </w:r>
      <w:r>
        <w:rPr>
          <w:rFonts w:hint="eastAsia" w:ascii="仿宋_GB2312" w:hAnsi="仿宋_GB2312" w:eastAsia="仿宋_GB2312" w:cs="仿宋_GB2312"/>
          <w:sz w:val="32"/>
          <w:szCs w:val="32"/>
          <w:lang w:val="en-US" w:eastAsia="zh-CN"/>
        </w:rPr>
        <w:t>1176</w:t>
      </w:r>
      <w:r>
        <w:rPr>
          <w:rFonts w:hint="eastAsia" w:ascii="仿宋_GB2312" w:hAnsi="仿宋_GB2312" w:eastAsia="仿宋_GB2312" w:cs="仿宋_GB2312"/>
          <w:sz w:val="32"/>
          <w:szCs w:val="32"/>
        </w:rPr>
        <w:t>批次，不合格</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问题发现率</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2.55</w:t>
      </w:r>
      <w:r>
        <w:rPr>
          <w:rFonts w:hint="eastAsia" w:ascii="仿宋_GB2312" w:hAnsi="仿宋_GB2312" w:eastAsia="仿宋_GB2312" w:cs="仿宋_GB2312"/>
          <w:sz w:val="32"/>
          <w:szCs w:val="32"/>
        </w:rPr>
        <w:t>%。</w:t>
      </w:r>
    </w:p>
    <w:p/>
    <w:p>
      <w:pPr>
        <w:pStyle w:val="6"/>
        <w:sectPr>
          <w:headerReference r:id="rId5" w:type="default"/>
          <w:footerReference r:id="rId6" w:type="default"/>
          <w:pgSz w:w="11906" w:h="16838"/>
          <w:pgMar w:top="1134" w:right="1474" w:bottom="1134" w:left="1474" w:header="851" w:footer="851" w:gutter="0"/>
          <w:pgNumType w:fmt="decimal" w:start="1"/>
          <w:cols w:space="720" w:num="1"/>
          <w:docGrid w:type="linesAndChars" w:linePitch="312" w:charSpace="0"/>
        </w:sectPr>
      </w:pPr>
    </w:p>
    <w:p>
      <w:pPr>
        <w:pStyle w:val="3"/>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黑体" w:hAnsi="黑体" w:eastAsia="黑体" w:cs="黑体"/>
        </w:rPr>
      </w:pPr>
      <w:bookmarkStart w:id="2" w:name="_Toc12342"/>
      <w:r>
        <w:rPr>
          <w:rFonts w:hint="eastAsia" w:ascii="黑体" w:hAnsi="黑体" w:eastAsia="黑体" w:cs="黑体"/>
          <w:lang w:eastAsia="zh-CN"/>
        </w:rPr>
        <w:t>一、</w:t>
      </w:r>
      <w:r>
        <w:rPr>
          <w:rFonts w:hint="eastAsia" w:ascii="黑体" w:hAnsi="黑体" w:eastAsia="黑体" w:cs="黑体"/>
        </w:rPr>
        <w:t>抽检基本情况</w:t>
      </w:r>
      <w:bookmarkEnd w:id="2"/>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w:t>
      </w:r>
      <w:r>
        <w:rPr>
          <w:rFonts w:hint="eastAsia" w:ascii="仿宋_GB2312" w:hAnsi="仿宋_GB2312" w:eastAsia="仿宋_GB2312" w:cs="仿宋_GB2312"/>
          <w:sz w:val="32"/>
          <w:szCs w:val="32"/>
          <w:lang w:eastAsia="zh-CN"/>
        </w:rPr>
        <w:t>榆林市局</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val="en-US" w:eastAsia="zh-CN"/>
        </w:rPr>
        <w:t>2386</w:t>
      </w:r>
      <w:r>
        <w:rPr>
          <w:rFonts w:hint="eastAsia" w:ascii="仿宋_GB2312" w:hAnsi="仿宋_GB2312" w:eastAsia="仿宋_GB2312" w:cs="仿宋_GB2312"/>
          <w:sz w:val="32"/>
          <w:szCs w:val="32"/>
        </w:rPr>
        <w:t>批次抽检，</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监督抽检（普通+农产品）</w:t>
      </w:r>
      <w:r>
        <w:rPr>
          <w:rFonts w:hint="eastAsia" w:ascii="仿宋_GB2312" w:hAnsi="仿宋_GB2312" w:eastAsia="仿宋_GB2312" w:cs="仿宋_GB2312"/>
          <w:sz w:val="32"/>
          <w:szCs w:val="32"/>
          <w:lang w:val="en-US" w:eastAsia="zh-CN"/>
        </w:rPr>
        <w:t>1176</w:t>
      </w:r>
      <w:r>
        <w:rPr>
          <w:rFonts w:hint="eastAsia" w:ascii="仿宋_GB2312" w:hAnsi="仿宋_GB2312" w:eastAsia="仿宋_GB2312" w:cs="仿宋_GB2312"/>
          <w:sz w:val="32"/>
          <w:szCs w:val="32"/>
        </w:rPr>
        <w:t>批次，占比</w:t>
      </w:r>
      <w:r>
        <w:rPr>
          <w:rFonts w:hint="eastAsia" w:ascii="仿宋_GB2312" w:hAnsi="仿宋_GB2312" w:eastAsia="仿宋_GB2312" w:cs="仿宋_GB2312"/>
          <w:sz w:val="32"/>
          <w:szCs w:val="32"/>
          <w:lang w:val="en-US" w:eastAsia="zh-CN"/>
        </w:rPr>
        <w:t>49.29%</w:t>
      </w:r>
      <w:r>
        <w:rPr>
          <w:rFonts w:hint="eastAsia" w:ascii="仿宋_GB2312" w:hAnsi="仿宋_GB2312" w:eastAsia="仿宋_GB2312" w:cs="仿宋_GB2312"/>
          <w:sz w:val="32"/>
          <w:szCs w:val="32"/>
        </w:rPr>
        <w:t>，不合格</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问题发现</w:t>
      </w:r>
      <w:r>
        <w:rPr>
          <w:rFonts w:hint="eastAsia" w:ascii="仿宋_GB2312" w:hAnsi="仿宋_GB2312" w:eastAsia="仿宋_GB2312" w:cs="仿宋_GB2312"/>
          <w:sz w:val="32"/>
          <w:szCs w:val="32"/>
        </w:rPr>
        <w:t>率为</w:t>
      </w:r>
      <w:r>
        <w:rPr>
          <w:rFonts w:hint="eastAsia" w:ascii="仿宋_GB2312" w:hAnsi="仿宋_GB2312" w:eastAsia="仿宋_GB2312" w:cs="仿宋_GB2312"/>
          <w:sz w:val="32"/>
          <w:szCs w:val="32"/>
          <w:lang w:val="en-US" w:eastAsia="zh-CN"/>
        </w:rPr>
        <w:t>2.55%</w:t>
      </w:r>
      <w:r>
        <w:rPr>
          <w:rFonts w:hint="eastAsia" w:ascii="仿宋_GB2312" w:hAnsi="仿宋_GB2312" w:eastAsia="仿宋_GB2312" w:cs="仿宋_GB2312"/>
          <w:sz w:val="32"/>
          <w:szCs w:val="32"/>
        </w:rPr>
        <w:t>。</w:t>
      </w:r>
    </w:p>
    <w:p>
      <w:pPr>
        <w:pStyle w:val="3"/>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ascii="黑体" w:hAnsi="黑体" w:eastAsia="黑体" w:cs="黑体"/>
          <w:lang w:eastAsia="zh-CN"/>
        </w:rPr>
      </w:pPr>
      <w:bookmarkStart w:id="3" w:name="_Toc18706"/>
      <w:r>
        <w:rPr>
          <w:rFonts w:hint="eastAsia" w:ascii="黑体" w:hAnsi="黑体" w:eastAsia="黑体" w:cs="黑体"/>
          <w:lang w:eastAsia="zh-CN"/>
        </w:rPr>
        <w:t>二、</w:t>
      </w:r>
      <w:r>
        <w:rPr>
          <w:rFonts w:hint="default" w:ascii="黑体" w:hAnsi="黑体" w:eastAsia="黑体" w:cs="黑体"/>
          <w:lang w:eastAsia="zh-CN"/>
        </w:rPr>
        <w:t>普通食品</w:t>
      </w:r>
      <w:r>
        <w:rPr>
          <w:rFonts w:hint="eastAsia" w:ascii="黑体" w:hAnsi="黑体" w:eastAsia="黑体" w:cs="黑体"/>
          <w:lang w:eastAsia="zh-CN"/>
        </w:rPr>
        <w:t>监督</w:t>
      </w:r>
      <w:r>
        <w:rPr>
          <w:rFonts w:hint="default" w:ascii="黑体" w:hAnsi="黑体" w:eastAsia="黑体" w:cs="黑体"/>
          <w:lang w:eastAsia="zh-CN"/>
        </w:rPr>
        <w:t>抽检情况</w:t>
      </w:r>
      <w:bookmarkEnd w:id="3"/>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2022年普通食品抽检</w:t>
      </w:r>
      <w:r>
        <w:rPr>
          <w:rFonts w:hint="eastAsia" w:ascii="仿宋_GB2312" w:hAnsi="仿宋_GB2312" w:eastAsia="仿宋_GB2312" w:cs="仿宋_GB2312"/>
          <w:sz w:val="32"/>
          <w:szCs w:val="32"/>
          <w:lang w:val="en-US" w:eastAsia="zh-CN"/>
        </w:rPr>
        <w:t>1152</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其中监督抽检</w:t>
      </w:r>
      <w:r>
        <w:rPr>
          <w:rFonts w:hint="eastAsia" w:ascii="仿宋_GB2312" w:hAnsi="仿宋_GB2312" w:eastAsia="仿宋_GB2312" w:cs="仿宋_GB2312"/>
          <w:sz w:val="32"/>
          <w:szCs w:val="32"/>
          <w:lang w:val="en-US" w:eastAsia="zh-CN"/>
        </w:rPr>
        <w:t>624</w:t>
      </w:r>
      <w:r>
        <w:rPr>
          <w:rFonts w:hint="eastAsia" w:ascii="仿宋_GB2312" w:hAnsi="仿宋_GB2312" w:eastAsia="仿宋_GB2312" w:cs="仿宋_GB2312"/>
          <w:sz w:val="32"/>
          <w:szCs w:val="32"/>
        </w:rPr>
        <w:t>批次，不合格</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问题发现</w:t>
      </w:r>
      <w:r>
        <w:rPr>
          <w:rFonts w:hint="eastAsia" w:ascii="仿宋_GB2312" w:hAnsi="仿宋_GB2312" w:eastAsia="仿宋_GB2312" w:cs="仿宋_GB2312"/>
          <w:sz w:val="32"/>
          <w:szCs w:val="32"/>
        </w:rPr>
        <w:t>率为</w:t>
      </w:r>
      <w:r>
        <w:rPr>
          <w:rFonts w:hint="eastAsia" w:ascii="仿宋_GB2312" w:hAnsi="仿宋_GB2312" w:eastAsia="仿宋_GB2312" w:cs="仿宋_GB2312"/>
          <w:sz w:val="32"/>
          <w:szCs w:val="32"/>
          <w:lang w:val="en-US" w:eastAsia="zh-CN"/>
        </w:rPr>
        <w:t>1.60</w:t>
      </w:r>
      <w:r>
        <w:rPr>
          <w:rFonts w:hint="eastAsia" w:ascii="仿宋_GB2312" w:hAnsi="仿宋_GB2312" w:eastAsia="仿宋_GB2312" w:cs="仿宋_GB2312"/>
          <w:sz w:val="32"/>
          <w:szCs w:val="32"/>
        </w:rPr>
        <w:t>%。</w:t>
      </w:r>
    </w:p>
    <w:p>
      <w:pPr>
        <w:pStyle w:val="5"/>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28"/>
        </w:rPr>
      </w:pPr>
      <w:bookmarkStart w:id="4" w:name="_Toc4332"/>
      <w:r>
        <w:rPr>
          <w:rFonts w:hint="eastAsia" w:ascii="仿宋" w:hAnsi="仿宋" w:eastAsia="仿宋" w:cs="仿宋"/>
          <w:sz w:val="32"/>
          <w:szCs w:val="28"/>
          <w:lang w:val="en-US" w:eastAsia="zh-CN"/>
        </w:rPr>
        <w:t>(一)</w:t>
      </w:r>
      <w:r>
        <w:rPr>
          <w:rFonts w:hint="eastAsia" w:ascii="仿宋" w:hAnsi="仿宋" w:eastAsia="仿宋" w:cs="仿宋"/>
          <w:sz w:val="32"/>
          <w:szCs w:val="28"/>
        </w:rPr>
        <w:t>抽样环节</w:t>
      </w:r>
      <w:bookmarkEnd w:id="4"/>
    </w:p>
    <w:p>
      <w:pPr>
        <w:widowControl/>
        <w:spacing w:line="560" w:lineRule="exact"/>
        <w:ind w:firstLine="480" w:firstLineChars="15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生产环节抽样110批次，占抽检总数的17.63%；流通环节抽样514批次，占抽检总数的82.37%（各环节抽样比例见图1）。</w:t>
      </w:r>
    </w:p>
    <w:p>
      <w:pPr>
        <w:bidi w:val="0"/>
        <w:jc w:val="center"/>
        <w:rPr>
          <w:rFonts w:hint="default" w:ascii="Times New Roman" w:hAnsi="Times New Roman" w:cs="Times New Roman"/>
        </w:rPr>
      </w:pPr>
      <w:r>
        <w:rPr>
          <w:rFonts w:hint="default" w:ascii="Times New Roman" w:hAnsi="Times New Roman" w:cs="Times New Roman"/>
        </w:rPr>
        <w:object>
          <v:shape id="_x0000_i1025" o:spt="75" alt="olechartimg_1676538349664802_791409664" type="#_x0000_t75" style="height:123.25pt;width:191.85pt;" o:ole="t" filled="f" o:preferrelative="t" stroked="f" coordsize="21600,21600">
            <v:path/>
            <v:fill on="f" focussize="0,0"/>
            <v:stroke on="f"/>
            <v:imagedata r:id="rId10" cropleft="8444f" croptop="930f" cropright="11963f" cropbottom="9834f" o:title="olechartimg_1676538349664802_791409664"/>
            <o:lock v:ext="edit" aspectratio="f"/>
            <w10:wrap type="none"/>
            <w10:anchorlock/>
          </v:shape>
          <o:OLEObject Type="Embed" ProgID="Excel.Chart.8" ShapeID="_x0000_i1025" DrawAspect="Content" ObjectID="_1468075725" r:id="rId9">
            <o:LockedField>false</o:LockedField>
          </o:OLEObject>
        </w:object>
      </w:r>
    </w:p>
    <w:p>
      <w:pPr>
        <w:bidi w:val="0"/>
        <w:jc w:val="center"/>
        <w:rPr>
          <w:rFonts w:hint="default" w:ascii="Times New Roman" w:hAnsi="Times New Roman" w:cs="Times New Roman"/>
          <w:b/>
          <w:bCs/>
          <w:sz w:val="22"/>
          <w:szCs w:val="21"/>
        </w:rPr>
      </w:pPr>
      <w:r>
        <w:rPr>
          <w:rFonts w:hint="default" w:ascii="Times New Roman" w:hAnsi="Times New Roman" w:cs="Times New Roman"/>
          <w:b/>
          <w:bCs/>
          <w:sz w:val="22"/>
          <w:szCs w:val="21"/>
        </w:rPr>
        <w:t>图1</w:t>
      </w:r>
      <w:r>
        <w:rPr>
          <w:rFonts w:hint="eastAsia" w:ascii="Times New Roman" w:hAnsi="Times New Roman" w:cs="Times New Roman"/>
          <w:b/>
          <w:bCs/>
          <w:sz w:val="22"/>
          <w:szCs w:val="21"/>
          <w:lang w:val="en-US" w:eastAsia="zh-CN"/>
        </w:rPr>
        <w:t>.</w:t>
      </w:r>
      <w:r>
        <w:rPr>
          <w:rFonts w:hint="default" w:ascii="Times New Roman" w:hAnsi="Times New Roman" w:cs="Times New Roman"/>
          <w:b/>
          <w:bCs/>
          <w:sz w:val="22"/>
          <w:szCs w:val="21"/>
        </w:rPr>
        <w:t xml:space="preserve"> 抽样环节分布图</w:t>
      </w:r>
    </w:p>
    <w:p>
      <w:pPr>
        <w:pStyle w:val="5"/>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28"/>
          <w:lang w:val="en-US" w:eastAsia="zh-CN"/>
        </w:rPr>
      </w:pPr>
      <w:bookmarkStart w:id="5" w:name="_Toc14562"/>
      <w:bookmarkStart w:id="6" w:name="_Toc11897"/>
      <w:r>
        <w:rPr>
          <w:rFonts w:hint="eastAsia" w:ascii="仿宋" w:hAnsi="仿宋" w:eastAsia="仿宋" w:cs="仿宋"/>
          <w:sz w:val="32"/>
          <w:szCs w:val="28"/>
          <w:lang w:val="en-US" w:eastAsia="zh-CN"/>
        </w:rPr>
        <w:t>(二)抽样业态（场所）</w:t>
      </w:r>
      <w:bookmarkEnd w:id="5"/>
    </w:p>
    <w:p>
      <w:pPr>
        <w:pStyle w:val="16"/>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流通环节以日常消费人群集中、消费量大的场所为主进行抽样，其中超市抽样445批次，占流通环节抽样总数的86.58%；其他场所53批次，占流通环节抽样总数的10.31%；农贸市场抽样12批次，占流通环节抽样总数的2.33%；小食杂店4批次，占流通环节抽样的0.78%（详见图2）。</w:t>
      </w:r>
    </w:p>
    <w:p>
      <w:pPr>
        <w:pStyle w:val="16"/>
        <w:shd w:val="clear" w:color="auto" w:fill="FFFFFF"/>
        <w:spacing w:before="0" w:beforeAutospacing="0" w:after="0" w:afterAutospacing="0" w:line="240" w:lineRule="auto"/>
        <w:jc w:val="center"/>
        <w:rPr>
          <w:rFonts w:hint="default" w:ascii="Times New Roman" w:hAnsi="Times New Roman" w:eastAsia="宋体" w:cs="Times New Roman"/>
          <w:b/>
          <w:lang w:eastAsia="zh-CN"/>
        </w:rPr>
      </w:pPr>
      <w:r>
        <w:rPr>
          <w:rFonts w:hint="default" w:ascii="Times New Roman" w:hAnsi="Times New Roman" w:eastAsia="宋体" w:cs="Times New Roman"/>
          <w:b/>
          <w:lang w:eastAsia="zh-CN"/>
        </w:rPr>
        <w:drawing>
          <wp:inline distT="0" distB="0" distL="114300" distR="114300">
            <wp:extent cx="4391025" cy="243840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1"/>
                    <a:stretch>
                      <a:fillRect/>
                    </a:stretch>
                  </pic:blipFill>
                  <pic:spPr>
                    <a:xfrm>
                      <a:off x="0" y="0"/>
                      <a:ext cx="4391025" cy="2438400"/>
                    </a:xfrm>
                    <a:prstGeom prst="rect">
                      <a:avLst/>
                    </a:prstGeom>
                  </pic:spPr>
                </pic:pic>
              </a:graphicData>
            </a:graphic>
          </wp:inline>
        </w:drawing>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157" w:afterLines="50" w:afterAutospacing="0" w:line="560" w:lineRule="exact"/>
        <w:jc w:val="center"/>
        <w:textAlignment w:val="auto"/>
        <w:rPr>
          <w:rFonts w:hint="default" w:ascii="Times New Roman" w:hAnsi="Times New Roman" w:eastAsia="宋体" w:cs="Times New Roman"/>
          <w:b/>
          <w:kern w:val="2"/>
          <w:sz w:val="22"/>
          <w:szCs w:val="21"/>
          <w:lang w:val="en-US" w:eastAsia="zh-CN" w:bidi="ar-SA"/>
        </w:rPr>
      </w:pPr>
      <w:r>
        <w:rPr>
          <w:rFonts w:hint="default" w:ascii="Times New Roman" w:hAnsi="Times New Roman" w:eastAsia="宋体" w:cs="Times New Roman"/>
          <w:b/>
          <w:kern w:val="2"/>
          <w:sz w:val="22"/>
          <w:szCs w:val="21"/>
          <w:lang w:val="en-US" w:eastAsia="zh-CN" w:bidi="ar-SA"/>
        </w:rPr>
        <w:t>图2</w:t>
      </w:r>
      <w:r>
        <w:rPr>
          <w:rFonts w:hint="eastAsia" w:ascii="Times New Roman" w:hAnsi="Times New Roman" w:cs="Times New Roman"/>
          <w:b/>
          <w:kern w:val="2"/>
          <w:sz w:val="22"/>
          <w:szCs w:val="21"/>
          <w:lang w:val="en-US" w:eastAsia="zh-CN" w:bidi="ar-SA"/>
        </w:rPr>
        <w:t>.</w:t>
      </w:r>
      <w:r>
        <w:rPr>
          <w:rFonts w:hint="default" w:ascii="Times New Roman" w:hAnsi="Times New Roman" w:eastAsia="宋体" w:cs="Times New Roman"/>
          <w:b/>
          <w:kern w:val="2"/>
          <w:sz w:val="22"/>
          <w:szCs w:val="21"/>
          <w:lang w:val="en-US" w:eastAsia="zh-CN" w:bidi="ar-SA"/>
        </w:rPr>
        <w:t xml:space="preserve"> 流通环节抽样场所分布图</w:t>
      </w:r>
    </w:p>
    <w:p>
      <w:pPr>
        <w:pStyle w:val="5"/>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28"/>
          <w:lang w:val="en-US" w:eastAsia="zh-CN"/>
        </w:rPr>
      </w:pPr>
      <w:bookmarkStart w:id="7" w:name="_Toc32066"/>
      <w:r>
        <w:rPr>
          <w:rFonts w:hint="eastAsia" w:ascii="仿宋" w:hAnsi="仿宋" w:eastAsia="仿宋" w:cs="仿宋"/>
          <w:sz w:val="32"/>
          <w:szCs w:val="28"/>
          <w:lang w:val="en-US" w:eastAsia="zh-CN"/>
        </w:rPr>
        <w:t>(三)抽样品种（类别）</w:t>
      </w:r>
      <w:bookmarkEnd w:id="7"/>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2022年度市级普通食品抽检共包含6</w:t>
      </w:r>
      <w:r>
        <w:rPr>
          <w:rFonts w:hint="eastAsia" w:ascii="仿宋_GB2312" w:hAnsi="仿宋_GB2312" w:eastAsia="仿宋_GB2312" w:cs="仿宋_GB2312"/>
          <w:sz w:val="32"/>
          <w:szCs w:val="32"/>
          <w:lang w:eastAsia="zh-CN"/>
        </w:rPr>
        <w:t>大类</w:t>
      </w:r>
      <w:r>
        <w:rPr>
          <w:rFonts w:hint="eastAsia" w:ascii="仿宋_GB2312" w:hAnsi="仿宋_GB2312" w:eastAsia="仿宋_GB2312" w:cs="仿宋_GB2312"/>
          <w:sz w:val="32"/>
          <w:szCs w:val="32"/>
        </w:rPr>
        <w:t>（详见图</w:t>
      </w:r>
      <w:r>
        <w:rPr>
          <w:rFonts w:hint="eastAsia" w:ascii="仿宋_GB2312" w:hAnsi="仿宋_GB2312" w:eastAsia="仿宋_GB2312" w:cs="仿宋_GB2312"/>
          <w:sz w:val="32"/>
          <w:szCs w:val="32"/>
          <w:highlight w:val="none"/>
          <w:lang w:val="en"/>
        </w:rPr>
        <w:t>3</w:t>
      </w:r>
      <w:r>
        <w:rPr>
          <w:rFonts w:hint="eastAsia" w:ascii="仿宋_GB2312" w:hAnsi="仿宋_GB2312" w:eastAsia="仿宋_GB2312" w:cs="仿宋_GB2312"/>
          <w:sz w:val="32"/>
          <w:szCs w:val="32"/>
        </w:rPr>
        <w:t>），其中粮食加工品240批次,占比38.46%；调味品144批次，占比23.08%；酒类96批次，占比15.38%；速冻食品48批次，占比7.69%；炒货食品及坚果制品48批次，占比7.69%；淀粉及淀粉制品48批次，占比7.69%。</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cs="Times New Roman"/>
        </w:rPr>
      </w:pPr>
      <w:r>
        <w:rPr>
          <w:rFonts w:hint="default" w:ascii="Times New Roman" w:hAnsi="Times New Roman" w:cs="Times New Roman"/>
        </w:rPr>
        <w:object>
          <v:shape id="_x0000_i1026" o:spt="75" alt="olechartimg_1676617426057095_730747904" type="#_x0000_t75" style="height:186.5pt;width:421.6pt;" o:ole="t" filled="f" o:preferrelative="t" stroked="f" coordsize="21600,21600">
            <v:path/>
            <v:fill on="f" focussize="0,0"/>
            <v:stroke on="f"/>
            <v:imagedata r:id="rId13" o:title="olechartimg_1676617426057095_730747904"/>
            <o:lock v:ext="edit" aspectratio="f"/>
            <w10:wrap type="none"/>
            <w10:anchorlock/>
          </v:shape>
          <o:OLEObject Type="Embed" ProgID="Excel.Chart.8"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b/>
          <w:kern w:val="2"/>
          <w:sz w:val="22"/>
          <w:szCs w:val="22"/>
          <w:lang w:val="en-US" w:eastAsia="zh-CN" w:bidi="ar-SA"/>
        </w:rPr>
        <w:t>图3. 食品抽检类别分布图</w:t>
      </w:r>
    </w:p>
    <w:p>
      <w:pPr>
        <w:pStyle w:val="5"/>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ascii="仿宋" w:hAnsi="仿宋" w:eastAsia="仿宋" w:cs="仿宋"/>
          <w:sz w:val="32"/>
          <w:szCs w:val="28"/>
          <w:lang w:val="en-US" w:eastAsia="zh-CN"/>
        </w:rPr>
      </w:pPr>
      <w:bookmarkStart w:id="8" w:name="_Toc30283"/>
      <w:r>
        <w:rPr>
          <w:rFonts w:hint="eastAsia" w:ascii="仿宋" w:hAnsi="仿宋" w:eastAsia="仿宋" w:cs="仿宋"/>
          <w:sz w:val="32"/>
          <w:szCs w:val="28"/>
          <w:lang w:val="en-US" w:eastAsia="zh-CN"/>
        </w:rPr>
        <w:t>(四)</w:t>
      </w:r>
      <w:r>
        <w:rPr>
          <w:rFonts w:hint="default" w:ascii="仿宋" w:hAnsi="仿宋" w:eastAsia="仿宋" w:cs="仿宋"/>
          <w:sz w:val="32"/>
          <w:szCs w:val="28"/>
          <w:lang w:val="en-US" w:eastAsia="zh-CN"/>
        </w:rPr>
        <w:t>抽样地区（市/县）</w:t>
      </w:r>
      <w:bookmarkEnd w:id="8"/>
    </w:p>
    <w:p>
      <w:pPr>
        <w:ind w:firstLine="640" w:firstLineChars="200"/>
        <w:rPr>
          <w:rFonts w:hint="default" w:ascii="Times New Roman" w:hAnsi="Times New Roman" w:eastAsia="仿宋" w:cs="Times New Roman"/>
          <w:sz w:val="32"/>
        </w:rPr>
      </w:pPr>
      <w:r>
        <w:rPr>
          <w:rFonts w:hint="default" w:ascii="Times New Roman" w:hAnsi="Times New Roman" w:eastAsia="仿宋" w:cs="Times New Roman"/>
          <w:sz w:val="32"/>
          <w:szCs w:val="32"/>
        </w:rPr>
        <w:t>2022年度市级普通食品抽检抽样地共涉及</w:t>
      </w:r>
      <w:r>
        <w:rPr>
          <w:rFonts w:hint="eastAsia" w:ascii="Times New Roman" w:hAnsi="Times New Roman" w:eastAsia="仿宋" w:cs="Times New Roman"/>
          <w:sz w:val="32"/>
          <w:szCs w:val="32"/>
          <w:lang w:eastAsia="zh-CN"/>
        </w:rPr>
        <w:t>全市</w:t>
      </w:r>
      <w:r>
        <w:rPr>
          <w:rFonts w:hint="default" w:ascii="Times New Roman" w:hAnsi="Times New Roman" w:eastAsia="仿宋" w:cs="Times New Roman"/>
          <w:sz w:val="32"/>
          <w:szCs w:val="32"/>
        </w:rPr>
        <w:t>13个</w:t>
      </w:r>
      <w:r>
        <w:rPr>
          <w:rFonts w:hint="eastAsia" w:ascii="Times New Roman" w:hAnsi="Times New Roman" w:eastAsia="仿宋" w:cs="Times New Roman"/>
          <w:sz w:val="32"/>
          <w:szCs w:val="32"/>
          <w:lang w:eastAsia="zh-CN"/>
        </w:rPr>
        <w:t>县市区</w:t>
      </w:r>
      <w:r>
        <w:rPr>
          <w:rFonts w:hint="default" w:ascii="Times New Roman" w:hAnsi="Times New Roman" w:eastAsia="仿宋" w:cs="Times New Roman"/>
          <w:sz w:val="32"/>
          <w:szCs w:val="32"/>
        </w:rPr>
        <w:t>（详见表1）</w:t>
      </w:r>
      <w:r>
        <w:rPr>
          <w:rFonts w:hint="default" w:ascii="Times New Roman" w:hAnsi="Times New Roman" w:eastAsia="仿宋" w:cs="Times New Roman"/>
          <w:sz w:val="32"/>
        </w:rPr>
        <w:t>。</w:t>
      </w:r>
    </w:p>
    <w:p>
      <w:pPr>
        <w:pStyle w:val="16"/>
        <w:shd w:val="clear" w:color="auto" w:fill="FFFFFF"/>
        <w:spacing w:before="0" w:beforeAutospacing="0" w:after="0" w:afterAutospacing="0" w:line="560" w:lineRule="exact"/>
        <w:jc w:val="center"/>
        <w:rPr>
          <w:rFonts w:hint="default" w:asciiTheme="minorEastAsia" w:hAnsiTheme="minorEastAsia" w:eastAsiaTheme="minorEastAsia" w:cstheme="minorEastAsia"/>
          <w:b/>
          <w:kern w:val="2"/>
          <w:sz w:val="22"/>
          <w:szCs w:val="22"/>
          <w:lang w:val="en-US" w:eastAsia="zh-CN" w:bidi="ar-SA"/>
        </w:rPr>
      </w:pPr>
      <w:r>
        <w:rPr>
          <w:rFonts w:hint="default" w:asciiTheme="minorEastAsia" w:hAnsiTheme="minorEastAsia" w:eastAsiaTheme="minorEastAsia" w:cstheme="minorEastAsia"/>
          <w:b/>
          <w:kern w:val="2"/>
          <w:sz w:val="22"/>
          <w:szCs w:val="22"/>
          <w:lang w:val="en-US" w:eastAsia="zh-CN" w:bidi="ar-SA"/>
        </w:rPr>
        <w:t>表1 各县市区食品抽检分布表</w:t>
      </w:r>
    </w:p>
    <w:tbl>
      <w:tblPr>
        <w:tblStyle w:val="17"/>
        <w:tblW w:w="7929" w:type="dxa"/>
        <w:jc w:val="center"/>
        <w:tblLayout w:type="fixed"/>
        <w:tblCellMar>
          <w:top w:w="15" w:type="dxa"/>
          <w:left w:w="15" w:type="dxa"/>
          <w:bottom w:w="15" w:type="dxa"/>
          <w:right w:w="15" w:type="dxa"/>
        </w:tblCellMar>
      </w:tblPr>
      <w:tblGrid>
        <w:gridCol w:w="1499"/>
        <w:gridCol w:w="3416"/>
        <w:gridCol w:w="3014"/>
      </w:tblGrid>
      <w:tr>
        <w:tblPrEx>
          <w:tblCellMar>
            <w:top w:w="15" w:type="dxa"/>
            <w:left w:w="15" w:type="dxa"/>
            <w:bottom w:w="15" w:type="dxa"/>
            <w:right w:w="15" w:type="dxa"/>
          </w:tblCellMar>
        </w:tblPrEx>
        <w:trPr>
          <w:trHeight w:val="78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jc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序号</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Times New Roman" w:hAnsi="Times New Roman" w:eastAsia="仿宋_GB2312" w:cs="Times New Roman"/>
                <w:b/>
                <w:sz w:val="28"/>
                <w:szCs w:val="28"/>
                <w:lang w:eastAsia="zh-CN"/>
              </w:rPr>
            </w:pPr>
            <w:r>
              <w:rPr>
                <w:rFonts w:hint="eastAsia" w:ascii="Times New Roman" w:hAnsi="Times New Roman" w:eastAsia="仿宋_GB2312" w:cs="Times New Roman"/>
                <w:b/>
                <w:kern w:val="0"/>
                <w:sz w:val="28"/>
                <w:szCs w:val="28"/>
                <w:lang w:eastAsia="zh-CN"/>
              </w:rPr>
              <w:t>各县市区</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b/>
                <w:sz w:val="28"/>
                <w:szCs w:val="28"/>
              </w:rPr>
            </w:pPr>
            <w:r>
              <w:rPr>
                <w:rFonts w:hint="default" w:ascii="Times New Roman" w:hAnsi="Times New Roman" w:eastAsia="仿宋_GB2312" w:cs="Times New Roman"/>
                <w:b/>
                <w:kern w:val="0"/>
                <w:sz w:val="28"/>
                <w:szCs w:val="28"/>
              </w:rPr>
              <w:t>批次</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1</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榆阳区</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2</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高新区</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23</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3</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靖边</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52</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4</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定边</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52</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5</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横山</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62</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6</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米脂</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53</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7</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佳县</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52</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8</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吴堡</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51</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9</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绥德</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54</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10</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子洲</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11</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清涧</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51</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12</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神木</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44</w:t>
            </w:r>
          </w:p>
        </w:tc>
      </w:tr>
      <w:tr>
        <w:tblPrEx>
          <w:tblCellMar>
            <w:top w:w="15" w:type="dxa"/>
            <w:left w:w="15" w:type="dxa"/>
            <w:bottom w:w="15" w:type="dxa"/>
            <w:right w:w="15" w:type="dxa"/>
          </w:tblCellMar>
        </w:tblPrEx>
        <w:trPr>
          <w:trHeight w:val="51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13</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府谷</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50</w:t>
            </w:r>
          </w:p>
        </w:tc>
      </w:tr>
      <w:tr>
        <w:tblPrEx>
          <w:tblCellMar>
            <w:top w:w="15" w:type="dxa"/>
            <w:left w:w="15" w:type="dxa"/>
            <w:bottom w:w="15" w:type="dxa"/>
            <w:right w:w="15" w:type="dxa"/>
          </w:tblCellMar>
        </w:tblPrEx>
        <w:trPr>
          <w:trHeight w:val="840" w:hRule="atLeast"/>
          <w:jc w:val="center"/>
        </w:trPr>
        <w:tc>
          <w:tcPr>
            <w:tcW w:w="8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合计</w:t>
            </w:r>
          </w:p>
        </w:tc>
        <w:tc>
          <w:tcPr>
            <w:tcW w:w="1938"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624</w:t>
            </w:r>
          </w:p>
        </w:tc>
      </w:tr>
    </w:tbl>
    <w:p>
      <w:pPr>
        <w:bidi w:val="0"/>
        <w:rPr>
          <w:rFonts w:hint="default" w:ascii="Times New Roman" w:hAnsi="Times New Roman" w:cs="Times New Roman"/>
        </w:rPr>
      </w:pP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ind w:firstLine="643" w:firstLineChars="200"/>
        <w:textAlignment w:val="auto"/>
        <w:rPr>
          <w:rFonts w:hint="eastAsia" w:ascii="黑体" w:hAnsi="黑体" w:eastAsia="黑体" w:cs="黑体"/>
        </w:rPr>
      </w:pPr>
      <w:bookmarkStart w:id="9" w:name="_三、食用农产品抽检情况"/>
      <w:r>
        <w:rPr>
          <w:rFonts w:hint="eastAsia" w:ascii="黑体" w:hAnsi="黑体" w:eastAsia="黑体" w:cs="黑体"/>
          <w:lang w:eastAsia="zh-CN"/>
        </w:rPr>
        <w:t>三、</w:t>
      </w:r>
      <w:r>
        <w:rPr>
          <w:rFonts w:hint="eastAsia" w:ascii="黑体" w:hAnsi="黑体" w:eastAsia="黑体" w:cs="黑体"/>
        </w:rPr>
        <w:t>食用农产品</w:t>
      </w:r>
      <w:r>
        <w:rPr>
          <w:rFonts w:hint="eastAsia" w:ascii="黑体" w:hAnsi="黑体" w:eastAsia="黑体" w:cs="黑体"/>
          <w:lang w:eastAsia="zh-CN"/>
        </w:rPr>
        <w:t>监督</w:t>
      </w:r>
      <w:r>
        <w:rPr>
          <w:rFonts w:hint="eastAsia" w:ascii="黑体" w:hAnsi="黑体" w:eastAsia="黑体" w:cs="黑体"/>
        </w:rPr>
        <w:t>抽检情况</w:t>
      </w:r>
      <w:bookmarkEnd w:id="6"/>
    </w:p>
    <w:bookmarkEnd w:id="9"/>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2022年</w:t>
      </w:r>
      <w:r>
        <w:rPr>
          <w:rFonts w:hint="eastAsia" w:ascii="仿宋_GB2312" w:hAnsi="仿宋_GB2312" w:eastAsia="仿宋_GB2312" w:cs="仿宋_GB2312"/>
          <w:sz w:val="32"/>
          <w:szCs w:val="32"/>
          <w:lang w:eastAsia="zh-CN"/>
        </w:rPr>
        <w:t>市级</w:t>
      </w:r>
      <w:r>
        <w:rPr>
          <w:rFonts w:hint="eastAsia" w:ascii="仿宋_GB2312" w:hAnsi="仿宋_GB2312" w:eastAsia="仿宋_GB2312" w:cs="仿宋_GB2312"/>
          <w:sz w:val="32"/>
          <w:szCs w:val="32"/>
        </w:rPr>
        <w:t>食用农产品共抽检</w:t>
      </w:r>
      <w:r>
        <w:rPr>
          <w:rFonts w:hint="eastAsia" w:ascii="仿宋_GB2312" w:hAnsi="仿宋_GB2312" w:eastAsia="仿宋_GB2312" w:cs="仿宋_GB2312"/>
          <w:sz w:val="32"/>
          <w:szCs w:val="32"/>
          <w:highlight w:val="none"/>
          <w:lang w:val="en-US" w:eastAsia="zh-CN"/>
        </w:rPr>
        <w:t>1234</w:t>
      </w:r>
      <w:r>
        <w:rPr>
          <w:rFonts w:hint="eastAsia" w:ascii="仿宋_GB2312" w:hAnsi="仿宋_GB2312" w:eastAsia="仿宋_GB2312" w:cs="仿宋_GB2312"/>
          <w:sz w:val="32"/>
          <w:szCs w:val="32"/>
        </w:rPr>
        <w:t>批次，其中监督抽检</w:t>
      </w:r>
      <w:r>
        <w:rPr>
          <w:rFonts w:hint="eastAsia" w:ascii="仿宋_GB2312" w:hAnsi="仿宋_GB2312" w:eastAsia="仿宋_GB2312" w:cs="仿宋_GB2312"/>
          <w:sz w:val="32"/>
          <w:szCs w:val="32"/>
          <w:highlight w:val="none"/>
          <w:lang w:val="en-US" w:eastAsia="zh-CN"/>
        </w:rPr>
        <w:t>552</w:t>
      </w:r>
      <w:r>
        <w:rPr>
          <w:rFonts w:hint="eastAsia" w:ascii="仿宋_GB2312" w:hAnsi="仿宋_GB2312" w:eastAsia="仿宋_GB2312" w:cs="仿宋_GB2312"/>
          <w:sz w:val="32"/>
          <w:szCs w:val="32"/>
        </w:rPr>
        <w:t>批次，不合格</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问题发现</w:t>
      </w:r>
      <w:r>
        <w:rPr>
          <w:rFonts w:hint="eastAsia" w:ascii="仿宋_GB2312" w:hAnsi="仿宋_GB2312" w:eastAsia="仿宋_GB2312" w:cs="仿宋_GB2312"/>
          <w:sz w:val="32"/>
          <w:szCs w:val="32"/>
        </w:rPr>
        <w:t>率为</w:t>
      </w:r>
      <w:r>
        <w:rPr>
          <w:rFonts w:hint="eastAsia" w:ascii="仿宋_GB2312" w:hAnsi="仿宋_GB2312" w:eastAsia="仿宋_GB2312" w:cs="仿宋_GB2312"/>
          <w:sz w:val="32"/>
          <w:szCs w:val="32"/>
          <w:lang w:val="en-US" w:eastAsia="zh-CN"/>
        </w:rPr>
        <w:t>3.62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w:t>
      </w:r>
    </w:p>
    <w:p>
      <w:pPr>
        <w:pStyle w:val="4"/>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28"/>
          <w:lang w:val="en-US" w:eastAsia="zh-CN"/>
        </w:rPr>
      </w:pPr>
      <w:bookmarkStart w:id="10" w:name="_Toc19041"/>
      <w:r>
        <w:rPr>
          <w:rFonts w:hint="eastAsia" w:ascii="楷体" w:hAnsi="楷体" w:eastAsia="楷体" w:cs="楷体"/>
          <w:sz w:val="32"/>
          <w:szCs w:val="32"/>
          <w:lang w:eastAsia="zh-CN"/>
        </w:rPr>
        <w:t>（一）</w:t>
      </w:r>
      <w:bookmarkEnd w:id="10"/>
      <w:bookmarkStart w:id="11" w:name="_Toc14790"/>
      <w:r>
        <w:rPr>
          <w:rFonts w:hint="eastAsia" w:ascii="楷体" w:hAnsi="楷体" w:eastAsia="楷体" w:cs="楷体"/>
          <w:sz w:val="32"/>
          <w:szCs w:val="32"/>
          <w:lang w:val="en-US" w:eastAsia="zh-CN"/>
        </w:rPr>
        <w:t>抽样环节</w:t>
      </w:r>
      <w:bookmarkEnd w:id="11"/>
    </w:p>
    <w:p>
      <w:pPr>
        <w:bidi w:val="0"/>
        <w:ind w:firstLine="640" w:firstLineChars="200"/>
        <w:rPr>
          <w:rFonts w:hint="eastAsia" w:ascii="Times New Roman" w:hAnsi="Times New Roman" w:eastAsia="仿宋" w:cs="Times New Roman"/>
          <w:sz w:val="32"/>
          <w:szCs w:val="32"/>
        </w:rPr>
      </w:pPr>
      <w:r>
        <w:rPr>
          <w:rFonts w:hint="eastAsia" w:ascii="仿宋_GB2312" w:hAnsi="仿宋_GB2312" w:eastAsia="仿宋_GB2312" w:cs="仿宋_GB2312"/>
          <w:sz w:val="32"/>
          <w:szCs w:val="32"/>
          <w:lang w:val="en-US" w:eastAsia="zh-CN"/>
        </w:rPr>
        <w:t>本年度食用农产品监督抽检仅在流通环节进行了抽样检验</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共抽检了552批次样品，不合格样品20批次，问题发现率3.62%。抽样环节具体情况如表2所示。</w:t>
      </w:r>
    </w:p>
    <w:p>
      <w:pPr>
        <w:pStyle w:val="16"/>
        <w:shd w:val="clear" w:color="auto" w:fill="FFFFFF"/>
        <w:spacing w:before="0" w:beforeAutospacing="0" w:after="0" w:afterAutospacing="0" w:line="560" w:lineRule="exact"/>
        <w:ind w:left="970" w:leftChars="0" w:hanging="970" w:hangingChars="439"/>
        <w:jc w:val="center"/>
        <w:rPr>
          <w:rFonts w:hint="eastAsia"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lang w:val="en-US" w:eastAsia="zh-CN"/>
        </w:rPr>
        <w:t>表2 抽样环节统计表</w:t>
      </w:r>
    </w:p>
    <w:tbl>
      <w:tblPr>
        <w:tblStyle w:val="17"/>
        <w:tblW w:w="7645" w:type="dxa"/>
        <w:jc w:val="center"/>
        <w:tblLayout w:type="fixed"/>
        <w:tblCellMar>
          <w:top w:w="0" w:type="dxa"/>
          <w:left w:w="108" w:type="dxa"/>
          <w:bottom w:w="0" w:type="dxa"/>
          <w:right w:w="108" w:type="dxa"/>
        </w:tblCellMar>
      </w:tblPr>
      <w:tblGrid>
        <w:gridCol w:w="1973"/>
        <w:gridCol w:w="1417"/>
        <w:gridCol w:w="1545"/>
        <w:gridCol w:w="1298"/>
        <w:gridCol w:w="1412"/>
      </w:tblGrid>
      <w:tr>
        <w:tblPrEx>
          <w:tblCellMar>
            <w:top w:w="0" w:type="dxa"/>
            <w:left w:w="108" w:type="dxa"/>
            <w:bottom w:w="0" w:type="dxa"/>
            <w:right w:w="108" w:type="dxa"/>
          </w:tblCellMar>
        </w:tblPrEx>
        <w:trPr>
          <w:trHeight w:val="510" w:hRule="atLeast"/>
          <w:jc w:val="center"/>
        </w:trPr>
        <w:tc>
          <w:tcPr>
            <w:tcW w:w="1973"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抽样环节</w:t>
            </w:r>
          </w:p>
        </w:tc>
        <w:tc>
          <w:tcPr>
            <w:tcW w:w="1417"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抽样数量（批次）</w:t>
            </w:r>
          </w:p>
        </w:tc>
        <w:tc>
          <w:tcPr>
            <w:tcW w:w="1545"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不合格数量（批次）</w:t>
            </w:r>
          </w:p>
        </w:tc>
        <w:tc>
          <w:tcPr>
            <w:tcW w:w="1298"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合格数量（批次)</w:t>
            </w:r>
          </w:p>
        </w:tc>
        <w:tc>
          <w:tcPr>
            <w:tcW w:w="1412"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val="en-US" w:eastAsia="zh-CN" w:bidi="ar"/>
              </w:rPr>
              <w:t>问题发现</w:t>
            </w:r>
            <w:r>
              <w:rPr>
                <w:rFonts w:hint="eastAsia" w:ascii="仿宋" w:hAnsi="仿宋" w:eastAsia="仿宋" w:cs="仿宋"/>
                <w:color w:val="FFFFFF"/>
                <w:kern w:val="0"/>
                <w:sz w:val="24"/>
                <w:lang w:bidi="ar"/>
              </w:rPr>
              <w:t>率%</w:t>
            </w:r>
          </w:p>
        </w:tc>
      </w:tr>
      <w:tr>
        <w:tblPrEx>
          <w:tblCellMar>
            <w:top w:w="0" w:type="dxa"/>
            <w:left w:w="108" w:type="dxa"/>
            <w:bottom w:w="0" w:type="dxa"/>
            <w:right w:w="108" w:type="dxa"/>
          </w:tblCellMar>
        </w:tblPrEx>
        <w:trPr>
          <w:trHeight w:val="510" w:hRule="atLeast"/>
          <w:jc w:val="center"/>
        </w:trPr>
        <w:tc>
          <w:tcPr>
            <w:tcW w:w="1973"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ascii="仿宋" w:hAnsi="仿宋" w:eastAsia="仿宋" w:cs="仿宋"/>
                <w:color w:val="FFFFFF"/>
                <w:sz w:val="24"/>
              </w:rPr>
            </w:pPr>
          </w:p>
        </w:tc>
        <w:tc>
          <w:tcPr>
            <w:tcW w:w="1417"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ascii="仿宋" w:hAnsi="仿宋" w:eastAsia="仿宋" w:cs="仿宋"/>
                <w:color w:val="FFFFFF"/>
                <w:sz w:val="24"/>
              </w:rPr>
            </w:pPr>
          </w:p>
        </w:tc>
        <w:tc>
          <w:tcPr>
            <w:tcW w:w="1545"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ascii="仿宋" w:hAnsi="仿宋" w:eastAsia="仿宋" w:cs="仿宋"/>
                <w:color w:val="FFFFFF"/>
                <w:sz w:val="24"/>
              </w:rPr>
            </w:pPr>
          </w:p>
        </w:tc>
        <w:tc>
          <w:tcPr>
            <w:tcW w:w="1298"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ascii="仿宋" w:hAnsi="仿宋" w:eastAsia="仿宋" w:cs="仿宋"/>
                <w:color w:val="FFFFFF"/>
                <w:sz w:val="24"/>
              </w:rPr>
            </w:pPr>
          </w:p>
        </w:tc>
        <w:tc>
          <w:tcPr>
            <w:tcW w:w="1412"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ascii="仿宋" w:hAnsi="仿宋" w:eastAsia="仿宋" w:cs="仿宋"/>
                <w:color w:val="FFFFFF"/>
                <w:sz w:val="24"/>
              </w:rPr>
            </w:pPr>
          </w:p>
        </w:tc>
      </w:tr>
      <w:tr>
        <w:tblPrEx>
          <w:tblCellMar>
            <w:top w:w="0" w:type="dxa"/>
            <w:left w:w="108" w:type="dxa"/>
            <w:bottom w:w="0" w:type="dxa"/>
            <w:right w:w="108" w:type="dxa"/>
          </w:tblCellMar>
        </w:tblPrEx>
        <w:trPr>
          <w:trHeight w:val="510" w:hRule="atLeast"/>
          <w:jc w:val="center"/>
        </w:trPr>
        <w:tc>
          <w:tcPr>
            <w:tcW w:w="1973"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流通</w:t>
            </w:r>
          </w:p>
        </w:tc>
        <w:tc>
          <w:tcPr>
            <w:tcW w:w="1417"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552</w:t>
            </w:r>
          </w:p>
        </w:tc>
        <w:tc>
          <w:tcPr>
            <w:tcW w:w="1545"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20</w:t>
            </w:r>
          </w:p>
        </w:tc>
        <w:tc>
          <w:tcPr>
            <w:tcW w:w="1298" w:type="dxa"/>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532</w:t>
            </w:r>
          </w:p>
        </w:tc>
        <w:tc>
          <w:tcPr>
            <w:tcW w:w="14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3.62%</w:t>
            </w:r>
          </w:p>
        </w:tc>
      </w:tr>
    </w:tbl>
    <w:p>
      <w:pPr>
        <w:pStyle w:val="5"/>
        <w:keepNext/>
        <w:keepLines/>
        <w:pageBreakBefore w:val="0"/>
        <w:widowControl w:val="0"/>
        <w:numPr>
          <w:ilvl w:val="0"/>
          <w:numId w:val="0"/>
        </w:numPr>
        <w:kinsoku/>
        <w:wordWrap/>
        <w:overflowPunct/>
        <w:topLinePunct w:val="0"/>
        <w:autoSpaceDE/>
        <w:autoSpaceDN/>
        <w:bidi w:val="0"/>
        <w:adjustRightInd/>
        <w:snapToGrid/>
        <w:spacing w:before="157" w:beforeLines="50"/>
        <w:ind w:firstLine="643" w:firstLineChars="200"/>
        <w:textAlignment w:val="auto"/>
        <w:rPr>
          <w:rFonts w:hint="eastAsia" w:ascii="楷体" w:hAnsi="楷体" w:eastAsia="楷体" w:cs="楷体"/>
          <w:b/>
          <w:kern w:val="2"/>
          <w:sz w:val="32"/>
          <w:szCs w:val="32"/>
          <w:lang w:val="en-US" w:eastAsia="zh-CN" w:bidi="ar-SA"/>
        </w:rPr>
      </w:pPr>
      <w:bookmarkStart w:id="12" w:name="_Toc8046"/>
      <w:r>
        <w:rPr>
          <w:rFonts w:hint="eastAsia" w:ascii="楷体" w:hAnsi="楷体" w:eastAsia="楷体" w:cs="楷体"/>
          <w:b/>
          <w:kern w:val="2"/>
          <w:sz w:val="32"/>
          <w:szCs w:val="32"/>
          <w:lang w:val="en-US" w:eastAsia="zh-CN" w:bidi="ar-SA"/>
        </w:rPr>
        <w:t>(二)抽样业态（场所）</w:t>
      </w:r>
      <w:bookmarkEnd w:id="12"/>
    </w:p>
    <w:p>
      <w:pPr>
        <w:pStyle w:val="26"/>
        <w:keepNext w:val="0"/>
        <w:keepLines w:val="0"/>
        <w:pageBreakBefore w:val="0"/>
        <w:widowControl w:val="0"/>
        <w:kinsoku/>
        <w:wordWrap/>
        <w:overflowPunct/>
        <w:topLinePunct w:val="0"/>
        <w:autoSpaceDE/>
        <w:autoSpaceDN/>
        <w:bidi w:val="0"/>
        <w:adjustRightInd/>
        <w:snapToGrid/>
        <w:spacing w:after="157" w:afterLines="50" w:line="360" w:lineRule="auto"/>
        <w:jc w:val="both"/>
        <w:textAlignment w:val="auto"/>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sz w:val="32"/>
          <w:szCs w:val="32"/>
          <w:lang w:val="en-US" w:eastAsia="zh-CN"/>
        </w:rPr>
        <w:t>2022年度农产品监督抽检主要涉及超市、农贸市场、菜市场、果蔬店等9个不同的业态（场所）。</w:t>
      </w:r>
      <w:r>
        <w:rPr>
          <w:rFonts w:hint="eastAsia" w:ascii="仿宋_GB2312" w:hAnsi="仿宋_GB2312" w:eastAsia="仿宋_GB2312" w:cs="仿宋_GB2312"/>
          <w:sz w:val="32"/>
          <w:szCs w:val="32"/>
          <w:highlight w:val="none"/>
          <w:lang w:val="en-US" w:eastAsia="zh-CN"/>
        </w:rPr>
        <w:t>其中超市74批次，4批次不合格，</w:t>
      </w:r>
      <w:r>
        <w:rPr>
          <w:rFonts w:hint="eastAsia" w:ascii="仿宋_GB2312" w:hAnsi="仿宋_GB2312" w:eastAsia="仿宋_GB2312" w:cs="仿宋_GB2312"/>
          <w:sz w:val="32"/>
          <w:szCs w:val="32"/>
          <w:lang w:val="en-US" w:eastAsia="zh-CN"/>
        </w:rPr>
        <w:t>问题发现率</w:t>
      </w:r>
      <w:r>
        <w:rPr>
          <w:rFonts w:hint="eastAsia" w:ascii="仿宋_GB2312" w:hAnsi="仿宋_GB2312" w:eastAsia="仿宋_GB2312" w:cs="仿宋_GB2312"/>
          <w:sz w:val="32"/>
          <w:szCs w:val="32"/>
          <w:highlight w:val="none"/>
          <w:lang w:val="en-US" w:eastAsia="zh-CN"/>
        </w:rPr>
        <w:t>为5.41%；农贸市场136批次，6批次不合格，</w:t>
      </w:r>
      <w:r>
        <w:rPr>
          <w:rFonts w:hint="eastAsia" w:ascii="仿宋_GB2312" w:hAnsi="仿宋_GB2312" w:eastAsia="仿宋_GB2312" w:cs="仿宋_GB2312"/>
          <w:sz w:val="32"/>
          <w:szCs w:val="32"/>
          <w:lang w:val="en-US" w:eastAsia="zh-CN"/>
        </w:rPr>
        <w:t>问题发现率</w:t>
      </w:r>
      <w:r>
        <w:rPr>
          <w:rFonts w:hint="eastAsia" w:ascii="仿宋_GB2312" w:hAnsi="仿宋_GB2312" w:eastAsia="仿宋_GB2312" w:cs="仿宋_GB2312"/>
          <w:sz w:val="32"/>
          <w:szCs w:val="32"/>
          <w:highlight w:val="none"/>
          <w:lang w:val="en-US" w:eastAsia="zh-CN"/>
        </w:rPr>
        <w:t>为4.41%；小食杂店166批次，6批次不合格，</w:t>
      </w:r>
      <w:r>
        <w:rPr>
          <w:rFonts w:hint="eastAsia" w:ascii="仿宋_GB2312" w:hAnsi="仿宋_GB2312" w:eastAsia="仿宋_GB2312" w:cs="仿宋_GB2312"/>
          <w:sz w:val="32"/>
          <w:szCs w:val="32"/>
          <w:lang w:val="en-US" w:eastAsia="zh-CN"/>
        </w:rPr>
        <w:t>问题发现率</w:t>
      </w:r>
      <w:r>
        <w:rPr>
          <w:rFonts w:hint="eastAsia" w:ascii="仿宋_GB2312" w:hAnsi="仿宋_GB2312" w:eastAsia="仿宋_GB2312" w:cs="仿宋_GB2312"/>
          <w:sz w:val="32"/>
          <w:szCs w:val="32"/>
          <w:highlight w:val="none"/>
          <w:lang w:val="en-US" w:eastAsia="zh-CN"/>
        </w:rPr>
        <w:t>为3.61%；其他81批次，2批次不合格，</w:t>
      </w:r>
      <w:r>
        <w:rPr>
          <w:rFonts w:hint="eastAsia" w:ascii="仿宋_GB2312" w:hAnsi="仿宋_GB2312" w:eastAsia="仿宋_GB2312" w:cs="仿宋_GB2312"/>
          <w:sz w:val="32"/>
          <w:szCs w:val="32"/>
          <w:lang w:val="en-US" w:eastAsia="zh-CN"/>
        </w:rPr>
        <w:t>问题发现率</w:t>
      </w:r>
      <w:r>
        <w:rPr>
          <w:rFonts w:hint="eastAsia" w:ascii="仿宋_GB2312" w:hAnsi="仿宋_GB2312" w:eastAsia="仿宋_GB2312" w:cs="仿宋_GB2312"/>
          <w:sz w:val="32"/>
          <w:szCs w:val="32"/>
          <w:highlight w:val="none"/>
          <w:lang w:val="en-US" w:eastAsia="zh-CN"/>
        </w:rPr>
        <w:t>为2.47%；批发市场72批次，2批次不合格，</w:t>
      </w:r>
      <w:r>
        <w:rPr>
          <w:rFonts w:hint="eastAsia" w:ascii="仿宋_GB2312" w:hAnsi="仿宋_GB2312" w:eastAsia="仿宋_GB2312" w:cs="仿宋_GB2312"/>
          <w:sz w:val="32"/>
          <w:szCs w:val="32"/>
          <w:lang w:val="en-US" w:eastAsia="zh-CN"/>
        </w:rPr>
        <w:t>问题发现率</w:t>
      </w:r>
      <w:r>
        <w:rPr>
          <w:rFonts w:hint="eastAsia" w:ascii="仿宋_GB2312" w:hAnsi="仿宋_GB2312" w:eastAsia="仿宋_GB2312" w:cs="仿宋_GB2312"/>
          <w:sz w:val="32"/>
          <w:szCs w:val="32"/>
          <w:highlight w:val="none"/>
          <w:lang w:val="en-US" w:eastAsia="zh-CN"/>
        </w:rPr>
        <w:t>为2.78%；大/中/小型餐馆合计9批次，均合格；菜市场14批次，均合格。</w:t>
      </w:r>
      <w:r>
        <w:rPr>
          <w:rFonts w:hint="eastAsia" w:ascii="仿宋_GB2312" w:hAnsi="仿宋_GB2312" w:eastAsia="仿宋_GB2312" w:cs="仿宋_GB2312"/>
          <w:b w:val="0"/>
          <w:kern w:val="2"/>
          <w:sz w:val="32"/>
          <w:szCs w:val="32"/>
          <w:lang w:val="en-US" w:eastAsia="zh-CN" w:bidi="ar-SA"/>
        </w:rPr>
        <w:t>具体的各抽样业态抽检情况如表3、图4所示。</w:t>
      </w:r>
    </w:p>
    <w:p>
      <w:pPr>
        <w:pStyle w:val="26"/>
        <w:ind w:left="1147" w:leftChars="0" w:hanging="1147" w:hangingChars="476"/>
        <w:jc w:val="center"/>
        <w:rPr>
          <w:rFonts w:hint="eastAsia" w:ascii="Times New Roman" w:hAnsi="Times New Roman" w:eastAsia="宋体" w:cs="Times New Roman"/>
          <w:b/>
          <w:kern w:val="0"/>
          <w:sz w:val="24"/>
          <w:szCs w:val="24"/>
          <w:lang w:val="en-US" w:eastAsia="zh-CN" w:bidi="ar-SA"/>
        </w:rPr>
      </w:pPr>
      <w:r>
        <w:rPr>
          <w:rFonts w:hint="eastAsia" w:ascii="Times New Roman" w:hAnsi="Times New Roman" w:eastAsia="宋体" w:cs="Times New Roman"/>
          <w:b/>
          <w:kern w:val="0"/>
          <w:sz w:val="24"/>
          <w:szCs w:val="24"/>
          <w:lang w:val="en-US" w:eastAsia="zh-CN" w:bidi="ar-SA"/>
        </w:rPr>
        <w:t>表</w:t>
      </w:r>
      <w:r>
        <w:rPr>
          <w:rFonts w:hint="eastAsia" w:ascii="Times New Roman" w:hAnsi="Times New Roman" w:cs="Times New Roman"/>
          <w:b/>
          <w:kern w:val="0"/>
          <w:sz w:val="24"/>
          <w:szCs w:val="24"/>
          <w:lang w:val="en-US" w:eastAsia="zh-CN" w:bidi="ar-SA"/>
        </w:rPr>
        <w:t>3</w:t>
      </w:r>
      <w:r>
        <w:rPr>
          <w:rFonts w:hint="eastAsia" w:ascii="Times New Roman" w:hAnsi="Times New Roman" w:eastAsia="宋体" w:cs="Times New Roman"/>
          <w:b/>
          <w:kern w:val="0"/>
          <w:sz w:val="24"/>
          <w:szCs w:val="24"/>
          <w:lang w:val="en-US" w:eastAsia="zh-CN" w:bidi="ar-SA"/>
        </w:rPr>
        <w:t xml:space="preserve"> 抽样业态统计表</w:t>
      </w:r>
    </w:p>
    <w:tbl>
      <w:tblPr>
        <w:tblStyle w:val="17"/>
        <w:tblW w:w="7779" w:type="dxa"/>
        <w:jc w:val="center"/>
        <w:tblLayout w:type="fixed"/>
        <w:tblCellMar>
          <w:top w:w="0" w:type="dxa"/>
          <w:left w:w="108" w:type="dxa"/>
          <w:bottom w:w="0" w:type="dxa"/>
          <w:right w:w="108" w:type="dxa"/>
        </w:tblCellMar>
      </w:tblPr>
      <w:tblGrid>
        <w:gridCol w:w="2184"/>
        <w:gridCol w:w="1304"/>
        <w:gridCol w:w="1545"/>
        <w:gridCol w:w="1456"/>
        <w:gridCol w:w="1290"/>
      </w:tblGrid>
      <w:tr>
        <w:tblPrEx>
          <w:tblCellMar>
            <w:top w:w="0" w:type="dxa"/>
            <w:left w:w="108" w:type="dxa"/>
            <w:bottom w:w="0" w:type="dxa"/>
            <w:right w:w="108" w:type="dxa"/>
          </w:tblCellMar>
        </w:tblPrEx>
        <w:trPr>
          <w:trHeight w:val="510" w:hRule="atLeast"/>
          <w:jc w:val="center"/>
        </w:trPr>
        <w:tc>
          <w:tcPr>
            <w:tcW w:w="2184" w:type="dxa"/>
            <w:vMerge w:val="restart"/>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抽样业态（场所）</w:t>
            </w:r>
          </w:p>
        </w:tc>
        <w:tc>
          <w:tcPr>
            <w:tcW w:w="1304" w:type="dxa"/>
            <w:vMerge w:val="restart"/>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抽样数量（批次）</w:t>
            </w:r>
          </w:p>
        </w:tc>
        <w:tc>
          <w:tcPr>
            <w:tcW w:w="1545" w:type="dxa"/>
            <w:vMerge w:val="restart"/>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不合格数量（批次）</w:t>
            </w:r>
          </w:p>
        </w:tc>
        <w:tc>
          <w:tcPr>
            <w:tcW w:w="1456" w:type="dxa"/>
            <w:vMerge w:val="restart"/>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合格数量（批次)</w:t>
            </w:r>
          </w:p>
        </w:tc>
        <w:tc>
          <w:tcPr>
            <w:tcW w:w="1290" w:type="dxa"/>
            <w:vMerge w:val="restart"/>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hint="default" w:ascii="Times New Roman" w:hAnsi="Times New Roman" w:eastAsia="仿宋" w:cs="Times New Roman"/>
                <w:color w:val="FFFFFF"/>
                <w:sz w:val="24"/>
              </w:rPr>
            </w:pPr>
            <w:r>
              <w:rPr>
                <w:rFonts w:hint="eastAsia" w:ascii="Times New Roman" w:hAnsi="Times New Roman" w:eastAsia="仿宋" w:cs="Times New Roman"/>
                <w:color w:val="FFFFFF"/>
                <w:kern w:val="0"/>
                <w:sz w:val="24"/>
                <w:lang w:val="en-US" w:eastAsia="zh-CN" w:bidi="ar"/>
              </w:rPr>
              <w:t>问题发现率</w:t>
            </w:r>
            <w:r>
              <w:rPr>
                <w:rFonts w:hint="default" w:ascii="Times New Roman" w:hAnsi="Times New Roman" w:eastAsia="仿宋" w:cs="Times New Roman"/>
                <w:color w:val="FFFFFF"/>
                <w:kern w:val="0"/>
                <w:sz w:val="24"/>
                <w:lang w:bidi="ar"/>
              </w:rPr>
              <w:t>%</w:t>
            </w:r>
          </w:p>
        </w:tc>
      </w:tr>
      <w:tr>
        <w:tblPrEx>
          <w:tblCellMar>
            <w:top w:w="0" w:type="dxa"/>
            <w:left w:w="108" w:type="dxa"/>
            <w:bottom w:w="0" w:type="dxa"/>
            <w:right w:w="108" w:type="dxa"/>
          </w:tblCellMar>
        </w:tblPrEx>
        <w:trPr>
          <w:trHeight w:val="510" w:hRule="atLeast"/>
          <w:jc w:val="center"/>
        </w:trPr>
        <w:tc>
          <w:tcPr>
            <w:tcW w:w="2184" w:type="dxa"/>
            <w:vMerge w:val="continue"/>
            <w:tcBorders>
              <w:top w:val="single" w:color="auto" w:sz="4" w:space="0"/>
              <w:left w:val="single" w:color="auto" w:sz="4" w:space="0"/>
              <w:bottom w:val="single" w:color="auto" w:sz="4" w:space="0"/>
              <w:right w:val="single" w:color="auto" w:sz="4" w:space="0"/>
            </w:tcBorders>
            <w:shd w:val="clear" w:color="auto" w:fill="4F81BD"/>
            <w:vAlign w:val="center"/>
          </w:tcPr>
          <w:p>
            <w:pPr>
              <w:jc w:val="center"/>
              <w:rPr>
                <w:rFonts w:hint="default" w:ascii="Times New Roman" w:hAnsi="Times New Roman" w:eastAsia="仿宋" w:cs="Times New Roman"/>
                <w:color w:val="FFFFFF"/>
                <w:sz w:val="24"/>
              </w:rPr>
            </w:pPr>
          </w:p>
        </w:tc>
        <w:tc>
          <w:tcPr>
            <w:tcW w:w="1304" w:type="dxa"/>
            <w:vMerge w:val="continue"/>
            <w:tcBorders>
              <w:top w:val="single" w:color="auto" w:sz="4" w:space="0"/>
              <w:left w:val="single" w:color="auto" w:sz="4" w:space="0"/>
              <w:bottom w:val="single" w:color="auto" w:sz="4" w:space="0"/>
              <w:right w:val="single" w:color="auto" w:sz="4" w:space="0"/>
            </w:tcBorders>
            <w:shd w:val="clear" w:color="auto" w:fill="4F81BD"/>
            <w:vAlign w:val="center"/>
          </w:tcPr>
          <w:p>
            <w:pPr>
              <w:jc w:val="center"/>
              <w:rPr>
                <w:rFonts w:hint="default" w:ascii="Times New Roman" w:hAnsi="Times New Roman" w:eastAsia="仿宋" w:cs="Times New Roman"/>
                <w:color w:val="FFFFFF"/>
                <w:sz w:val="24"/>
              </w:rPr>
            </w:pPr>
          </w:p>
        </w:tc>
        <w:tc>
          <w:tcPr>
            <w:tcW w:w="1545" w:type="dxa"/>
            <w:vMerge w:val="continue"/>
            <w:tcBorders>
              <w:top w:val="single" w:color="auto" w:sz="4" w:space="0"/>
              <w:left w:val="single" w:color="auto" w:sz="4" w:space="0"/>
              <w:bottom w:val="single" w:color="auto" w:sz="4" w:space="0"/>
              <w:right w:val="single" w:color="auto" w:sz="4" w:space="0"/>
            </w:tcBorders>
            <w:shd w:val="clear" w:color="auto" w:fill="4F81BD"/>
            <w:vAlign w:val="center"/>
          </w:tcPr>
          <w:p>
            <w:pPr>
              <w:jc w:val="center"/>
              <w:rPr>
                <w:rFonts w:hint="default" w:ascii="Times New Roman" w:hAnsi="Times New Roman" w:eastAsia="仿宋" w:cs="Times New Roman"/>
                <w:color w:val="FFFFFF"/>
                <w:sz w:val="24"/>
              </w:rPr>
            </w:pPr>
          </w:p>
        </w:tc>
        <w:tc>
          <w:tcPr>
            <w:tcW w:w="1456" w:type="dxa"/>
            <w:vMerge w:val="continue"/>
            <w:tcBorders>
              <w:top w:val="single" w:color="auto" w:sz="4" w:space="0"/>
              <w:left w:val="single" w:color="auto" w:sz="4" w:space="0"/>
              <w:bottom w:val="single" w:color="auto" w:sz="4" w:space="0"/>
              <w:right w:val="single" w:color="auto" w:sz="4" w:space="0"/>
            </w:tcBorders>
            <w:shd w:val="clear" w:color="auto" w:fill="4F81BD"/>
            <w:vAlign w:val="center"/>
          </w:tcPr>
          <w:p>
            <w:pPr>
              <w:jc w:val="center"/>
              <w:rPr>
                <w:rFonts w:hint="default" w:ascii="Times New Roman" w:hAnsi="Times New Roman" w:eastAsia="仿宋" w:cs="Times New Roman"/>
                <w:color w:val="FFFFFF"/>
                <w:sz w:val="24"/>
              </w:rPr>
            </w:pPr>
          </w:p>
        </w:tc>
        <w:tc>
          <w:tcPr>
            <w:tcW w:w="1290" w:type="dxa"/>
            <w:vMerge w:val="continue"/>
            <w:tcBorders>
              <w:top w:val="single" w:color="auto" w:sz="4" w:space="0"/>
              <w:left w:val="single" w:color="auto" w:sz="4" w:space="0"/>
              <w:bottom w:val="single" w:color="auto" w:sz="4" w:space="0"/>
              <w:right w:val="single" w:color="auto" w:sz="4" w:space="0"/>
            </w:tcBorders>
            <w:shd w:val="clear" w:color="auto" w:fill="4F81BD"/>
            <w:vAlign w:val="center"/>
          </w:tcPr>
          <w:p>
            <w:pPr>
              <w:jc w:val="center"/>
              <w:rPr>
                <w:rFonts w:hint="default" w:ascii="Times New Roman" w:hAnsi="Times New Roman" w:eastAsia="仿宋" w:cs="Times New Roman"/>
                <w:color w:val="FFFFFF"/>
                <w:sz w:val="24"/>
              </w:rPr>
            </w:pP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超市</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5.41%</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农贸市场</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136</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130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4.41%</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小食杂店</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166</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3.61%</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批发市场</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2.78%</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其他</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2.47%</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i w:val="0"/>
                <w:iCs w:val="0"/>
                <w:color w:val="000000"/>
                <w:kern w:val="0"/>
                <w:sz w:val="24"/>
                <w:szCs w:val="24"/>
                <w:u w:val="none"/>
                <w:lang w:val="en-US" w:eastAsia="zh-CN" w:bidi="ar"/>
              </w:rPr>
              <w:t>菜市场</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eastAsia" w:ascii="Times New Roman" w:hAnsi="Times New Roman"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4</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eastAsia" w:ascii="Times New Roman" w:hAnsi="Times New Roman" w:cs="Times New Roman"/>
                <w:i w:val="0"/>
                <w:iCs w:val="0"/>
                <w:color w:val="000000"/>
                <w:kern w:val="0"/>
                <w:sz w:val="22"/>
                <w:szCs w:val="22"/>
                <w:u w:val="none"/>
                <w:lang w:val="en-US" w:eastAsia="zh-CN" w:bidi="ar"/>
              </w:rPr>
              <w:t>1</w:t>
            </w:r>
            <w:r>
              <w:rPr>
                <w:rFonts w:hint="default" w:ascii="Times New Roman" w:hAnsi="Times New Roman" w:eastAsia="宋体" w:cs="Times New Roman"/>
                <w:i w:val="0"/>
                <w:iCs w:val="0"/>
                <w:color w:val="000000"/>
                <w:kern w:val="0"/>
                <w:sz w:val="22"/>
                <w:szCs w:val="22"/>
                <w:u w:val="none"/>
                <w:lang w:val="en-US" w:eastAsia="zh-CN" w:bidi="ar"/>
              </w:rPr>
              <w:t>4</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i w:val="0"/>
                <w:iCs w:val="0"/>
                <w:color w:val="000000"/>
                <w:kern w:val="0"/>
                <w:sz w:val="24"/>
                <w:szCs w:val="24"/>
                <w:u w:val="none"/>
                <w:lang w:val="en-US" w:eastAsia="zh-CN" w:bidi="ar"/>
              </w:rPr>
              <w:t>小型餐馆</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i w:val="0"/>
                <w:iCs w:val="0"/>
                <w:color w:val="000000"/>
                <w:kern w:val="0"/>
                <w:sz w:val="24"/>
                <w:szCs w:val="24"/>
                <w:u w:val="none"/>
                <w:lang w:val="en-US" w:eastAsia="zh-CN" w:bidi="ar"/>
              </w:rPr>
              <w:t>中型餐馆</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themeColor="text1"/>
                <w:sz w:val="24"/>
                <w14:textFill>
                  <w14:solidFill>
                    <w14:schemeClr w14:val="tx1"/>
                  </w14:solidFill>
                </w14:textFill>
              </w:rPr>
            </w:pPr>
            <w:r>
              <w:rPr>
                <w:rFonts w:hint="default" w:ascii="Times New Roman" w:hAnsi="Times New Roman" w:eastAsia="仿宋" w:cs="Times New Roman"/>
                <w:i w:val="0"/>
                <w:iCs w:val="0"/>
                <w:color w:val="000000"/>
                <w:kern w:val="0"/>
                <w:sz w:val="24"/>
                <w:szCs w:val="24"/>
                <w:u w:val="none"/>
                <w:lang w:val="en-US" w:eastAsia="zh-CN" w:bidi="ar"/>
              </w:rPr>
              <w:t>大型餐馆</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FFFFFF"/>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1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合计</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552</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w:t>
            </w:r>
          </w:p>
        </w:tc>
        <w:tc>
          <w:tcPr>
            <w:tcW w:w="145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532</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3.62%</w:t>
            </w:r>
          </w:p>
        </w:tc>
      </w:tr>
    </w:tbl>
    <w:p/>
    <w:p>
      <w:pPr>
        <w:pStyle w:val="2"/>
        <w:jc w:val="center"/>
        <w:rPr>
          <w:rFonts w:hint="eastAsia" w:eastAsia="宋体"/>
          <w:lang w:eastAsia="zh-CN"/>
        </w:rPr>
      </w:pPr>
      <w:r>
        <w:rPr>
          <w:rFonts w:hint="eastAsia" w:eastAsia="宋体"/>
          <w:lang w:eastAsia="zh-CN"/>
        </w:rPr>
        <w:drawing>
          <wp:inline distT="0" distB="0" distL="114300" distR="114300">
            <wp:extent cx="4166870" cy="2651760"/>
            <wp:effectExtent l="0" t="0" r="5080" b="1524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4"/>
                    <a:stretch>
                      <a:fillRect/>
                    </a:stretch>
                  </pic:blipFill>
                  <pic:spPr>
                    <a:xfrm>
                      <a:off x="0" y="0"/>
                      <a:ext cx="4166870" cy="26517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imes New Roman" w:hAnsi="Times New Roman" w:eastAsia="宋体" w:cs="Times New Roman"/>
          <w:b/>
          <w:kern w:val="0"/>
          <w:sz w:val="24"/>
          <w:szCs w:val="24"/>
          <w:lang w:val="en-US" w:eastAsia="zh-CN" w:bidi="ar-SA"/>
        </w:rPr>
      </w:pPr>
      <w:r>
        <w:rPr>
          <w:rFonts w:hint="eastAsia" w:ascii="Times New Roman" w:hAnsi="Times New Roman" w:eastAsia="宋体" w:cs="Times New Roman"/>
          <w:b/>
          <w:kern w:val="0"/>
          <w:sz w:val="24"/>
          <w:szCs w:val="24"/>
          <w:lang w:val="en-US" w:eastAsia="zh-CN" w:bidi="ar-SA"/>
        </w:rPr>
        <w:t>图</w:t>
      </w:r>
      <w:r>
        <w:rPr>
          <w:rFonts w:hint="eastAsia" w:ascii="Times New Roman" w:hAnsi="Times New Roman" w:cs="Times New Roman"/>
          <w:b/>
          <w:kern w:val="0"/>
          <w:sz w:val="24"/>
          <w:szCs w:val="24"/>
          <w:lang w:val="en-US" w:eastAsia="zh-CN" w:bidi="ar-SA"/>
        </w:rPr>
        <w:t>4</w:t>
      </w:r>
      <w:r>
        <w:rPr>
          <w:rFonts w:hint="eastAsia" w:ascii="Times New Roman" w:hAnsi="Times New Roman" w:eastAsia="宋体" w:cs="Times New Roman"/>
          <w:b/>
          <w:kern w:val="0"/>
          <w:sz w:val="24"/>
          <w:szCs w:val="24"/>
          <w:lang w:val="en-US" w:eastAsia="zh-CN" w:bidi="ar-SA"/>
        </w:rPr>
        <w:t>. 抽样</w:t>
      </w:r>
      <w:r>
        <w:rPr>
          <w:rFonts w:hint="eastAsia" w:ascii="Times New Roman" w:hAnsi="Times New Roman" w:cs="Times New Roman"/>
          <w:b/>
          <w:kern w:val="0"/>
          <w:sz w:val="24"/>
          <w:szCs w:val="24"/>
          <w:lang w:val="en-US" w:eastAsia="zh-CN" w:bidi="ar-SA"/>
        </w:rPr>
        <w:t>业态</w:t>
      </w:r>
      <w:r>
        <w:rPr>
          <w:rFonts w:hint="eastAsia" w:ascii="Times New Roman" w:hAnsi="Times New Roman" w:eastAsia="宋体" w:cs="Times New Roman"/>
          <w:b/>
          <w:kern w:val="0"/>
          <w:sz w:val="24"/>
          <w:szCs w:val="24"/>
          <w:lang w:val="en-US" w:eastAsia="zh-CN" w:bidi="ar-SA"/>
        </w:rPr>
        <w:t>分布</w:t>
      </w:r>
      <w:r>
        <w:rPr>
          <w:rFonts w:hint="eastAsia" w:ascii="Times New Roman" w:hAnsi="Times New Roman" w:cs="Times New Roman"/>
          <w:b/>
          <w:kern w:val="0"/>
          <w:sz w:val="24"/>
          <w:szCs w:val="24"/>
          <w:lang w:val="en-US" w:eastAsia="zh-CN" w:bidi="ar-SA"/>
        </w:rPr>
        <w:t>比例</w:t>
      </w:r>
      <w:r>
        <w:rPr>
          <w:rFonts w:hint="eastAsia" w:ascii="Times New Roman" w:hAnsi="Times New Roman" w:eastAsia="宋体" w:cs="Times New Roman"/>
          <w:b/>
          <w:kern w:val="0"/>
          <w:sz w:val="24"/>
          <w:szCs w:val="24"/>
          <w:lang w:val="en-US" w:eastAsia="zh-CN" w:bidi="ar-SA"/>
        </w:rPr>
        <w:t>图</w:t>
      </w:r>
    </w:p>
    <w:p>
      <w:pPr>
        <w:pStyle w:val="5"/>
        <w:keepNext/>
        <w:keepLines/>
        <w:pageBreakBefore w:val="0"/>
        <w:widowControl w:val="0"/>
        <w:numPr>
          <w:ilvl w:val="0"/>
          <w:numId w:val="0"/>
        </w:numPr>
        <w:kinsoku/>
        <w:wordWrap/>
        <w:overflowPunct/>
        <w:topLinePunct w:val="0"/>
        <w:autoSpaceDE/>
        <w:autoSpaceDN/>
        <w:bidi w:val="0"/>
        <w:adjustRightInd/>
        <w:snapToGrid/>
        <w:spacing w:before="157" w:beforeLines="50"/>
        <w:ind w:firstLine="643" w:firstLineChars="200"/>
        <w:textAlignment w:val="auto"/>
        <w:rPr>
          <w:rFonts w:hint="eastAsia" w:ascii="楷体" w:hAnsi="楷体" w:eastAsia="楷体" w:cs="楷体"/>
          <w:b/>
          <w:kern w:val="2"/>
          <w:sz w:val="32"/>
          <w:szCs w:val="32"/>
          <w:lang w:val="en-US" w:eastAsia="zh-CN" w:bidi="ar-SA"/>
        </w:rPr>
      </w:pPr>
      <w:bookmarkStart w:id="13" w:name="_Toc7007"/>
      <w:r>
        <w:rPr>
          <w:rFonts w:hint="eastAsia" w:ascii="楷体" w:hAnsi="楷体" w:eastAsia="楷体" w:cs="楷体"/>
          <w:b/>
          <w:kern w:val="2"/>
          <w:sz w:val="32"/>
          <w:szCs w:val="32"/>
          <w:lang w:val="en-US" w:eastAsia="zh-CN" w:bidi="ar-SA"/>
        </w:rPr>
        <w:t>(三)抽样品种（类别）</w:t>
      </w:r>
      <w:bookmarkEnd w:id="13"/>
    </w:p>
    <w:p>
      <w:pPr>
        <w:keepNext w:val="0"/>
        <w:keepLines w:val="0"/>
        <w:pageBreakBefore w:val="0"/>
        <w:widowControl w:val="0"/>
        <w:kinsoku/>
        <w:wordWrap/>
        <w:overflowPunct/>
        <w:topLinePunct w:val="0"/>
        <w:autoSpaceDE/>
        <w:autoSpaceDN/>
        <w:bidi w:val="0"/>
        <w:adjustRightInd/>
        <w:snapToGrid/>
        <w:spacing w:after="157" w:afterLines="50" w:line="360" w:lineRule="auto"/>
        <w:ind w:firstLine="800" w:firstLineChars="25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40"/>
          <w:lang w:val="en-US" w:eastAsia="zh-CN"/>
        </w:rPr>
        <w:t>2022年度食用农产品监督抽检涉及淡水鱼、豆芽、柑橘、鸡蛋、鸡肉、韭菜、普通白菜、芹菜、生干籽类、猪肝、猪肉等11个细类</w:t>
      </w:r>
      <w:r>
        <w:rPr>
          <w:rFonts w:hint="eastAsia" w:ascii="仿宋_GB2312" w:hAnsi="仿宋_GB2312" w:eastAsia="仿宋_GB2312" w:cs="仿宋_GB2312"/>
          <w:sz w:val="32"/>
          <w:szCs w:val="22"/>
          <w:highlight w:val="none"/>
          <w:lang w:val="en-US" w:eastAsia="zh-CN"/>
        </w:rPr>
        <w:t>。</w:t>
      </w:r>
      <w:r>
        <w:rPr>
          <w:rFonts w:hint="eastAsia" w:ascii="仿宋_GB2312" w:hAnsi="仿宋_GB2312" w:eastAsia="仿宋_GB2312" w:cs="仿宋_GB2312"/>
          <w:kern w:val="2"/>
          <w:sz w:val="32"/>
          <w:szCs w:val="22"/>
          <w:highlight w:val="none"/>
          <w:lang w:val="en-US" w:eastAsia="zh-CN" w:bidi="ar-SA"/>
        </w:rPr>
        <w:t>具体的各食品业态抽检情况见表4、图5。</w:t>
      </w:r>
    </w:p>
    <w:p>
      <w:pPr>
        <w:pStyle w:val="26"/>
        <w:numPr>
          <w:ilvl w:val="0"/>
          <w:numId w:val="0"/>
        </w:numPr>
        <w:ind w:left="441" w:leftChars="0" w:hanging="441" w:hangingChars="183"/>
        <w:jc w:val="center"/>
        <w:rPr>
          <w:rFonts w:ascii="仿宋" w:hAnsi="仿宋" w:eastAsia="仿宋"/>
          <w:sz w:val="32"/>
          <w:szCs w:val="32"/>
        </w:rPr>
      </w:pPr>
      <w:r>
        <w:rPr>
          <w:rFonts w:hint="eastAsia" w:ascii="Times New Roman" w:hAnsi="Times New Roman" w:eastAsia="宋体" w:cs="Times New Roman"/>
          <w:b/>
          <w:kern w:val="0"/>
          <w:sz w:val="24"/>
          <w:szCs w:val="24"/>
          <w:lang w:val="en-US" w:eastAsia="zh-CN" w:bidi="ar-SA"/>
        </w:rPr>
        <w:t>表</w:t>
      </w:r>
      <w:r>
        <w:rPr>
          <w:rFonts w:hint="eastAsia" w:ascii="Times New Roman" w:hAnsi="Times New Roman" w:cs="Times New Roman"/>
          <w:b/>
          <w:kern w:val="0"/>
          <w:sz w:val="24"/>
          <w:szCs w:val="24"/>
          <w:lang w:val="en-US" w:eastAsia="zh-CN" w:bidi="ar-SA"/>
        </w:rPr>
        <w:t>4</w:t>
      </w:r>
      <w:r>
        <w:rPr>
          <w:rFonts w:hint="eastAsia" w:ascii="Times New Roman" w:hAnsi="Times New Roman" w:eastAsia="宋体" w:cs="Times New Roman"/>
          <w:b/>
          <w:kern w:val="0"/>
          <w:sz w:val="24"/>
          <w:szCs w:val="24"/>
          <w:lang w:val="en-US" w:eastAsia="zh-CN" w:bidi="ar-SA"/>
        </w:rPr>
        <w:t xml:space="preserve"> </w:t>
      </w:r>
      <w:r>
        <w:rPr>
          <w:rFonts w:hint="eastAsia" w:ascii="Times New Roman" w:hAnsi="Times New Roman" w:cs="Times New Roman"/>
          <w:b/>
          <w:kern w:val="0"/>
          <w:sz w:val="24"/>
          <w:szCs w:val="24"/>
          <w:lang w:val="en-US" w:eastAsia="zh-CN" w:bidi="ar-SA"/>
        </w:rPr>
        <w:t>农产品抽检品种分布</w:t>
      </w:r>
      <w:r>
        <w:rPr>
          <w:rFonts w:hint="eastAsia" w:ascii="Times New Roman" w:hAnsi="Times New Roman" w:eastAsia="宋体" w:cs="Times New Roman"/>
          <w:b/>
          <w:kern w:val="0"/>
          <w:sz w:val="24"/>
          <w:szCs w:val="24"/>
          <w:lang w:val="en-US" w:eastAsia="zh-CN" w:bidi="ar-SA"/>
        </w:rPr>
        <w:t>表</w:t>
      </w:r>
    </w:p>
    <w:tbl>
      <w:tblPr>
        <w:tblStyle w:val="17"/>
        <w:tblW w:w="8376" w:type="dxa"/>
        <w:jc w:val="center"/>
        <w:tblLayout w:type="fixed"/>
        <w:tblCellMar>
          <w:top w:w="0" w:type="dxa"/>
          <w:left w:w="108" w:type="dxa"/>
          <w:bottom w:w="0" w:type="dxa"/>
          <w:right w:w="108" w:type="dxa"/>
        </w:tblCellMar>
      </w:tblPr>
      <w:tblGrid>
        <w:gridCol w:w="2400"/>
        <w:gridCol w:w="1627"/>
        <w:gridCol w:w="1597"/>
        <w:gridCol w:w="1457"/>
        <w:gridCol w:w="1295"/>
      </w:tblGrid>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食品细类</w:t>
            </w:r>
          </w:p>
        </w:tc>
        <w:tc>
          <w:tcPr>
            <w:tcW w:w="1627" w:type="dxa"/>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ascii="仿宋" w:hAnsi="仿宋" w:eastAsia="仿宋" w:cs="仿宋"/>
                <w:color w:val="FFFFFF"/>
                <w:kern w:val="0"/>
                <w:sz w:val="24"/>
                <w:lang w:bidi="ar"/>
              </w:rPr>
            </w:pPr>
            <w:r>
              <w:rPr>
                <w:rFonts w:hint="eastAsia" w:ascii="仿宋" w:hAnsi="仿宋" w:eastAsia="仿宋" w:cs="仿宋"/>
                <w:color w:val="FFFFFF"/>
                <w:kern w:val="0"/>
                <w:sz w:val="24"/>
                <w:lang w:bidi="ar"/>
              </w:rPr>
              <w:t>抽样数量</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（批次）</w:t>
            </w:r>
          </w:p>
        </w:tc>
        <w:tc>
          <w:tcPr>
            <w:tcW w:w="1597" w:type="dxa"/>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ascii="仿宋" w:hAnsi="仿宋" w:eastAsia="仿宋" w:cs="仿宋"/>
                <w:color w:val="FFFFFF"/>
                <w:kern w:val="0"/>
                <w:sz w:val="24"/>
                <w:lang w:bidi="ar"/>
              </w:rPr>
            </w:pPr>
            <w:r>
              <w:rPr>
                <w:rFonts w:hint="eastAsia" w:ascii="仿宋" w:hAnsi="仿宋" w:eastAsia="仿宋" w:cs="仿宋"/>
                <w:color w:val="FFFFFF"/>
                <w:kern w:val="0"/>
                <w:sz w:val="24"/>
                <w:lang w:bidi="ar"/>
              </w:rPr>
              <w:t>不合格数量</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（批次）</w:t>
            </w:r>
          </w:p>
        </w:tc>
        <w:tc>
          <w:tcPr>
            <w:tcW w:w="1457" w:type="dxa"/>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ascii="仿宋" w:hAnsi="仿宋" w:eastAsia="仿宋" w:cs="仿宋"/>
                <w:color w:val="FFFFFF"/>
                <w:kern w:val="0"/>
                <w:sz w:val="24"/>
                <w:lang w:bidi="ar"/>
              </w:rPr>
            </w:pPr>
            <w:r>
              <w:rPr>
                <w:rFonts w:hint="eastAsia" w:ascii="仿宋" w:hAnsi="仿宋" w:eastAsia="仿宋" w:cs="仿宋"/>
                <w:color w:val="FFFFFF"/>
                <w:kern w:val="0"/>
                <w:sz w:val="24"/>
                <w:lang w:bidi="ar"/>
              </w:rPr>
              <w:t>合格数量</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（批次）</w:t>
            </w:r>
          </w:p>
        </w:tc>
        <w:tc>
          <w:tcPr>
            <w:tcW w:w="1295" w:type="dxa"/>
            <w:tcBorders>
              <w:top w:val="single" w:color="auto" w:sz="4" w:space="0"/>
              <w:left w:val="single" w:color="auto" w:sz="4" w:space="0"/>
              <w:bottom w:val="single" w:color="auto" w:sz="4" w:space="0"/>
              <w:right w:val="single" w:color="auto" w:sz="4" w:space="0"/>
            </w:tcBorders>
            <w:shd w:val="clear" w:color="auto" w:fill="4F81BD"/>
            <w:vAlign w:val="center"/>
          </w:tcPr>
          <w:p>
            <w:pPr>
              <w:widowControl/>
              <w:jc w:val="center"/>
              <w:textAlignment w:val="center"/>
              <w:rPr>
                <w:rFonts w:ascii="仿宋" w:hAnsi="仿宋" w:eastAsia="仿宋" w:cs="仿宋"/>
                <w:color w:val="FFFFFF"/>
                <w:kern w:val="0"/>
                <w:sz w:val="24"/>
                <w:lang w:bidi="ar"/>
              </w:rPr>
            </w:pPr>
            <w:r>
              <w:rPr>
                <w:rFonts w:hint="eastAsia" w:ascii="仿宋" w:hAnsi="仿宋" w:eastAsia="仿宋" w:cs="仿宋"/>
                <w:color w:val="FFFFFF"/>
                <w:kern w:val="0"/>
                <w:sz w:val="24"/>
                <w:lang w:val="en-US" w:eastAsia="zh-CN" w:bidi="ar"/>
              </w:rPr>
              <w:t>问题发现</w:t>
            </w:r>
            <w:r>
              <w:rPr>
                <w:rFonts w:hint="eastAsia" w:ascii="仿宋" w:hAnsi="仿宋" w:eastAsia="仿宋" w:cs="仿宋"/>
                <w:color w:val="FFFFFF"/>
                <w:kern w:val="0"/>
                <w:sz w:val="24"/>
                <w:lang w:bidi="ar"/>
              </w:rPr>
              <w:t>率</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淡水鱼</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猪肉</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猪肝</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豆芽</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2.00%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生干籽类</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普通白菜</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4.08%</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韭菜</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28.57%</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鸡蛋</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芹菜</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6.25%</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鸡肉</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仿宋" w:cs="Times New Roman"/>
                <w:i w:val="0"/>
                <w:iCs w:val="0"/>
                <w:color w:val="000000"/>
                <w:kern w:val="0"/>
                <w:sz w:val="24"/>
                <w:szCs w:val="24"/>
                <w:u w:val="none"/>
                <w:lang w:val="en-US" w:eastAsia="zh-CN" w:bidi="ar"/>
              </w:rPr>
              <w:t>柑、橘</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sz w:val="24"/>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24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合计</w:t>
            </w:r>
          </w:p>
        </w:tc>
        <w:tc>
          <w:tcPr>
            <w:tcW w:w="16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552</w:t>
            </w:r>
          </w:p>
        </w:tc>
        <w:tc>
          <w:tcPr>
            <w:tcW w:w="159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532</w:t>
            </w:r>
          </w:p>
        </w:tc>
        <w:tc>
          <w:tcPr>
            <w:tcW w:w="1295"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3.62%</w:t>
            </w:r>
          </w:p>
        </w:tc>
      </w:tr>
    </w:tbl>
    <w:p>
      <w:pPr>
        <w:pStyle w:val="26"/>
        <w:numPr>
          <w:ilvl w:val="0"/>
          <w:numId w:val="0"/>
        </w:numPr>
        <w:rPr>
          <w:rFonts w:hint="eastAsia" w:ascii="仿宋" w:hAnsi="仿宋" w:eastAsia="仿宋"/>
          <w:sz w:val="32"/>
          <w:szCs w:val="32"/>
          <w:lang w:eastAsia="zh-CN"/>
        </w:rPr>
      </w:pPr>
    </w:p>
    <w:p>
      <w:pPr>
        <w:pStyle w:val="26"/>
        <w:numPr>
          <w:ilvl w:val="0"/>
          <w:numId w:val="0"/>
        </w:numPr>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4870450" cy="3340100"/>
            <wp:effectExtent l="12700" t="12700" r="12700" b="1905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5"/>
                    <a:srcRect t="7913"/>
                    <a:stretch>
                      <a:fillRect/>
                    </a:stretch>
                  </pic:blipFill>
                  <pic:spPr>
                    <a:xfrm>
                      <a:off x="0" y="0"/>
                      <a:ext cx="4870450" cy="3340100"/>
                    </a:xfrm>
                    <a:prstGeom prst="rect">
                      <a:avLst/>
                    </a:prstGeom>
                    <a:ln w="12700" cmpd="sng">
                      <a:solidFill>
                        <a:schemeClr val="accent1">
                          <a:shade val="50000"/>
                        </a:schemeClr>
                      </a:solidFill>
                      <a:prstDash val="solid"/>
                    </a:ln>
                  </pic:spPr>
                </pic:pic>
              </a:graphicData>
            </a:graphic>
          </wp:inline>
        </w:drawing>
      </w:r>
    </w:p>
    <w:p>
      <w:pPr>
        <w:jc w:val="center"/>
        <w:rPr>
          <w:rFonts w:hint="eastAsia" w:ascii="Times New Roman" w:hAnsi="Times New Roman" w:eastAsia="宋体" w:cs="Times New Roman"/>
          <w:b/>
          <w:kern w:val="0"/>
          <w:sz w:val="24"/>
          <w:szCs w:val="24"/>
          <w:lang w:val="en-US" w:eastAsia="zh-CN" w:bidi="ar-SA"/>
        </w:rPr>
      </w:pPr>
      <w:r>
        <w:rPr>
          <w:rFonts w:hint="eastAsia" w:asciiTheme="majorEastAsia" w:hAnsiTheme="majorEastAsia" w:eastAsiaTheme="majorEastAsia" w:cstheme="majorEastAsia"/>
          <w:b/>
          <w:kern w:val="0"/>
          <w:sz w:val="22"/>
          <w:szCs w:val="22"/>
          <w:lang w:val="en-US" w:eastAsia="zh-CN" w:bidi="ar-SA"/>
        </w:rPr>
        <w:t>图5. 农产品抽检品种分布图</w:t>
      </w:r>
    </w:p>
    <w:p>
      <w:pPr>
        <w:bidi w:val="0"/>
      </w:pPr>
    </w:p>
    <w:p>
      <w:pPr>
        <w:pStyle w:val="5"/>
        <w:keepNext/>
        <w:keepLines/>
        <w:pageBreakBefore w:val="0"/>
        <w:widowControl w:val="0"/>
        <w:numPr>
          <w:ilvl w:val="0"/>
          <w:numId w:val="0"/>
        </w:numPr>
        <w:kinsoku/>
        <w:wordWrap/>
        <w:overflowPunct/>
        <w:topLinePunct w:val="0"/>
        <w:autoSpaceDE/>
        <w:autoSpaceDN/>
        <w:bidi w:val="0"/>
        <w:adjustRightInd/>
        <w:snapToGrid/>
        <w:spacing w:before="157" w:beforeLines="50"/>
        <w:ind w:firstLine="643" w:firstLineChars="200"/>
        <w:textAlignment w:val="auto"/>
        <w:rPr>
          <w:rFonts w:hint="eastAsia" w:ascii="楷体" w:hAnsi="楷体" w:eastAsia="楷体" w:cs="楷体"/>
          <w:b/>
          <w:kern w:val="2"/>
          <w:sz w:val="32"/>
          <w:szCs w:val="32"/>
          <w:lang w:val="en-US" w:eastAsia="zh-CN" w:bidi="ar-SA"/>
        </w:rPr>
      </w:pPr>
      <w:bookmarkStart w:id="14" w:name="_Toc1919"/>
      <w:r>
        <w:rPr>
          <w:rFonts w:hint="eastAsia" w:ascii="楷体" w:hAnsi="楷体" w:eastAsia="楷体" w:cs="楷体"/>
          <w:b/>
          <w:kern w:val="2"/>
          <w:sz w:val="32"/>
          <w:szCs w:val="32"/>
          <w:lang w:val="en-US" w:eastAsia="zh-CN" w:bidi="ar-SA"/>
        </w:rPr>
        <w:t>(四)抽样地区（市/县）</w:t>
      </w:r>
      <w:bookmarkEnd w:id="1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Times New Roman"/>
          <w:b w:val="0"/>
          <w:kern w:val="2"/>
          <w:sz w:val="32"/>
          <w:szCs w:val="32"/>
          <w:lang w:val="en-US" w:eastAsia="zh-CN" w:bidi="ar-SA"/>
        </w:rPr>
      </w:pPr>
      <w:r>
        <w:rPr>
          <w:rFonts w:hint="eastAsia" w:ascii="仿宋" w:hAnsi="仿宋" w:eastAsia="仿宋" w:cs="Times New Roman"/>
          <w:b w:val="0"/>
          <w:kern w:val="2"/>
          <w:sz w:val="32"/>
          <w:szCs w:val="32"/>
          <w:lang w:val="en-US" w:eastAsia="zh-CN" w:bidi="ar-SA"/>
        </w:rPr>
        <w:t>本年度抽检涉及定边</w:t>
      </w:r>
      <w:r>
        <w:rPr>
          <w:rFonts w:hint="default" w:ascii="Times New Roman" w:hAnsi="Times New Roman" w:eastAsia="仿宋" w:cs="Times New Roman"/>
          <w:sz w:val="32"/>
          <w:szCs w:val="32"/>
          <w:lang w:val="en-US" w:eastAsia="zh-CN"/>
        </w:rPr>
        <w:t>县</w:t>
      </w:r>
      <w:r>
        <w:rPr>
          <w:rFonts w:hint="eastAsia" w:ascii="仿宋" w:hAnsi="仿宋" w:eastAsia="仿宋" w:cs="Times New Roman"/>
          <w:b w:val="0"/>
          <w:kern w:val="2"/>
          <w:sz w:val="32"/>
          <w:szCs w:val="32"/>
          <w:lang w:val="en-US" w:eastAsia="zh-CN" w:bidi="ar-SA"/>
        </w:rPr>
        <w:t>、靖边</w:t>
      </w:r>
      <w:r>
        <w:rPr>
          <w:rFonts w:hint="default" w:ascii="Times New Roman" w:hAnsi="Times New Roman" w:eastAsia="仿宋" w:cs="Times New Roman"/>
          <w:sz w:val="32"/>
          <w:szCs w:val="32"/>
          <w:lang w:val="en-US" w:eastAsia="zh-CN"/>
        </w:rPr>
        <w:t>县</w:t>
      </w:r>
      <w:r>
        <w:rPr>
          <w:rFonts w:hint="eastAsia" w:ascii="仿宋" w:hAnsi="仿宋" w:eastAsia="仿宋" w:cs="Times New Roman"/>
          <w:b w:val="0"/>
          <w:kern w:val="2"/>
          <w:sz w:val="32"/>
          <w:szCs w:val="32"/>
          <w:lang w:val="en-US" w:eastAsia="zh-CN" w:bidi="ar-SA"/>
        </w:rPr>
        <w:t>、横山区、子洲县、</w:t>
      </w:r>
      <w:r>
        <w:rPr>
          <w:rFonts w:hint="eastAsia" w:ascii="仿宋" w:hAnsi="仿宋" w:eastAsia="仿宋" w:cs="仿宋"/>
          <w:b w:val="0"/>
          <w:bCs w:val="0"/>
          <w:color w:val="auto"/>
          <w:kern w:val="2"/>
          <w:sz w:val="32"/>
          <w:szCs w:val="32"/>
          <w:lang w:val="en-US" w:eastAsia="zh-CN" w:bidi="ar-SA"/>
        </w:rPr>
        <w:t>府谷</w:t>
      </w:r>
      <w:r>
        <w:rPr>
          <w:rFonts w:hint="default" w:ascii="Times New Roman" w:hAnsi="Times New Roman" w:eastAsia="仿宋" w:cs="Times New Roman"/>
          <w:sz w:val="32"/>
          <w:szCs w:val="32"/>
          <w:lang w:val="en-US" w:eastAsia="zh-CN"/>
        </w:rPr>
        <w:t>县</w:t>
      </w:r>
      <w:r>
        <w:rPr>
          <w:rFonts w:hint="eastAsia" w:ascii="仿宋" w:hAnsi="仿宋" w:eastAsia="仿宋" w:cs="仿宋"/>
          <w:b w:val="0"/>
          <w:bCs w:val="0"/>
          <w:color w:val="auto"/>
          <w:kern w:val="2"/>
          <w:sz w:val="32"/>
          <w:szCs w:val="32"/>
          <w:lang w:val="en-US" w:eastAsia="zh-CN" w:bidi="ar-SA"/>
        </w:rPr>
        <w:t>、神木</w:t>
      </w:r>
      <w:r>
        <w:rPr>
          <w:rFonts w:hint="default" w:ascii="Times New Roman" w:hAnsi="Times New Roman" w:eastAsia="仿宋" w:cs="Times New Roman"/>
          <w:sz w:val="32"/>
          <w:szCs w:val="32"/>
          <w:lang w:val="en-US" w:eastAsia="zh-CN"/>
        </w:rPr>
        <w:t>县</w:t>
      </w:r>
      <w:r>
        <w:rPr>
          <w:rFonts w:hint="eastAsia" w:ascii="仿宋" w:hAnsi="仿宋" w:eastAsia="仿宋" w:cs="仿宋"/>
          <w:b w:val="0"/>
          <w:bCs w:val="0"/>
          <w:color w:val="auto"/>
          <w:kern w:val="2"/>
          <w:sz w:val="32"/>
          <w:szCs w:val="32"/>
          <w:lang w:val="en-US" w:eastAsia="zh-CN" w:bidi="ar-SA"/>
        </w:rPr>
        <w:t>、榆阳区、高新区、佳县、</w:t>
      </w:r>
      <w:r>
        <w:rPr>
          <w:rFonts w:hint="default" w:ascii="Times New Roman" w:hAnsi="Times New Roman" w:eastAsia="仿宋" w:cs="Times New Roman"/>
          <w:sz w:val="32"/>
          <w:szCs w:val="32"/>
          <w:lang w:val="en-US" w:eastAsia="zh-CN"/>
        </w:rPr>
        <w:t>清涧县、米脂县、绥德县、吴堡县</w:t>
      </w:r>
      <w:r>
        <w:rPr>
          <w:rFonts w:hint="eastAsia" w:ascii="Times New Roman" w:hAnsi="Times New Roman" w:eastAsia="仿宋" w:cs="Times New Roman"/>
          <w:sz w:val="32"/>
          <w:szCs w:val="32"/>
          <w:lang w:val="en-US" w:eastAsia="zh-CN"/>
        </w:rPr>
        <w:t>，</w:t>
      </w:r>
      <w:r>
        <w:rPr>
          <w:rFonts w:hint="default" w:ascii="Times New Roman" w:hAnsi="Times New Roman" w:eastAsia="仿宋" w:cs="Times New Roman"/>
          <w:sz w:val="32"/>
          <w:szCs w:val="32"/>
          <w:lang w:val="en-US" w:eastAsia="zh-CN"/>
        </w:rPr>
        <w:t>累计抽检</w:t>
      </w:r>
      <w:r>
        <w:rPr>
          <w:rFonts w:hint="eastAsia" w:ascii="Times New Roman" w:hAnsi="Times New Roman" w:eastAsia="仿宋" w:cs="Times New Roman"/>
          <w:sz w:val="32"/>
          <w:szCs w:val="32"/>
          <w:lang w:val="en-US" w:eastAsia="zh-CN"/>
        </w:rPr>
        <w:t>552</w:t>
      </w:r>
      <w:r>
        <w:rPr>
          <w:rFonts w:hint="default" w:ascii="Times New Roman" w:hAnsi="Times New Roman" w:eastAsia="仿宋" w:cs="Times New Roman"/>
          <w:sz w:val="32"/>
          <w:szCs w:val="32"/>
          <w:lang w:val="en-US" w:eastAsia="zh-CN"/>
        </w:rPr>
        <w:t>批次样品</w:t>
      </w:r>
      <w:r>
        <w:rPr>
          <w:rFonts w:hint="eastAsia" w:ascii="仿宋" w:hAnsi="仿宋" w:eastAsia="仿宋" w:cs="Times New Roman"/>
          <w:b w:val="0"/>
          <w:kern w:val="2"/>
          <w:sz w:val="32"/>
          <w:szCs w:val="32"/>
          <w:lang w:val="en-US" w:eastAsia="zh-CN" w:bidi="ar-SA"/>
        </w:rPr>
        <w:t>。</w:t>
      </w:r>
    </w:p>
    <w:p>
      <w:pPr>
        <w:pStyle w:val="26"/>
        <w:numPr>
          <w:ilvl w:val="0"/>
          <w:numId w:val="0"/>
        </w:numPr>
        <w:ind w:left="587" w:leftChars="0" w:hanging="587" w:hangingChars="266"/>
        <w:jc w:val="center"/>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b/>
          <w:kern w:val="0"/>
          <w:sz w:val="22"/>
          <w:szCs w:val="22"/>
          <w:lang w:val="en-US" w:eastAsia="zh-CN" w:bidi="ar-SA"/>
        </w:rPr>
        <w:t>表5 抽样地区统计表</w:t>
      </w:r>
    </w:p>
    <w:tbl>
      <w:tblPr>
        <w:tblStyle w:val="17"/>
        <w:tblW w:w="8700" w:type="dxa"/>
        <w:jc w:val="center"/>
        <w:tblLayout w:type="autofit"/>
        <w:tblCellMar>
          <w:top w:w="0" w:type="dxa"/>
          <w:left w:w="108" w:type="dxa"/>
          <w:bottom w:w="0" w:type="dxa"/>
          <w:right w:w="108" w:type="dxa"/>
        </w:tblCellMar>
      </w:tblPr>
      <w:tblGrid>
        <w:gridCol w:w="1883"/>
        <w:gridCol w:w="1192"/>
        <w:gridCol w:w="1440"/>
        <w:gridCol w:w="1500"/>
        <w:gridCol w:w="1583"/>
        <w:gridCol w:w="1102"/>
      </w:tblGrid>
      <w:tr>
        <w:tblPrEx>
          <w:tblCellMar>
            <w:top w:w="0" w:type="dxa"/>
            <w:left w:w="108" w:type="dxa"/>
            <w:bottom w:w="0" w:type="dxa"/>
            <w:right w:w="108" w:type="dxa"/>
          </w:tblCellMar>
        </w:tblPrEx>
        <w:trPr>
          <w:trHeight w:val="510" w:hRule="atLeast"/>
          <w:jc w:val="center"/>
        </w:trPr>
        <w:tc>
          <w:tcPr>
            <w:tcW w:w="1883" w:type="dxa"/>
            <w:vMerge w:val="restart"/>
            <w:tcBorders>
              <w:top w:val="single" w:color="auto" w:sz="4" w:space="0"/>
              <w:left w:val="single" w:color="auto" w:sz="4" w:space="0"/>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地区（市/县）</w:t>
            </w:r>
          </w:p>
        </w:tc>
        <w:tc>
          <w:tcPr>
            <w:tcW w:w="1192" w:type="dxa"/>
            <w:vMerge w:val="restart"/>
            <w:tcBorders>
              <w:top w:val="single" w:color="auto" w:sz="4" w:space="0"/>
              <w:left w:val="single" w:color="000000" w:sz="8" w:space="0"/>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任务数量（批次）</w:t>
            </w:r>
          </w:p>
        </w:tc>
        <w:tc>
          <w:tcPr>
            <w:tcW w:w="1440" w:type="dxa"/>
            <w:vMerge w:val="restart"/>
            <w:tcBorders>
              <w:top w:val="single" w:color="auto" w:sz="4" w:space="0"/>
              <w:left w:val="single" w:color="000000" w:sz="8" w:space="0"/>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抽样数量（批次）</w:t>
            </w:r>
          </w:p>
        </w:tc>
        <w:tc>
          <w:tcPr>
            <w:tcW w:w="1500" w:type="dxa"/>
            <w:vMerge w:val="restart"/>
            <w:tcBorders>
              <w:top w:val="single" w:color="auto" w:sz="4" w:space="0"/>
              <w:left w:val="single" w:color="000000" w:sz="8" w:space="0"/>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合格数量（批次）</w:t>
            </w:r>
          </w:p>
        </w:tc>
        <w:tc>
          <w:tcPr>
            <w:tcW w:w="1583" w:type="dxa"/>
            <w:vMerge w:val="restart"/>
            <w:tcBorders>
              <w:top w:val="single" w:color="auto" w:sz="4" w:space="0"/>
              <w:left w:val="single" w:color="000000" w:sz="8" w:space="0"/>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不合格数量（批次）</w:t>
            </w:r>
          </w:p>
        </w:tc>
        <w:tc>
          <w:tcPr>
            <w:tcW w:w="1102" w:type="dxa"/>
            <w:vMerge w:val="restart"/>
            <w:tcBorders>
              <w:top w:val="single" w:color="auto" w:sz="4" w:space="0"/>
              <w:left w:val="single" w:color="000000" w:sz="8" w:space="0"/>
              <w:bottom w:val="single" w:color="auto" w:sz="4" w:space="0"/>
              <w:right w:val="single" w:color="auto" w:sz="4" w:space="0"/>
            </w:tcBorders>
            <w:shd w:val="clear" w:color="auto" w:fill="4F81BD"/>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val="en-US" w:eastAsia="zh-CN" w:bidi="ar"/>
              </w:rPr>
              <w:t>问题发现</w:t>
            </w:r>
            <w:r>
              <w:rPr>
                <w:rFonts w:hint="eastAsia" w:ascii="仿宋" w:hAnsi="仿宋" w:eastAsia="仿宋" w:cs="仿宋"/>
                <w:color w:val="FFFFFF"/>
                <w:kern w:val="0"/>
                <w:sz w:val="24"/>
                <w:lang w:bidi="ar"/>
              </w:rPr>
              <w:t>率%</w:t>
            </w:r>
          </w:p>
        </w:tc>
      </w:tr>
      <w:tr>
        <w:tblPrEx>
          <w:tblCellMar>
            <w:top w:w="0" w:type="dxa"/>
            <w:left w:w="108" w:type="dxa"/>
            <w:bottom w:w="0" w:type="dxa"/>
            <w:right w:w="108" w:type="dxa"/>
          </w:tblCellMar>
        </w:tblPrEx>
        <w:trPr>
          <w:trHeight w:val="510" w:hRule="atLeast"/>
          <w:jc w:val="center"/>
        </w:trPr>
        <w:tc>
          <w:tcPr>
            <w:tcW w:w="1883" w:type="dxa"/>
            <w:vMerge w:val="continue"/>
            <w:tcBorders>
              <w:top w:val="single" w:color="auto" w:sz="4" w:space="0"/>
              <w:left w:val="single" w:color="auto" w:sz="4" w:space="0"/>
              <w:bottom w:val="single" w:color="auto" w:sz="4" w:space="0"/>
              <w:right w:val="single" w:color="000000" w:sz="8" w:space="0"/>
            </w:tcBorders>
            <w:shd w:val="clear" w:color="auto" w:fill="4F81BD"/>
            <w:vAlign w:val="center"/>
          </w:tcPr>
          <w:p>
            <w:pPr>
              <w:jc w:val="center"/>
              <w:rPr>
                <w:rFonts w:ascii="仿宋" w:hAnsi="仿宋" w:eastAsia="仿宋" w:cs="仿宋"/>
                <w:color w:val="FFFFFF"/>
                <w:sz w:val="24"/>
              </w:rPr>
            </w:pPr>
          </w:p>
        </w:tc>
        <w:tc>
          <w:tcPr>
            <w:tcW w:w="1192" w:type="dxa"/>
            <w:vMerge w:val="continue"/>
            <w:tcBorders>
              <w:top w:val="single" w:color="auto" w:sz="4" w:space="0"/>
              <w:left w:val="single" w:color="000000" w:sz="8" w:space="0"/>
              <w:bottom w:val="single" w:color="auto" w:sz="4" w:space="0"/>
              <w:right w:val="single" w:color="000000" w:sz="8" w:space="0"/>
            </w:tcBorders>
            <w:shd w:val="clear" w:color="auto" w:fill="4F81BD"/>
            <w:vAlign w:val="center"/>
          </w:tcPr>
          <w:p>
            <w:pPr>
              <w:jc w:val="center"/>
              <w:rPr>
                <w:rFonts w:ascii="仿宋" w:hAnsi="仿宋" w:eastAsia="仿宋" w:cs="仿宋"/>
                <w:color w:val="FFFFFF"/>
                <w:sz w:val="24"/>
              </w:rPr>
            </w:pPr>
          </w:p>
        </w:tc>
        <w:tc>
          <w:tcPr>
            <w:tcW w:w="1440" w:type="dxa"/>
            <w:vMerge w:val="continue"/>
            <w:tcBorders>
              <w:top w:val="single" w:color="auto" w:sz="4" w:space="0"/>
              <w:left w:val="single" w:color="000000" w:sz="8" w:space="0"/>
              <w:bottom w:val="single" w:color="auto" w:sz="4" w:space="0"/>
              <w:right w:val="single" w:color="000000" w:sz="8" w:space="0"/>
            </w:tcBorders>
            <w:shd w:val="clear" w:color="auto" w:fill="4F81BD"/>
            <w:vAlign w:val="center"/>
          </w:tcPr>
          <w:p>
            <w:pPr>
              <w:jc w:val="center"/>
              <w:rPr>
                <w:rFonts w:ascii="仿宋" w:hAnsi="仿宋" w:eastAsia="仿宋" w:cs="仿宋"/>
                <w:color w:val="FFFFFF"/>
                <w:sz w:val="24"/>
              </w:rPr>
            </w:pPr>
          </w:p>
        </w:tc>
        <w:tc>
          <w:tcPr>
            <w:tcW w:w="1500" w:type="dxa"/>
            <w:vMerge w:val="continue"/>
            <w:tcBorders>
              <w:top w:val="single" w:color="auto" w:sz="4" w:space="0"/>
              <w:left w:val="single" w:color="000000" w:sz="8" w:space="0"/>
              <w:bottom w:val="single" w:color="auto" w:sz="4" w:space="0"/>
              <w:right w:val="single" w:color="000000" w:sz="8" w:space="0"/>
            </w:tcBorders>
            <w:shd w:val="clear" w:color="auto" w:fill="4F81BD"/>
            <w:vAlign w:val="center"/>
          </w:tcPr>
          <w:p>
            <w:pPr>
              <w:jc w:val="center"/>
              <w:rPr>
                <w:rFonts w:ascii="仿宋" w:hAnsi="仿宋" w:eastAsia="仿宋" w:cs="仿宋"/>
                <w:color w:val="FFFFFF"/>
                <w:sz w:val="24"/>
              </w:rPr>
            </w:pPr>
          </w:p>
        </w:tc>
        <w:tc>
          <w:tcPr>
            <w:tcW w:w="1583" w:type="dxa"/>
            <w:vMerge w:val="continue"/>
            <w:tcBorders>
              <w:top w:val="single" w:color="auto" w:sz="4" w:space="0"/>
              <w:left w:val="single" w:color="000000" w:sz="8" w:space="0"/>
              <w:bottom w:val="single" w:color="auto" w:sz="4" w:space="0"/>
              <w:right w:val="single" w:color="000000" w:sz="8" w:space="0"/>
            </w:tcBorders>
            <w:shd w:val="clear" w:color="auto" w:fill="4F81BD"/>
            <w:vAlign w:val="center"/>
          </w:tcPr>
          <w:p>
            <w:pPr>
              <w:jc w:val="center"/>
              <w:rPr>
                <w:rFonts w:ascii="仿宋" w:hAnsi="仿宋" w:eastAsia="仿宋" w:cs="仿宋"/>
                <w:color w:val="FFFFFF"/>
                <w:sz w:val="24"/>
              </w:rPr>
            </w:pPr>
          </w:p>
        </w:tc>
        <w:tc>
          <w:tcPr>
            <w:tcW w:w="1102" w:type="dxa"/>
            <w:vMerge w:val="continue"/>
            <w:tcBorders>
              <w:top w:val="single" w:color="auto" w:sz="4" w:space="0"/>
              <w:left w:val="single" w:color="000000" w:sz="8" w:space="0"/>
              <w:bottom w:val="single" w:color="auto" w:sz="4" w:space="0"/>
              <w:right w:val="single" w:color="auto" w:sz="4" w:space="0"/>
            </w:tcBorders>
            <w:shd w:val="clear" w:color="auto" w:fill="4F81BD"/>
            <w:vAlign w:val="center"/>
          </w:tcPr>
          <w:p>
            <w:pPr>
              <w:jc w:val="center"/>
              <w:rPr>
                <w:rFonts w:ascii="仿宋" w:hAnsi="仿宋" w:eastAsia="仿宋" w:cs="仿宋"/>
                <w:color w:val="FFFFFF"/>
                <w:sz w:val="24"/>
              </w:rPr>
            </w:pP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府谷</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41</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6.82%</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佳县</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56</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56</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55</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1.79%</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神木</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36</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36</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34</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5.56%</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高新区</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14</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13</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7.14%</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榆阳区</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26</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26</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24</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7.69%</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定边</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63</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63</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靖边</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46</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4.35%</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横山</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46</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41</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10.87%</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子洲</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44</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清涧</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45</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45</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0.00%</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米脂</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42</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4.55%</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绥德</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43</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2.27%</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吴堡</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43</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2.27%</w:t>
            </w:r>
          </w:p>
        </w:tc>
      </w:tr>
      <w:tr>
        <w:tblPrEx>
          <w:tblCellMar>
            <w:top w:w="0" w:type="dxa"/>
            <w:left w:w="108" w:type="dxa"/>
            <w:bottom w:w="0" w:type="dxa"/>
            <w:right w:w="108" w:type="dxa"/>
          </w:tblCellMar>
        </w:tblPrEx>
        <w:trPr>
          <w:trHeight w:val="510" w:hRule="atLeast"/>
          <w:jc w:val="center"/>
        </w:trPr>
        <w:tc>
          <w:tcPr>
            <w:tcW w:w="18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合计</w:t>
            </w:r>
          </w:p>
        </w:tc>
        <w:tc>
          <w:tcPr>
            <w:tcW w:w="119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528</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552</w:t>
            </w:r>
          </w:p>
        </w:tc>
        <w:tc>
          <w:tcPr>
            <w:tcW w:w="1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532</w:t>
            </w:r>
          </w:p>
        </w:tc>
        <w:tc>
          <w:tcPr>
            <w:tcW w:w="158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20</w:t>
            </w:r>
          </w:p>
        </w:tc>
        <w:tc>
          <w:tcPr>
            <w:tcW w:w="110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Times New Roman" w:hAnsi="Times New Roman" w:eastAsia="仿宋" w:cs="Times New Roman"/>
                <w:i w:val="0"/>
                <w:iCs w:val="0"/>
                <w:color w:val="000000"/>
                <w:kern w:val="0"/>
                <w:sz w:val="24"/>
                <w:szCs w:val="24"/>
                <w:u w:val="none"/>
                <w:lang w:val="en-US" w:eastAsia="zh-CN" w:bidi="ar"/>
              </w:rPr>
              <w:t>3.62%</w:t>
            </w:r>
          </w:p>
        </w:tc>
      </w:tr>
    </w:tbl>
    <w:p>
      <w:pPr>
        <w:pStyle w:val="26"/>
        <w:ind w:left="1000" w:firstLine="0" w:firstLineChars="0"/>
        <w:rPr>
          <w:rFonts w:ascii="仿宋" w:hAnsi="仿宋" w:eastAsia="仿宋"/>
          <w:sz w:val="32"/>
          <w:szCs w:val="32"/>
        </w:rPr>
      </w:pPr>
    </w:p>
    <w:p>
      <w:pPr>
        <w:pStyle w:val="26"/>
        <w:ind w:left="0" w:leftChars="0" w:firstLine="0" w:firstLineChars="0"/>
        <w:jc w:val="cente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8595" cy="3061335"/>
            <wp:effectExtent l="0" t="0" r="8255" b="571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6"/>
                    <a:stretch>
                      <a:fillRect/>
                    </a:stretch>
                  </pic:blipFill>
                  <pic:spPr>
                    <a:xfrm>
                      <a:off x="0" y="0"/>
                      <a:ext cx="5268595" cy="3061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heme="majorEastAsia" w:hAnsiTheme="majorEastAsia" w:eastAsiaTheme="majorEastAsia" w:cstheme="majorEastAsia"/>
          <w:b/>
          <w:kern w:val="0"/>
          <w:sz w:val="22"/>
          <w:szCs w:val="22"/>
          <w:lang w:val="en-US" w:eastAsia="zh-CN" w:bidi="ar-SA"/>
        </w:rPr>
      </w:pPr>
      <w:r>
        <w:rPr>
          <w:rFonts w:hint="eastAsia" w:asciiTheme="majorEastAsia" w:hAnsiTheme="majorEastAsia" w:eastAsiaTheme="majorEastAsia" w:cstheme="majorEastAsia"/>
          <w:b/>
          <w:kern w:val="0"/>
          <w:sz w:val="22"/>
          <w:szCs w:val="22"/>
          <w:lang w:val="en-US" w:eastAsia="zh-CN" w:bidi="ar-SA"/>
        </w:rPr>
        <w:t>图6. 抽样地区分布图</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eastAsia="zh-CN"/>
        </w:rPr>
      </w:pPr>
      <w:bookmarkStart w:id="15" w:name="_Toc3735"/>
      <w:r>
        <w:rPr>
          <w:rFonts w:hint="eastAsia" w:ascii="黑体" w:hAnsi="黑体" w:eastAsia="黑体" w:cs="黑体"/>
          <w:sz w:val="32"/>
          <w:szCs w:val="32"/>
          <w:lang w:eastAsia="zh-CN"/>
        </w:rPr>
        <w:t>抽检结果分析</w:t>
      </w:r>
      <w:bookmarkEnd w:id="15"/>
      <w:bookmarkStart w:id="16" w:name="_Toc32339"/>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ascii="仿宋" w:hAnsi="仿宋" w:eastAsia="仿宋"/>
        </w:rPr>
      </w:pPr>
      <w:r>
        <w:rPr>
          <w:rFonts w:hint="eastAsia" w:ascii="楷体" w:hAnsi="楷体" w:eastAsia="楷体" w:cs="楷体"/>
          <w:sz w:val="32"/>
          <w:szCs w:val="32"/>
          <w:lang w:eastAsia="zh-CN"/>
        </w:rPr>
        <w:fldChar w:fldCharType="begin"/>
      </w:r>
      <w:r>
        <w:rPr>
          <w:rFonts w:hint="eastAsia" w:ascii="楷体" w:hAnsi="楷体" w:eastAsia="楷体" w:cs="楷体"/>
          <w:sz w:val="32"/>
          <w:szCs w:val="32"/>
          <w:lang w:eastAsia="zh-CN"/>
        </w:rPr>
        <w:instrText xml:space="preserve"> HYPERLINK \l "_Toc23980" </w:instrText>
      </w:r>
      <w:r>
        <w:rPr>
          <w:rFonts w:hint="eastAsia" w:ascii="楷体" w:hAnsi="楷体" w:eastAsia="楷体" w:cs="楷体"/>
          <w:sz w:val="32"/>
          <w:szCs w:val="32"/>
          <w:lang w:eastAsia="zh-CN"/>
        </w:rPr>
        <w:fldChar w:fldCharType="separate"/>
      </w:r>
      <w:r>
        <w:rPr>
          <w:rFonts w:hint="eastAsia" w:ascii="楷体" w:hAnsi="楷体" w:eastAsia="楷体" w:cs="楷体"/>
          <w:sz w:val="32"/>
          <w:szCs w:val="32"/>
          <w:lang w:eastAsia="zh-CN"/>
        </w:rPr>
        <w:t>（一）普通食品抽检结果分析</w:t>
      </w:r>
      <w:r>
        <w:rPr>
          <w:rFonts w:hint="eastAsia" w:ascii="楷体" w:hAnsi="楷体" w:eastAsia="楷体" w:cs="楷体"/>
          <w:sz w:val="32"/>
          <w:szCs w:val="32"/>
          <w:lang w:eastAsia="zh-CN"/>
        </w:rPr>
        <w:fldChar w:fldCharType="end"/>
      </w:r>
      <w:bookmarkEnd w:id="16"/>
      <w:r>
        <w:rPr>
          <w:rFonts w:hint="eastAsia" w:ascii="楷体" w:hAnsi="楷体" w:eastAsia="楷体" w:cs="楷体"/>
          <w:sz w:val="32"/>
          <w:szCs w:val="32"/>
          <w:lang w:eastAsia="zh-CN"/>
        </w:rPr>
        <w:t xml:space="preserve"> </w:t>
      </w:r>
    </w:p>
    <w:p>
      <w:pPr>
        <w:pStyle w:val="5"/>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28"/>
          <w:lang w:val="en-US" w:eastAsia="zh-CN"/>
        </w:rPr>
      </w:pPr>
      <w:bookmarkStart w:id="17" w:name="_Toc21460"/>
      <w:r>
        <w:rPr>
          <w:rFonts w:hint="eastAsia" w:ascii="仿宋" w:hAnsi="仿宋" w:eastAsia="仿宋" w:cs="仿宋"/>
          <w:sz w:val="32"/>
          <w:szCs w:val="28"/>
          <w:lang w:val="en-US" w:eastAsia="zh-CN"/>
        </w:rPr>
        <w:t>1.</w:t>
      </w:r>
      <w:r>
        <w:rPr>
          <w:rFonts w:hint="eastAsia" w:ascii="仿宋" w:hAnsi="仿宋" w:eastAsia="仿宋" w:cs="仿宋"/>
          <w:sz w:val="32"/>
          <w:szCs w:val="28"/>
          <w:lang w:val="en-US" w:eastAsia="zh-CN"/>
        </w:rPr>
        <w:fldChar w:fldCharType="begin"/>
      </w:r>
      <w:r>
        <w:rPr>
          <w:rFonts w:hint="eastAsia" w:ascii="仿宋" w:hAnsi="仿宋" w:eastAsia="仿宋" w:cs="仿宋"/>
          <w:sz w:val="32"/>
          <w:szCs w:val="28"/>
          <w:lang w:val="en-US" w:eastAsia="zh-CN"/>
        </w:rPr>
        <w:instrText xml:space="preserve"> HYPERLINK \l "_Toc14374" </w:instrText>
      </w:r>
      <w:r>
        <w:rPr>
          <w:rFonts w:hint="eastAsia" w:ascii="仿宋" w:hAnsi="仿宋" w:eastAsia="仿宋" w:cs="仿宋"/>
          <w:sz w:val="32"/>
          <w:szCs w:val="28"/>
          <w:lang w:val="en-US" w:eastAsia="zh-CN"/>
        </w:rPr>
        <w:fldChar w:fldCharType="separate"/>
      </w:r>
      <w:r>
        <w:rPr>
          <w:rFonts w:hint="eastAsia" w:ascii="仿宋" w:hAnsi="仿宋" w:eastAsia="仿宋" w:cs="仿宋"/>
          <w:sz w:val="32"/>
          <w:szCs w:val="28"/>
          <w:lang w:val="en-US" w:eastAsia="zh-CN"/>
        </w:rPr>
        <w:t>不合格产品情况</w:t>
      </w:r>
      <w:r>
        <w:rPr>
          <w:rFonts w:hint="eastAsia" w:ascii="仿宋" w:hAnsi="仿宋" w:eastAsia="仿宋" w:cs="仿宋"/>
          <w:sz w:val="32"/>
          <w:szCs w:val="28"/>
          <w:lang w:val="en-US" w:eastAsia="zh-CN"/>
        </w:rPr>
        <w:fldChar w:fldCharType="end"/>
      </w:r>
      <w:bookmarkEnd w:id="17"/>
    </w:p>
    <w:p>
      <w:pPr>
        <w:pStyle w:val="16"/>
        <w:shd w:val="clear" w:color="auto" w:fill="FFFFFF"/>
        <w:spacing w:before="0" w:beforeAutospacing="0" w:after="0" w:afterAutospacing="0" w:line="580" w:lineRule="exact"/>
        <w:ind w:firstLine="640" w:firstLineChars="200"/>
        <w:jc w:val="both"/>
        <w:rPr>
          <w:rFonts w:hint="eastAsia" w:ascii="Times New Roman" w:hAnsi="Times New Roman" w:eastAsia="仿宋_GB2312" w:cs="Times New Roman"/>
          <w:sz w:val="32"/>
          <w:szCs w:val="32"/>
          <w:lang w:val="en" w:eastAsia="zh-CN"/>
        </w:rPr>
      </w:pPr>
      <w:r>
        <w:rPr>
          <w:rFonts w:hint="eastAsia" w:ascii="仿宋_GB2312" w:hAnsi="仿宋_GB2312" w:eastAsia="仿宋_GB2312" w:cs="仿宋_GB2312"/>
          <w:sz w:val="32"/>
          <w:szCs w:val="32"/>
        </w:rPr>
        <w:t>2022年食品安全抽检坚持以消费量大、风险较高的食品为重点，共</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1152批次食品安全抽检</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lang w:eastAsia="zh-CN"/>
        </w:rPr>
        <w:t>监督抽检</w:t>
      </w:r>
      <w:r>
        <w:rPr>
          <w:rFonts w:hint="eastAsia" w:ascii="仿宋_GB2312" w:hAnsi="仿宋_GB2312" w:eastAsia="仿宋_GB2312" w:cs="仿宋_GB2312"/>
          <w:sz w:val="32"/>
          <w:szCs w:val="32"/>
        </w:rPr>
        <w:t>共624批次</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合格614批次，不合格10批次，</w:t>
      </w:r>
      <w:r>
        <w:rPr>
          <w:rFonts w:hint="eastAsia" w:ascii="仿宋_GB2312" w:hAnsi="仿宋_GB2312" w:eastAsia="仿宋_GB2312" w:cs="仿宋_GB2312"/>
          <w:sz w:val="32"/>
          <w:szCs w:val="32"/>
          <w:lang w:val="en-US" w:eastAsia="zh-CN"/>
        </w:rPr>
        <w:t>问题发现</w:t>
      </w:r>
      <w:r>
        <w:rPr>
          <w:rFonts w:hint="eastAsia" w:ascii="仿宋_GB2312" w:hAnsi="仿宋_GB2312" w:eastAsia="仿宋_GB2312" w:cs="仿宋_GB2312"/>
          <w:sz w:val="32"/>
          <w:szCs w:val="32"/>
        </w:rPr>
        <w:t>率1.</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%（详见表</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生产环节抽检问题发现率偏高。</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kern w:val="0"/>
          <w:sz w:val="24"/>
          <w:szCs w:val="24"/>
          <w:lang w:val="en-US" w:eastAsia="zh-CN" w:bidi="ar-SA"/>
        </w:rPr>
      </w:pPr>
      <w:r>
        <w:rPr>
          <w:rFonts w:hint="eastAsia" w:asciiTheme="majorEastAsia" w:hAnsiTheme="majorEastAsia" w:eastAsiaTheme="majorEastAsia" w:cstheme="majorEastAsia"/>
          <w:b/>
          <w:kern w:val="0"/>
          <w:sz w:val="22"/>
          <w:szCs w:val="22"/>
          <w:lang w:val="en-US" w:eastAsia="zh-CN" w:bidi="ar-SA"/>
        </w:rPr>
        <w:t>表6 抽样环节不合格情况</w:t>
      </w:r>
    </w:p>
    <w:tbl>
      <w:tblPr>
        <w:tblStyle w:val="17"/>
        <w:tblW w:w="7645" w:type="dxa"/>
        <w:jc w:val="center"/>
        <w:tblLayout w:type="fixed"/>
        <w:tblCellMar>
          <w:top w:w="0" w:type="dxa"/>
          <w:left w:w="108" w:type="dxa"/>
          <w:bottom w:w="0" w:type="dxa"/>
          <w:right w:w="108" w:type="dxa"/>
        </w:tblCellMar>
      </w:tblPr>
      <w:tblGrid>
        <w:gridCol w:w="1973"/>
        <w:gridCol w:w="1417"/>
        <w:gridCol w:w="1545"/>
        <w:gridCol w:w="1298"/>
        <w:gridCol w:w="1412"/>
      </w:tblGrid>
      <w:tr>
        <w:tblPrEx>
          <w:tblCellMar>
            <w:top w:w="0" w:type="dxa"/>
            <w:left w:w="108" w:type="dxa"/>
            <w:bottom w:w="0" w:type="dxa"/>
            <w:right w:w="108" w:type="dxa"/>
          </w:tblCellMar>
        </w:tblPrEx>
        <w:trPr>
          <w:trHeight w:val="510" w:hRule="atLeast"/>
          <w:jc w:val="center"/>
        </w:trPr>
        <w:tc>
          <w:tcPr>
            <w:tcW w:w="1973"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抽样环节</w:t>
            </w:r>
          </w:p>
        </w:tc>
        <w:tc>
          <w:tcPr>
            <w:tcW w:w="1417"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抽样数量（批次）</w:t>
            </w:r>
          </w:p>
        </w:tc>
        <w:tc>
          <w:tcPr>
            <w:tcW w:w="1545"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不合格数量（批次）</w:t>
            </w:r>
          </w:p>
        </w:tc>
        <w:tc>
          <w:tcPr>
            <w:tcW w:w="1298"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合格数量（批次)</w:t>
            </w:r>
          </w:p>
        </w:tc>
        <w:tc>
          <w:tcPr>
            <w:tcW w:w="1412" w:type="dxa"/>
            <w:vMerge w:val="restart"/>
            <w:tcBorders>
              <w:top w:val="single" w:color="000000" w:sz="8" w:space="0"/>
              <w:left w:val="single" w:color="000000" w:sz="8" w:space="0"/>
              <w:bottom w:val="single" w:color="000000" w:sz="8" w:space="0"/>
              <w:right w:val="single" w:color="000000" w:sz="8" w:space="0"/>
            </w:tcBorders>
            <w:shd w:val="clear" w:color="auto" w:fill="4F81BD"/>
            <w:noWrap/>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不</w:t>
            </w:r>
            <w:r>
              <w:rPr>
                <w:rFonts w:hint="eastAsia" w:ascii="Times New Roman" w:hAnsi="Times New Roman" w:eastAsia="仿宋" w:cs="Times New Roman"/>
                <w:color w:val="FFFFFF"/>
                <w:kern w:val="0"/>
                <w:sz w:val="24"/>
                <w:lang w:val="en-US" w:eastAsia="zh-CN" w:bidi="ar"/>
              </w:rPr>
              <w:t>问题发现</w:t>
            </w:r>
            <w:r>
              <w:rPr>
                <w:rFonts w:hint="default" w:ascii="Times New Roman" w:hAnsi="Times New Roman" w:eastAsia="仿宋" w:cs="Times New Roman"/>
                <w:color w:val="FFFFFF"/>
                <w:kern w:val="0"/>
                <w:sz w:val="24"/>
                <w:lang w:bidi="ar"/>
              </w:rPr>
              <w:t>率%</w:t>
            </w:r>
          </w:p>
        </w:tc>
      </w:tr>
      <w:tr>
        <w:tblPrEx>
          <w:tblCellMar>
            <w:top w:w="0" w:type="dxa"/>
            <w:left w:w="108" w:type="dxa"/>
            <w:bottom w:w="0" w:type="dxa"/>
            <w:right w:w="108" w:type="dxa"/>
          </w:tblCellMar>
        </w:tblPrEx>
        <w:trPr>
          <w:trHeight w:val="510" w:hRule="atLeast"/>
          <w:jc w:val="center"/>
        </w:trPr>
        <w:tc>
          <w:tcPr>
            <w:tcW w:w="1973"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hint="default" w:ascii="Times New Roman" w:hAnsi="Times New Roman" w:eastAsia="仿宋" w:cs="Times New Roman"/>
                <w:color w:val="FFFFFF"/>
                <w:sz w:val="24"/>
              </w:rPr>
            </w:pPr>
          </w:p>
        </w:tc>
        <w:tc>
          <w:tcPr>
            <w:tcW w:w="1417"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hint="default" w:ascii="Times New Roman" w:hAnsi="Times New Roman" w:eastAsia="仿宋" w:cs="Times New Roman"/>
                <w:color w:val="FFFFFF"/>
                <w:sz w:val="24"/>
              </w:rPr>
            </w:pPr>
          </w:p>
        </w:tc>
        <w:tc>
          <w:tcPr>
            <w:tcW w:w="1545"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hint="default" w:ascii="Times New Roman" w:hAnsi="Times New Roman" w:eastAsia="仿宋" w:cs="Times New Roman"/>
                <w:color w:val="FFFFFF"/>
                <w:sz w:val="24"/>
              </w:rPr>
            </w:pPr>
          </w:p>
        </w:tc>
        <w:tc>
          <w:tcPr>
            <w:tcW w:w="1298"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hint="default" w:ascii="Times New Roman" w:hAnsi="Times New Roman" w:eastAsia="仿宋" w:cs="Times New Roman"/>
                <w:color w:val="FFFFFF"/>
                <w:sz w:val="24"/>
              </w:rPr>
            </w:pPr>
          </w:p>
        </w:tc>
        <w:tc>
          <w:tcPr>
            <w:tcW w:w="1412" w:type="dxa"/>
            <w:vMerge w:val="continue"/>
            <w:tcBorders>
              <w:top w:val="single" w:color="000000" w:sz="8" w:space="0"/>
              <w:left w:val="single" w:color="000000" w:sz="8" w:space="0"/>
              <w:bottom w:val="single" w:color="000000" w:sz="8" w:space="0"/>
              <w:right w:val="single" w:color="000000" w:sz="8" w:space="0"/>
            </w:tcBorders>
            <w:shd w:val="clear" w:color="auto" w:fill="4F81BD"/>
            <w:noWrap/>
            <w:vAlign w:val="center"/>
          </w:tcPr>
          <w:p>
            <w:pPr>
              <w:jc w:val="center"/>
              <w:rPr>
                <w:rFonts w:hint="default" w:ascii="Times New Roman" w:hAnsi="Times New Roman" w:eastAsia="仿宋" w:cs="Times New Roman"/>
                <w:color w:val="FFFFFF"/>
                <w:sz w:val="24"/>
              </w:rPr>
            </w:pPr>
          </w:p>
        </w:tc>
      </w:tr>
      <w:tr>
        <w:tblPrEx>
          <w:tblCellMar>
            <w:top w:w="0" w:type="dxa"/>
            <w:left w:w="108" w:type="dxa"/>
            <w:bottom w:w="0" w:type="dxa"/>
            <w:right w:w="108" w:type="dxa"/>
          </w:tblCellMar>
        </w:tblPrEx>
        <w:trPr>
          <w:trHeight w:val="510" w:hRule="atLeast"/>
          <w:jc w:val="center"/>
        </w:trPr>
        <w:tc>
          <w:tcPr>
            <w:tcW w:w="197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流通</w:t>
            </w:r>
          </w:p>
        </w:tc>
        <w:tc>
          <w:tcPr>
            <w:tcW w:w="141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514</w:t>
            </w:r>
          </w:p>
        </w:tc>
        <w:tc>
          <w:tcPr>
            <w:tcW w:w="154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w:t>
            </w:r>
          </w:p>
        </w:tc>
        <w:tc>
          <w:tcPr>
            <w:tcW w:w="1298"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508</w:t>
            </w:r>
          </w:p>
        </w:tc>
        <w:tc>
          <w:tcPr>
            <w:tcW w:w="14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1.17%</w:t>
            </w:r>
          </w:p>
        </w:tc>
      </w:tr>
      <w:tr>
        <w:tblPrEx>
          <w:tblCellMar>
            <w:top w:w="0" w:type="dxa"/>
            <w:left w:w="108" w:type="dxa"/>
            <w:bottom w:w="0" w:type="dxa"/>
            <w:right w:w="108" w:type="dxa"/>
          </w:tblCellMar>
        </w:tblPrEx>
        <w:trPr>
          <w:trHeight w:val="510" w:hRule="atLeast"/>
          <w:jc w:val="center"/>
        </w:trPr>
        <w:tc>
          <w:tcPr>
            <w:tcW w:w="197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生产</w:t>
            </w:r>
          </w:p>
        </w:tc>
        <w:tc>
          <w:tcPr>
            <w:tcW w:w="141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110</w:t>
            </w:r>
          </w:p>
        </w:tc>
        <w:tc>
          <w:tcPr>
            <w:tcW w:w="154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298"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106</w:t>
            </w:r>
          </w:p>
        </w:tc>
        <w:tc>
          <w:tcPr>
            <w:tcW w:w="141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3.64%</w:t>
            </w:r>
          </w:p>
        </w:tc>
      </w:tr>
      <w:tr>
        <w:tblPrEx>
          <w:tblCellMar>
            <w:top w:w="0" w:type="dxa"/>
            <w:left w:w="108" w:type="dxa"/>
            <w:bottom w:w="0" w:type="dxa"/>
            <w:right w:w="108" w:type="dxa"/>
          </w:tblCellMar>
        </w:tblPrEx>
        <w:trPr>
          <w:trHeight w:val="510" w:hRule="atLeast"/>
          <w:jc w:val="center"/>
        </w:trPr>
        <w:tc>
          <w:tcPr>
            <w:tcW w:w="1973"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合计</w:t>
            </w:r>
          </w:p>
        </w:tc>
        <w:tc>
          <w:tcPr>
            <w:tcW w:w="1417"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624</w:t>
            </w:r>
          </w:p>
        </w:tc>
        <w:tc>
          <w:tcPr>
            <w:tcW w:w="154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1298"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614</w:t>
            </w:r>
          </w:p>
        </w:tc>
        <w:tc>
          <w:tcPr>
            <w:tcW w:w="141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1.60%</w:t>
            </w:r>
          </w:p>
        </w:tc>
      </w:tr>
    </w:tbl>
    <w:p>
      <w:pPr>
        <w:rPr>
          <w:rFonts w:hint="default" w:ascii="Times New Roman" w:hAnsi="Times New Roman" w:eastAsia="仿宋" w:cs="Times New Roman"/>
        </w:rPr>
      </w:pPr>
    </w:p>
    <w:p>
      <w:pPr>
        <w:bidi w:val="0"/>
        <w:jc w:val="center"/>
        <w:rPr>
          <w:rFonts w:hint="default" w:asciiTheme="majorEastAsia" w:hAnsiTheme="majorEastAsia" w:eastAsiaTheme="majorEastAsia" w:cstheme="majorEastAsia"/>
          <w:b/>
          <w:kern w:val="0"/>
          <w:sz w:val="22"/>
          <w:szCs w:val="22"/>
          <w:lang w:val="en-US" w:eastAsia="zh-CN" w:bidi="ar-SA"/>
        </w:rPr>
      </w:pPr>
      <w:r>
        <w:rPr>
          <w:rFonts w:hint="default" w:asciiTheme="majorEastAsia" w:hAnsiTheme="majorEastAsia" w:eastAsiaTheme="majorEastAsia" w:cstheme="majorEastAsia"/>
          <w:b/>
          <w:kern w:val="0"/>
          <w:sz w:val="22"/>
          <w:szCs w:val="22"/>
          <w:lang w:val="en-US" w:eastAsia="zh-CN" w:bidi="ar-SA"/>
        </w:rPr>
        <w:t>表</w:t>
      </w:r>
      <w:r>
        <w:rPr>
          <w:rFonts w:hint="eastAsia" w:asciiTheme="majorEastAsia" w:hAnsiTheme="majorEastAsia" w:eastAsiaTheme="majorEastAsia" w:cstheme="majorEastAsia"/>
          <w:b/>
          <w:kern w:val="0"/>
          <w:sz w:val="22"/>
          <w:szCs w:val="22"/>
          <w:lang w:val="en-US" w:eastAsia="zh-CN" w:bidi="ar-SA"/>
        </w:rPr>
        <w:t>7</w:t>
      </w:r>
      <w:r>
        <w:rPr>
          <w:rFonts w:hint="default" w:asciiTheme="majorEastAsia" w:hAnsiTheme="majorEastAsia" w:eastAsiaTheme="majorEastAsia" w:cstheme="majorEastAsia"/>
          <w:b/>
          <w:kern w:val="0"/>
          <w:sz w:val="22"/>
          <w:szCs w:val="22"/>
          <w:lang w:val="en-US" w:eastAsia="zh-CN" w:bidi="ar-SA"/>
        </w:rPr>
        <w:t xml:space="preserve"> 抽样业态不合格情况</w:t>
      </w:r>
    </w:p>
    <w:tbl>
      <w:tblPr>
        <w:tblStyle w:val="17"/>
        <w:tblW w:w="7595" w:type="dxa"/>
        <w:jc w:val="center"/>
        <w:tblLayout w:type="fixed"/>
        <w:tblCellMar>
          <w:top w:w="0" w:type="dxa"/>
          <w:left w:w="108" w:type="dxa"/>
          <w:bottom w:w="0" w:type="dxa"/>
          <w:right w:w="108" w:type="dxa"/>
        </w:tblCellMar>
      </w:tblPr>
      <w:tblGrid>
        <w:gridCol w:w="1952"/>
        <w:gridCol w:w="1358"/>
        <w:gridCol w:w="1523"/>
        <w:gridCol w:w="1334"/>
        <w:gridCol w:w="1428"/>
      </w:tblGrid>
      <w:tr>
        <w:tblPrEx>
          <w:tblCellMar>
            <w:top w:w="0" w:type="dxa"/>
            <w:left w:w="108" w:type="dxa"/>
            <w:bottom w:w="0" w:type="dxa"/>
            <w:right w:w="108" w:type="dxa"/>
          </w:tblCellMar>
        </w:tblPrEx>
        <w:trPr>
          <w:trHeight w:val="510" w:hRule="atLeast"/>
          <w:jc w:val="center"/>
        </w:trPr>
        <w:tc>
          <w:tcPr>
            <w:tcW w:w="1952" w:type="dxa"/>
            <w:vMerge w:val="restart"/>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抽样业态（场所）</w:t>
            </w:r>
          </w:p>
        </w:tc>
        <w:tc>
          <w:tcPr>
            <w:tcW w:w="1358" w:type="dxa"/>
            <w:vMerge w:val="restart"/>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抽样数量（批次）</w:t>
            </w:r>
          </w:p>
        </w:tc>
        <w:tc>
          <w:tcPr>
            <w:tcW w:w="1523" w:type="dxa"/>
            <w:vMerge w:val="restart"/>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不合格数量（批次）</w:t>
            </w:r>
          </w:p>
        </w:tc>
        <w:tc>
          <w:tcPr>
            <w:tcW w:w="1334" w:type="dxa"/>
            <w:vMerge w:val="restart"/>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widowControl/>
              <w:jc w:val="center"/>
              <w:textAlignment w:val="center"/>
              <w:rPr>
                <w:rFonts w:hint="default" w:ascii="Times New Roman" w:hAnsi="Times New Roman" w:eastAsia="仿宋" w:cs="Times New Roman"/>
                <w:color w:val="FFFFFF"/>
                <w:sz w:val="24"/>
              </w:rPr>
            </w:pPr>
            <w:r>
              <w:rPr>
                <w:rFonts w:hint="default" w:ascii="Times New Roman" w:hAnsi="Times New Roman" w:eastAsia="仿宋" w:cs="Times New Roman"/>
                <w:color w:val="FFFFFF"/>
                <w:kern w:val="0"/>
                <w:sz w:val="24"/>
                <w:lang w:bidi="ar"/>
              </w:rPr>
              <w:t>合格数量（批次)</w:t>
            </w:r>
          </w:p>
        </w:tc>
        <w:tc>
          <w:tcPr>
            <w:tcW w:w="1428" w:type="dxa"/>
            <w:vMerge w:val="restart"/>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widowControl/>
              <w:jc w:val="center"/>
              <w:textAlignment w:val="center"/>
              <w:rPr>
                <w:rFonts w:hint="default" w:ascii="Times New Roman" w:hAnsi="Times New Roman" w:eastAsia="仿宋" w:cs="Times New Roman"/>
                <w:color w:val="FFFFFF"/>
                <w:sz w:val="24"/>
              </w:rPr>
            </w:pPr>
            <w:r>
              <w:rPr>
                <w:rFonts w:hint="eastAsia" w:ascii="Times New Roman" w:hAnsi="Times New Roman" w:eastAsia="仿宋" w:cs="Times New Roman"/>
                <w:color w:val="FFFFFF"/>
                <w:kern w:val="0"/>
                <w:sz w:val="24"/>
                <w:lang w:val="en-US" w:eastAsia="zh-CN" w:bidi="ar"/>
              </w:rPr>
              <w:t>问题发现</w:t>
            </w:r>
            <w:r>
              <w:rPr>
                <w:rFonts w:hint="default" w:ascii="Times New Roman" w:hAnsi="Times New Roman" w:eastAsia="仿宋" w:cs="Times New Roman"/>
                <w:color w:val="FFFFFF"/>
                <w:kern w:val="0"/>
                <w:sz w:val="24"/>
                <w:lang w:bidi="ar"/>
              </w:rPr>
              <w:t>率%</w:t>
            </w:r>
          </w:p>
        </w:tc>
      </w:tr>
      <w:tr>
        <w:tblPrEx>
          <w:tblCellMar>
            <w:top w:w="0" w:type="dxa"/>
            <w:left w:w="108" w:type="dxa"/>
            <w:bottom w:w="0" w:type="dxa"/>
            <w:right w:w="108" w:type="dxa"/>
          </w:tblCellMar>
        </w:tblPrEx>
        <w:trPr>
          <w:trHeight w:val="510" w:hRule="atLeast"/>
          <w:jc w:val="center"/>
        </w:trPr>
        <w:tc>
          <w:tcPr>
            <w:tcW w:w="1952" w:type="dxa"/>
            <w:vMerge w:val="continue"/>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jc w:val="center"/>
              <w:rPr>
                <w:rFonts w:hint="default" w:ascii="Times New Roman" w:hAnsi="Times New Roman" w:eastAsia="仿宋" w:cs="Times New Roman"/>
                <w:color w:val="FFFFFF"/>
                <w:sz w:val="24"/>
              </w:rPr>
            </w:pPr>
          </w:p>
        </w:tc>
        <w:tc>
          <w:tcPr>
            <w:tcW w:w="1358" w:type="dxa"/>
            <w:vMerge w:val="continue"/>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jc w:val="center"/>
              <w:rPr>
                <w:rFonts w:hint="default" w:ascii="Times New Roman" w:hAnsi="Times New Roman" w:eastAsia="仿宋" w:cs="Times New Roman"/>
                <w:color w:val="FFFFFF"/>
                <w:sz w:val="24"/>
              </w:rPr>
            </w:pPr>
          </w:p>
        </w:tc>
        <w:tc>
          <w:tcPr>
            <w:tcW w:w="1523" w:type="dxa"/>
            <w:vMerge w:val="continue"/>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jc w:val="center"/>
              <w:rPr>
                <w:rFonts w:hint="default" w:ascii="Times New Roman" w:hAnsi="Times New Roman" w:eastAsia="仿宋" w:cs="Times New Roman"/>
                <w:color w:val="FFFFFF"/>
                <w:sz w:val="24"/>
              </w:rPr>
            </w:pPr>
          </w:p>
        </w:tc>
        <w:tc>
          <w:tcPr>
            <w:tcW w:w="1334" w:type="dxa"/>
            <w:vMerge w:val="continue"/>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jc w:val="center"/>
              <w:rPr>
                <w:rFonts w:hint="default" w:ascii="Times New Roman" w:hAnsi="Times New Roman" w:eastAsia="仿宋" w:cs="Times New Roman"/>
                <w:color w:val="FFFFFF"/>
                <w:sz w:val="24"/>
              </w:rPr>
            </w:pPr>
          </w:p>
        </w:tc>
        <w:tc>
          <w:tcPr>
            <w:tcW w:w="1428" w:type="dxa"/>
            <w:vMerge w:val="continue"/>
            <w:tcBorders>
              <w:top w:val="single" w:color="000000" w:sz="8" w:space="0"/>
              <w:left w:val="single" w:color="000000" w:sz="8" w:space="0"/>
              <w:bottom w:val="single" w:color="000000" w:sz="8" w:space="0"/>
              <w:right w:val="single" w:color="000000" w:sz="8" w:space="0"/>
            </w:tcBorders>
            <w:shd w:val="clear" w:color="auto" w:fill="4F81BD"/>
            <w:noWrap w:val="0"/>
            <w:vAlign w:val="center"/>
          </w:tcPr>
          <w:p>
            <w:pPr>
              <w:jc w:val="center"/>
              <w:rPr>
                <w:rFonts w:hint="default" w:ascii="Times New Roman" w:hAnsi="Times New Roman" w:eastAsia="仿宋" w:cs="Times New Roman"/>
                <w:color w:val="FFFFFF"/>
                <w:sz w:val="24"/>
              </w:rPr>
            </w:pPr>
          </w:p>
        </w:tc>
      </w:tr>
      <w:tr>
        <w:tblPrEx>
          <w:tblCellMar>
            <w:top w:w="0" w:type="dxa"/>
            <w:left w:w="108" w:type="dxa"/>
            <w:bottom w:w="0" w:type="dxa"/>
            <w:right w:w="108" w:type="dxa"/>
          </w:tblCellMar>
        </w:tblPrEx>
        <w:trPr>
          <w:trHeight w:val="510" w:hRule="atLeast"/>
          <w:jc w:val="center"/>
        </w:trPr>
        <w:tc>
          <w:tcPr>
            <w:tcW w:w="1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超市</w:t>
            </w:r>
          </w:p>
        </w:tc>
        <w:tc>
          <w:tcPr>
            <w:tcW w:w="135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445</w:t>
            </w:r>
          </w:p>
        </w:tc>
        <w:tc>
          <w:tcPr>
            <w:tcW w:w="152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3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441</w:t>
            </w:r>
          </w:p>
        </w:tc>
        <w:tc>
          <w:tcPr>
            <w:tcW w:w="142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0.90%</w:t>
            </w:r>
          </w:p>
        </w:tc>
      </w:tr>
      <w:tr>
        <w:tblPrEx>
          <w:tblCellMar>
            <w:top w:w="0" w:type="dxa"/>
            <w:left w:w="108" w:type="dxa"/>
            <w:bottom w:w="0" w:type="dxa"/>
            <w:right w:w="108" w:type="dxa"/>
          </w:tblCellMar>
        </w:tblPrEx>
        <w:trPr>
          <w:trHeight w:val="510" w:hRule="atLeast"/>
          <w:jc w:val="center"/>
        </w:trPr>
        <w:tc>
          <w:tcPr>
            <w:tcW w:w="1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农贸市场</w:t>
            </w:r>
          </w:p>
        </w:tc>
        <w:tc>
          <w:tcPr>
            <w:tcW w:w="135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12</w:t>
            </w:r>
          </w:p>
        </w:tc>
        <w:tc>
          <w:tcPr>
            <w:tcW w:w="152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13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12</w:t>
            </w:r>
          </w:p>
        </w:tc>
        <w:tc>
          <w:tcPr>
            <w:tcW w:w="142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w:t>
            </w:r>
          </w:p>
        </w:tc>
      </w:tr>
      <w:tr>
        <w:tblPrEx>
          <w:tblCellMar>
            <w:top w:w="0" w:type="dxa"/>
            <w:left w:w="108" w:type="dxa"/>
            <w:bottom w:w="0" w:type="dxa"/>
            <w:right w:w="108" w:type="dxa"/>
          </w:tblCellMar>
        </w:tblPrEx>
        <w:trPr>
          <w:trHeight w:val="510" w:hRule="atLeast"/>
          <w:jc w:val="center"/>
        </w:trPr>
        <w:tc>
          <w:tcPr>
            <w:tcW w:w="1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小食杂店</w:t>
            </w:r>
          </w:p>
        </w:tc>
        <w:tc>
          <w:tcPr>
            <w:tcW w:w="135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52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0</w:t>
            </w:r>
          </w:p>
        </w:tc>
        <w:tc>
          <w:tcPr>
            <w:tcW w:w="13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42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w:t>
            </w:r>
          </w:p>
        </w:tc>
      </w:tr>
      <w:tr>
        <w:tblPrEx>
          <w:tblCellMar>
            <w:top w:w="0" w:type="dxa"/>
            <w:left w:w="108" w:type="dxa"/>
            <w:bottom w:w="0" w:type="dxa"/>
            <w:right w:w="108" w:type="dxa"/>
          </w:tblCellMar>
        </w:tblPrEx>
        <w:trPr>
          <w:trHeight w:val="510" w:hRule="atLeast"/>
          <w:jc w:val="center"/>
        </w:trPr>
        <w:tc>
          <w:tcPr>
            <w:tcW w:w="1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其他</w:t>
            </w:r>
          </w:p>
        </w:tc>
        <w:tc>
          <w:tcPr>
            <w:tcW w:w="135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53</w:t>
            </w:r>
          </w:p>
        </w:tc>
        <w:tc>
          <w:tcPr>
            <w:tcW w:w="152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2</w:t>
            </w:r>
          </w:p>
        </w:tc>
        <w:tc>
          <w:tcPr>
            <w:tcW w:w="13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51</w:t>
            </w:r>
          </w:p>
        </w:tc>
        <w:tc>
          <w:tcPr>
            <w:tcW w:w="142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3.77%</w:t>
            </w:r>
          </w:p>
        </w:tc>
      </w:tr>
      <w:tr>
        <w:tblPrEx>
          <w:tblCellMar>
            <w:top w:w="0" w:type="dxa"/>
            <w:left w:w="108" w:type="dxa"/>
            <w:bottom w:w="0" w:type="dxa"/>
            <w:right w:w="108" w:type="dxa"/>
          </w:tblCellMar>
        </w:tblPrEx>
        <w:trPr>
          <w:trHeight w:val="510" w:hRule="atLeast"/>
          <w:jc w:val="center"/>
        </w:trPr>
        <w:tc>
          <w:tcPr>
            <w:tcW w:w="1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成品库（已检区）</w:t>
            </w:r>
          </w:p>
        </w:tc>
        <w:tc>
          <w:tcPr>
            <w:tcW w:w="135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110</w:t>
            </w:r>
          </w:p>
        </w:tc>
        <w:tc>
          <w:tcPr>
            <w:tcW w:w="152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4</w:t>
            </w:r>
          </w:p>
        </w:tc>
        <w:tc>
          <w:tcPr>
            <w:tcW w:w="13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106</w:t>
            </w:r>
          </w:p>
        </w:tc>
        <w:tc>
          <w:tcPr>
            <w:tcW w:w="142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3.64%</w:t>
            </w:r>
          </w:p>
        </w:tc>
      </w:tr>
      <w:tr>
        <w:tblPrEx>
          <w:tblCellMar>
            <w:top w:w="0" w:type="dxa"/>
            <w:left w:w="108" w:type="dxa"/>
            <w:bottom w:w="0" w:type="dxa"/>
            <w:right w:w="108" w:type="dxa"/>
          </w:tblCellMar>
        </w:tblPrEx>
        <w:trPr>
          <w:trHeight w:val="510" w:hRule="atLeast"/>
          <w:jc w:val="center"/>
        </w:trPr>
        <w:tc>
          <w:tcPr>
            <w:tcW w:w="195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合计</w:t>
            </w:r>
          </w:p>
        </w:tc>
        <w:tc>
          <w:tcPr>
            <w:tcW w:w="135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624</w:t>
            </w:r>
          </w:p>
        </w:tc>
        <w:tc>
          <w:tcPr>
            <w:tcW w:w="1523"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10</w:t>
            </w:r>
          </w:p>
        </w:tc>
        <w:tc>
          <w:tcPr>
            <w:tcW w:w="133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614</w:t>
            </w:r>
          </w:p>
        </w:tc>
        <w:tc>
          <w:tcPr>
            <w:tcW w:w="1428"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default" w:ascii="Times New Roman" w:hAnsi="Times New Roman" w:eastAsia="仿宋" w:cs="Times New Roman"/>
                <w:i w:val="0"/>
                <w:iCs w:val="0"/>
                <w:color w:val="000000"/>
                <w:kern w:val="0"/>
                <w:sz w:val="24"/>
                <w:szCs w:val="24"/>
                <w:u w:val="none"/>
                <w:lang w:val="en-US" w:eastAsia="zh-CN" w:bidi="ar"/>
              </w:rPr>
              <w:t>1.60%</w:t>
            </w:r>
          </w:p>
        </w:tc>
      </w:tr>
    </w:tbl>
    <w:p>
      <w:pPr>
        <w:pStyle w:val="5"/>
        <w:keepNext/>
        <w:keepLines/>
        <w:pageBreakBefore w:val="0"/>
        <w:widowControl w:val="0"/>
        <w:numPr>
          <w:ilvl w:val="0"/>
          <w:numId w:val="0"/>
        </w:numPr>
        <w:kinsoku/>
        <w:wordWrap/>
        <w:overflowPunct/>
        <w:topLinePunct w:val="0"/>
        <w:autoSpaceDE/>
        <w:autoSpaceDN/>
        <w:bidi w:val="0"/>
        <w:adjustRightInd/>
        <w:snapToGrid/>
        <w:spacing w:before="157" w:beforeLines="50"/>
        <w:ind w:firstLine="643" w:firstLineChars="200"/>
        <w:textAlignment w:val="auto"/>
        <w:rPr>
          <w:rFonts w:hint="default" w:ascii="仿宋" w:hAnsi="仿宋" w:eastAsia="仿宋" w:cs="仿宋"/>
          <w:sz w:val="32"/>
          <w:szCs w:val="28"/>
          <w:lang w:val="en-US" w:eastAsia="zh-CN"/>
        </w:rPr>
      </w:pPr>
      <w:bookmarkStart w:id="18" w:name="_Toc22311"/>
      <w:r>
        <w:rPr>
          <w:rFonts w:hint="default" w:ascii="仿宋" w:hAnsi="仿宋" w:eastAsia="仿宋" w:cs="仿宋"/>
          <w:sz w:val="32"/>
          <w:szCs w:val="28"/>
          <w:lang w:val="en-US" w:eastAsia="zh-CN"/>
        </w:rPr>
        <w:t>2</w:t>
      </w:r>
      <w:r>
        <w:rPr>
          <w:rFonts w:hint="eastAsia" w:ascii="仿宋" w:hAnsi="仿宋" w:eastAsia="仿宋" w:cs="仿宋"/>
          <w:sz w:val="32"/>
          <w:szCs w:val="28"/>
          <w:lang w:val="en-US" w:eastAsia="zh-CN"/>
        </w:rPr>
        <w:t>.</w:t>
      </w:r>
      <w:r>
        <w:rPr>
          <w:rFonts w:hint="default" w:ascii="仿宋" w:hAnsi="仿宋" w:eastAsia="仿宋" w:cs="仿宋"/>
          <w:sz w:val="32"/>
          <w:szCs w:val="28"/>
          <w:lang w:val="en-US" w:eastAsia="zh-CN"/>
        </w:rPr>
        <w:fldChar w:fldCharType="begin"/>
      </w:r>
      <w:r>
        <w:rPr>
          <w:rFonts w:hint="default" w:ascii="仿宋" w:hAnsi="仿宋" w:eastAsia="仿宋" w:cs="仿宋"/>
          <w:sz w:val="32"/>
          <w:szCs w:val="28"/>
          <w:lang w:val="en-US" w:eastAsia="zh-CN"/>
        </w:rPr>
        <w:instrText xml:space="preserve"> HYPERLINK \l "_Toc20027" </w:instrText>
      </w:r>
      <w:r>
        <w:rPr>
          <w:rFonts w:hint="default" w:ascii="仿宋" w:hAnsi="仿宋" w:eastAsia="仿宋" w:cs="仿宋"/>
          <w:sz w:val="32"/>
          <w:szCs w:val="28"/>
          <w:lang w:val="en-US" w:eastAsia="zh-CN"/>
        </w:rPr>
        <w:fldChar w:fldCharType="separate"/>
      </w:r>
      <w:r>
        <w:rPr>
          <w:rFonts w:hint="default" w:ascii="仿宋" w:hAnsi="仿宋" w:eastAsia="仿宋" w:cs="仿宋"/>
          <w:sz w:val="32"/>
          <w:szCs w:val="28"/>
          <w:lang w:val="en-US" w:eastAsia="zh-CN"/>
        </w:rPr>
        <w:t>不合格品种分析</w:t>
      </w:r>
      <w:r>
        <w:rPr>
          <w:rFonts w:hint="default" w:ascii="仿宋" w:hAnsi="仿宋" w:eastAsia="仿宋" w:cs="仿宋"/>
          <w:sz w:val="32"/>
          <w:szCs w:val="28"/>
          <w:lang w:val="en-US" w:eastAsia="zh-CN"/>
        </w:rPr>
        <w:fldChar w:fldCharType="end"/>
      </w:r>
      <w:bookmarkEnd w:id="18"/>
    </w:p>
    <w:p>
      <w:pPr>
        <w:pStyle w:val="16"/>
        <w:shd w:val="clear" w:color="auto" w:fill="FFFFFF"/>
        <w:spacing w:before="0" w:beforeAutospacing="0" w:after="0" w:afterAutospacing="0" w:line="560" w:lineRule="exac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不合格食品品种主要为酒类（</w:t>
      </w:r>
      <w:r>
        <w:rPr>
          <w:rFonts w:hint="eastAsia" w:ascii="仿宋_GB2312" w:hAnsi="仿宋_GB2312" w:eastAsia="仿宋_GB2312" w:cs="仿宋_GB2312"/>
          <w:sz w:val="32"/>
          <w:szCs w:val="32"/>
        </w:rPr>
        <w:t>共抽检9</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批次，检出</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批次不合格，</w:t>
      </w:r>
      <w:r>
        <w:rPr>
          <w:rFonts w:hint="eastAsia" w:ascii="仿宋_GB2312" w:hAnsi="仿宋_GB2312" w:eastAsia="仿宋_GB2312" w:cs="仿宋_GB2312"/>
          <w:sz w:val="32"/>
          <w:szCs w:val="32"/>
          <w:lang w:val="en-US" w:eastAsia="zh-CN"/>
        </w:rPr>
        <w:t>问题发现</w:t>
      </w:r>
      <w:r>
        <w:rPr>
          <w:rFonts w:hint="eastAsia" w:ascii="仿宋_GB2312" w:hAnsi="仿宋_GB2312" w:eastAsia="仿宋_GB2312" w:cs="仿宋_GB2312"/>
          <w:sz w:val="32"/>
          <w:szCs w:val="32"/>
        </w:rPr>
        <w:t>率为6</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w:t>
      </w:r>
      <w:r>
        <w:rPr>
          <w:rFonts w:hint="default" w:ascii="Times New Roman" w:hAnsi="Times New Roman" w:eastAsia="仿宋" w:cs="Times New Roman"/>
          <w:sz w:val="32"/>
          <w:szCs w:val="32"/>
        </w:rPr>
        <w:t>）、调味品（</w:t>
      </w:r>
      <w:r>
        <w:rPr>
          <w:rFonts w:hint="eastAsia" w:ascii="仿宋_GB2312" w:hAnsi="仿宋_GB2312" w:eastAsia="仿宋_GB2312" w:cs="仿宋_GB2312"/>
          <w:sz w:val="32"/>
          <w:szCs w:val="32"/>
        </w:rPr>
        <w:t>共抽检1</w:t>
      </w:r>
      <w:r>
        <w:rPr>
          <w:rFonts w:ascii="仿宋_GB2312" w:hAnsi="仿宋_GB2312" w:eastAsia="仿宋_GB2312" w:cs="仿宋_GB2312"/>
          <w:sz w:val="32"/>
          <w:szCs w:val="32"/>
        </w:rPr>
        <w:t>44</w:t>
      </w:r>
      <w:r>
        <w:rPr>
          <w:rFonts w:hint="eastAsia" w:ascii="仿宋_GB2312" w:hAnsi="仿宋_GB2312" w:eastAsia="仿宋_GB2312" w:cs="仿宋_GB2312"/>
          <w:sz w:val="32"/>
          <w:szCs w:val="32"/>
        </w:rPr>
        <w:t>批次，检出</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次不合格，</w:t>
      </w:r>
      <w:r>
        <w:rPr>
          <w:rFonts w:hint="eastAsia" w:ascii="仿宋_GB2312" w:hAnsi="仿宋_GB2312" w:eastAsia="仿宋_GB2312" w:cs="仿宋_GB2312"/>
          <w:sz w:val="32"/>
          <w:szCs w:val="32"/>
          <w:lang w:eastAsia="zh-CN"/>
        </w:rPr>
        <w:t>问题发现率</w:t>
      </w:r>
      <w:r>
        <w:rPr>
          <w:rFonts w:hint="eastAsia" w:ascii="仿宋_GB2312" w:hAnsi="仿宋_GB2312" w:eastAsia="仿宋_GB2312" w:cs="仿宋_GB2312"/>
          <w:sz w:val="32"/>
          <w:szCs w:val="32"/>
        </w:rPr>
        <w:t>为2</w:t>
      </w:r>
      <w:r>
        <w:rPr>
          <w:rFonts w:ascii="仿宋_GB2312" w:hAnsi="仿宋_GB2312" w:eastAsia="仿宋_GB2312" w:cs="仿宋_GB2312"/>
          <w:sz w:val="32"/>
          <w:szCs w:val="32"/>
        </w:rPr>
        <w:t>.78</w:t>
      </w:r>
      <w:r>
        <w:rPr>
          <w:rFonts w:hint="eastAsia" w:ascii="仿宋_GB2312" w:hAnsi="仿宋_GB2312" w:eastAsia="仿宋_GB2312" w:cs="仿宋_GB2312"/>
          <w:sz w:val="32"/>
          <w:szCs w:val="32"/>
        </w:rPr>
        <w:t>%</w:t>
      </w:r>
      <w:r>
        <w:rPr>
          <w:rFonts w:hint="default" w:ascii="Times New Roman" w:hAnsi="Times New Roman" w:eastAsia="仿宋" w:cs="Times New Roman"/>
          <w:sz w:val="32"/>
          <w:szCs w:val="32"/>
        </w:rPr>
        <w:t>）、各类食品抽检不合格情况详见表</w:t>
      </w:r>
      <w:r>
        <w:rPr>
          <w:rFonts w:hint="eastAsia" w:ascii="Times New Roman" w:hAnsi="Times New Roman" w:eastAsia="仿宋" w:cs="Times New Roman"/>
          <w:sz w:val="32"/>
          <w:szCs w:val="32"/>
          <w:lang w:val="en-US" w:eastAsia="zh-CN"/>
        </w:rPr>
        <w:t>8</w:t>
      </w:r>
      <w:r>
        <w:rPr>
          <w:rFonts w:hint="default" w:ascii="Times New Roman" w:hAnsi="Times New Roman" w:eastAsia="仿宋" w:cs="Times New Roman"/>
          <w:sz w:val="32"/>
          <w:szCs w:val="32"/>
        </w:rPr>
        <w:t>。</w:t>
      </w:r>
    </w:p>
    <w:p>
      <w:pPr>
        <w:bidi w:val="0"/>
        <w:jc w:val="center"/>
        <w:rPr>
          <w:rFonts w:hint="default" w:ascii="Times New Roman" w:hAnsi="Times New Roman" w:eastAsia="宋体" w:cs="Times New Roman"/>
          <w:b/>
          <w:kern w:val="0"/>
          <w:sz w:val="24"/>
          <w:szCs w:val="24"/>
          <w:lang w:val="en-US" w:eastAsia="zh-CN" w:bidi="ar-SA"/>
        </w:rPr>
      </w:pPr>
      <w:r>
        <w:rPr>
          <w:rFonts w:hint="eastAsia" w:asciiTheme="majorEastAsia" w:hAnsiTheme="majorEastAsia" w:eastAsiaTheme="majorEastAsia" w:cstheme="majorEastAsia"/>
          <w:b/>
          <w:kern w:val="0"/>
          <w:sz w:val="22"/>
          <w:szCs w:val="22"/>
          <w:lang w:val="en-US" w:eastAsia="zh-CN" w:bidi="ar-SA"/>
        </w:rPr>
        <w:t>表8 普通食品抽检不合格情况</w:t>
      </w:r>
    </w:p>
    <w:tbl>
      <w:tblPr>
        <w:tblStyle w:val="17"/>
        <w:tblW w:w="9560" w:type="dxa"/>
        <w:jc w:val="center"/>
        <w:tblLayout w:type="fixed"/>
        <w:tblCellMar>
          <w:top w:w="15" w:type="dxa"/>
          <w:left w:w="15" w:type="dxa"/>
          <w:bottom w:w="15" w:type="dxa"/>
          <w:right w:w="15" w:type="dxa"/>
        </w:tblCellMar>
      </w:tblPr>
      <w:tblGrid>
        <w:gridCol w:w="665"/>
        <w:gridCol w:w="3080"/>
        <w:gridCol w:w="1265"/>
        <w:gridCol w:w="1350"/>
        <w:gridCol w:w="1600"/>
        <w:gridCol w:w="1600"/>
      </w:tblGrid>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4F80BD"/>
            <w:noWrap w:val="0"/>
            <w:vAlign w:val="center"/>
          </w:tcPr>
          <w:p>
            <w:pPr>
              <w:widowControl/>
              <w:spacing w:line="560" w:lineRule="exact"/>
              <w:jc w:val="center"/>
              <w:textAlignment w:val="center"/>
              <w:rPr>
                <w:rFonts w:hint="default" w:ascii="Times New Roman" w:hAnsi="Times New Roman" w:eastAsia="仿宋" w:cs="Times New Roman"/>
                <w:b/>
                <w:color w:val="E7E6E6" w:themeColor="background2"/>
                <w:sz w:val="24"/>
                <w14:textFill>
                  <w14:solidFill>
                    <w14:schemeClr w14:val="bg2"/>
                  </w14:solidFill>
                </w14:textFill>
              </w:rPr>
            </w:pPr>
            <w:r>
              <w:rPr>
                <w:rFonts w:hint="default" w:ascii="Times New Roman" w:hAnsi="Times New Roman" w:eastAsia="仿宋" w:cs="Times New Roman"/>
                <w:b/>
                <w:color w:val="E7E6E6" w:themeColor="background2"/>
                <w:kern w:val="0"/>
                <w:sz w:val="24"/>
                <w14:textFill>
                  <w14:solidFill>
                    <w14:schemeClr w14:val="bg2"/>
                  </w14:solidFill>
                </w14:textFill>
              </w:rPr>
              <w:t>序号</w:t>
            </w:r>
          </w:p>
        </w:tc>
        <w:tc>
          <w:tcPr>
            <w:tcW w:w="3080" w:type="dxa"/>
            <w:tcBorders>
              <w:top w:val="single" w:color="000000" w:sz="4" w:space="0"/>
              <w:left w:val="single" w:color="000000" w:sz="4" w:space="0"/>
              <w:bottom w:val="single" w:color="000000" w:sz="4" w:space="0"/>
              <w:right w:val="single" w:color="000000" w:sz="4" w:space="0"/>
            </w:tcBorders>
            <w:shd w:val="clear" w:color="auto" w:fill="4F80BD"/>
            <w:noWrap w:val="0"/>
            <w:vAlign w:val="center"/>
          </w:tcPr>
          <w:p>
            <w:pPr>
              <w:widowControl/>
              <w:spacing w:line="560" w:lineRule="exact"/>
              <w:jc w:val="center"/>
              <w:textAlignment w:val="center"/>
              <w:rPr>
                <w:rFonts w:hint="default" w:ascii="Times New Roman" w:hAnsi="Times New Roman" w:eastAsia="仿宋" w:cs="Times New Roman"/>
                <w:b/>
                <w:color w:val="E7E6E6" w:themeColor="background2"/>
                <w:sz w:val="24"/>
                <w14:textFill>
                  <w14:solidFill>
                    <w14:schemeClr w14:val="bg2"/>
                  </w14:solidFill>
                </w14:textFill>
              </w:rPr>
            </w:pPr>
            <w:r>
              <w:rPr>
                <w:rFonts w:hint="default" w:ascii="Times New Roman" w:hAnsi="Times New Roman" w:eastAsia="仿宋" w:cs="Times New Roman"/>
                <w:b/>
                <w:color w:val="E7E6E6" w:themeColor="background2"/>
                <w:kern w:val="0"/>
                <w:sz w:val="24"/>
                <w14:textFill>
                  <w14:solidFill>
                    <w14:schemeClr w14:val="bg2"/>
                  </w14:solidFill>
                </w14:textFill>
              </w:rPr>
              <w:t>大类</w:t>
            </w:r>
          </w:p>
        </w:tc>
        <w:tc>
          <w:tcPr>
            <w:tcW w:w="1265" w:type="dxa"/>
            <w:tcBorders>
              <w:top w:val="single" w:color="000000" w:sz="4" w:space="0"/>
              <w:left w:val="single" w:color="000000" w:sz="4" w:space="0"/>
              <w:bottom w:val="single" w:color="000000" w:sz="4" w:space="0"/>
              <w:right w:val="single" w:color="000000" w:sz="4" w:space="0"/>
            </w:tcBorders>
            <w:shd w:val="clear" w:color="auto" w:fill="4F80BD"/>
            <w:noWrap w:val="0"/>
            <w:vAlign w:val="center"/>
          </w:tcPr>
          <w:p>
            <w:pPr>
              <w:widowControl/>
              <w:spacing w:line="560" w:lineRule="exact"/>
              <w:jc w:val="center"/>
              <w:textAlignment w:val="center"/>
              <w:rPr>
                <w:rFonts w:hint="default" w:ascii="Times New Roman" w:hAnsi="Times New Roman" w:eastAsia="仿宋" w:cs="Times New Roman"/>
                <w:b/>
                <w:color w:val="E7E6E6" w:themeColor="background2"/>
                <w:sz w:val="24"/>
                <w14:textFill>
                  <w14:solidFill>
                    <w14:schemeClr w14:val="bg2"/>
                  </w14:solidFill>
                </w14:textFill>
              </w:rPr>
            </w:pPr>
            <w:r>
              <w:rPr>
                <w:rFonts w:hint="default" w:ascii="Times New Roman" w:hAnsi="Times New Roman" w:eastAsia="仿宋" w:cs="Times New Roman"/>
                <w:b/>
                <w:color w:val="E7E6E6" w:themeColor="background2"/>
                <w:kern w:val="0"/>
                <w:sz w:val="24"/>
                <w14:textFill>
                  <w14:solidFill>
                    <w14:schemeClr w14:val="bg2"/>
                  </w14:solidFill>
                </w14:textFill>
              </w:rPr>
              <w:t>批次</w:t>
            </w:r>
          </w:p>
        </w:tc>
        <w:tc>
          <w:tcPr>
            <w:tcW w:w="1350" w:type="dxa"/>
            <w:tcBorders>
              <w:top w:val="single" w:color="000000" w:sz="4" w:space="0"/>
              <w:left w:val="single" w:color="000000" w:sz="4" w:space="0"/>
              <w:bottom w:val="single" w:color="000000" w:sz="4" w:space="0"/>
              <w:right w:val="single" w:color="000000" w:sz="4" w:space="0"/>
            </w:tcBorders>
            <w:shd w:val="clear" w:color="auto" w:fill="4F80BD"/>
            <w:noWrap w:val="0"/>
            <w:vAlign w:val="center"/>
          </w:tcPr>
          <w:p>
            <w:pPr>
              <w:widowControl/>
              <w:spacing w:line="560" w:lineRule="exact"/>
              <w:jc w:val="center"/>
              <w:textAlignment w:val="center"/>
              <w:rPr>
                <w:rFonts w:hint="default" w:ascii="Times New Roman" w:hAnsi="Times New Roman" w:eastAsia="仿宋" w:cs="Times New Roman"/>
                <w:b/>
                <w:color w:val="E7E6E6" w:themeColor="background2"/>
                <w:sz w:val="24"/>
                <w14:textFill>
                  <w14:solidFill>
                    <w14:schemeClr w14:val="bg2"/>
                  </w14:solidFill>
                </w14:textFill>
              </w:rPr>
            </w:pPr>
            <w:r>
              <w:rPr>
                <w:rFonts w:hint="default" w:ascii="Times New Roman" w:hAnsi="Times New Roman" w:eastAsia="仿宋" w:cs="Times New Roman"/>
                <w:b/>
                <w:color w:val="E7E6E6" w:themeColor="background2"/>
                <w:kern w:val="0"/>
                <w:sz w:val="24"/>
                <w14:textFill>
                  <w14:solidFill>
                    <w14:schemeClr w14:val="bg2"/>
                  </w14:solidFill>
                </w14:textFill>
              </w:rPr>
              <w:t>不合格数量</w:t>
            </w:r>
          </w:p>
        </w:tc>
        <w:tc>
          <w:tcPr>
            <w:tcW w:w="1600" w:type="dxa"/>
            <w:tcBorders>
              <w:top w:val="single" w:color="000000" w:sz="4" w:space="0"/>
              <w:left w:val="single" w:color="000000" w:sz="4" w:space="0"/>
              <w:bottom w:val="single" w:color="000000" w:sz="4" w:space="0"/>
              <w:right w:val="single" w:color="000000" w:sz="4" w:space="0"/>
            </w:tcBorders>
            <w:shd w:val="clear" w:color="auto" w:fill="4F80BD"/>
            <w:noWrap w:val="0"/>
            <w:vAlign w:val="center"/>
          </w:tcPr>
          <w:p>
            <w:pPr>
              <w:widowControl/>
              <w:spacing w:line="560" w:lineRule="exact"/>
              <w:jc w:val="center"/>
              <w:textAlignment w:val="center"/>
              <w:rPr>
                <w:rFonts w:hint="default" w:ascii="Times New Roman" w:hAnsi="Times New Roman" w:eastAsia="仿宋" w:cs="Times New Roman"/>
                <w:b/>
                <w:color w:val="E7E6E6" w:themeColor="background2"/>
                <w:kern w:val="0"/>
                <w:sz w:val="24"/>
                <w:lang w:val="en-US" w:eastAsia="zh-CN"/>
                <w14:textFill>
                  <w14:solidFill>
                    <w14:schemeClr w14:val="bg2"/>
                  </w14:solidFill>
                </w14:textFill>
              </w:rPr>
            </w:pPr>
            <w:r>
              <w:rPr>
                <w:rFonts w:hint="eastAsia" w:ascii="Times New Roman" w:hAnsi="Times New Roman" w:eastAsia="仿宋" w:cs="Times New Roman"/>
                <w:b/>
                <w:color w:val="E7E6E6" w:themeColor="background2"/>
                <w:kern w:val="0"/>
                <w:sz w:val="24"/>
                <w:lang w:val="en-US" w:eastAsia="zh-CN"/>
                <w14:textFill>
                  <w14:solidFill>
                    <w14:schemeClr w14:val="bg2"/>
                  </w14:solidFill>
                </w14:textFill>
              </w:rPr>
              <w:t>不合格项目</w:t>
            </w:r>
          </w:p>
        </w:tc>
        <w:tc>
          <w:tcPr>
            <w:tcW w:w="1600" w:type="dxa"/>
            <w:tcBorders>
              <w:top w:val="single" w:color="000000" w:sz="4" w:space="0"/>
              <w:left w:val="single" w:color="000000" w:sz="4" w:space="0"/>
              <w:bottom w:val="single" w:color="000000" w:sz="4" w:space="0"/>
              <w:right w:val="single" w:color="000000" w:sz="4" w:space="0"/>
            </w:tcBorders>
            <w:shd w:val="clear" w:color="auto" w:fill="4F80BD"/>
            <w:noWrap w:val="0"/>
            <w:vAlign w:val="center"/>
          </w:tcPr>
          <w:p>
            <w:pPr>
              <w:widowControl/>
              <w:spacing w:line="560" w:lineRule="exact"/>
              <w:jc w:val="center"/>
              <w:textAlignment w:val="center"/>
              <w:rPr>
                <w:rFonts w:hint="eastAsia" w:ascii="Times New Roman" w:hAnsi="Times New Roman" w:eastAsia="仿宋" w:cs="Times New Roman"/>
                <w:b/>
                <w:color w:val="E7E6E6" w:themeColor="background2"/>
                <w:kern w:val="2"/>
                <w:sz w:val="24"/>
                <w:szCs w:val="24"/>
                <w:lang w:val="en-US" w:eastAsia="zh-CN" w:bidi="ar-SA"/>
                <w14:textFill>
                  <w14:solidFill>
                    <w14:schemeClr w14:val="bg2"/>
                  </w14:solidFill>
                </w14:textFill>
              </w:rPr>
            </w:pPr>
            <w:r>
              <w:rPr>
                <w:rFonts w:hint="eastAsia" w:ascii="Times New Roman" w:hAnsi="Times New Roman" w:eastAsia="仿宋" w:cs="Times New Roman"/>
                <w:b/>
                <w:color w:val="E7E6E6" w:themeColor="background2"/>
                <w:kern w:val="0"/>
                <w:sz w:val="24"/>
                <w:lang w:eastAsia="zh-CN"/>
                <w14:textFill>
                  <w14:solidFill>
                    <w14:schemeClr w14:val="bg2"/>
                  </w14:solidFill>
                </w14:textFill>
              </w:rPr>
              <w:t>问题发现率</w:t>
            </w:r>
            <w:r>
              <w:rPr>
                <w:rFonts w:hint="default" w:ascii="Times New Roman" w:hAnsi="Times New Roman" w:eastAsia="仿宋" w:cs="Times New Roman"/>
                <w:b/>
                <w:color w:val="E7E6E6" w:themeColor="background2"/>
                <w:kern w:val="0"/>
                <w:sz w:val="24"/>
                <w14:textFill>
                  <w14:solidFill>
                    <w14:schemeClr w14:val="bg2"/>
                  </w14:solidFill>
                </w14:textFill>
              </w:rPr>
              <w:t>(%)</w:t>
            </w:r>
          </w:p>
        </w:tc>
      </w:tr>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1</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粮食加工品</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lang w:val="en-US" w:eastAsia="zh-CN"/>
              </w:rPr>
              <w:t>240</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hAnsi="仿宋_GB2312" w:eastAsia="仿宋_GB2312" w:cs="仿宋_GB2312"/>
                <w:kern w:val="0"/>
                <w:sz w:val="28"/>
                <w:szCs w:val="28"/>
              </w:rPr>
            </w:pP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w:t>
            </w:r>
          </w:p>
        </w:tc>
      </w:tr>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2</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调味品</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144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4</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黄曲霉毒素B1</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2.78</w:t>
            </w:r>
          </w:p>
        </w:tc>
      </w:tr>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3</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速冻食品</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48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hAnsi="仿宋_GB2312" w:eastAsia="仿宋_GB2312" w:cs="仿宋_GB2312"/>
                <w:kern w:val="0"/>
                <w:sz w:val="28"/>
                <w:szCs w:val="28"/>
              </w:rPr>
            </w:pP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w:t>
            </w:r>
          </w:p>
        </w:tc>
      </w:tr>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4</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酒类</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96</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6</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酒精度</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6.25</w:t>
            </w:r>
          </w:p>
        </w:tc>
      </w:tr>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5</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炒货食品及坚果制品</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48</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Times New Roman" w:hAnsi="Times New Roman" w:eastAsia="仿宋" w:cs="Times New Roman"/>
                <w:i w:val="0"/>
                <w:iCs w:val="0"/>
                <w:color w:val="000000"/>
                <w:kern w:val="0"/>
                <w:sz w:val="24"/>
                <w:szCs w:val="24"/>
                <w:u w:val="none"/>
                <w:lang w:val="en-US" w:eastAsia="zh-CN" w:bidi="ar"/>
              </w:rPr>
            </w:pPr>
            <w:r>
              <w:rPr>
                <w:rFonts w:ascii="仿宋_GB2312" w:hAnsi="仿宋_GB2312" w:eastAsia="仿宋_GB2312" w:cs="仿宋_GB2312"/>
                <w:kern w:val="0"/>
                <w:sz w:val="28"/>
                <w:szCs w:val="28"/>
              </w:rPr>
              <w:t>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hAnsi="仿宋_GB2312" w:eastAsia="仿宋_GB2312" w:cs="仿宋_GB2312"/>
                <w:kern w:val="0"/>
                <w:sz w:val="28"/>
                <w:szCs w:val="28"/>
              </w:rPr>
            </w:pP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Times New Roman" w:hAnsi="Times New Roman" w:eastAsia="仿宋" w:cs="Times New Roman"/>
                <w:i w:val="0"/>
                <w:iCs w:val="0"/>
                <w:color w:val="000000"/>
                <w:kern w:val="0"/>
                <w:sz w:val="24"/>
                <w:szCs w:val="24"/>
                <w:u w:val="none"/>
                <w:lang w:val="en-US" w:eastAsia="zh-CN" w:bidi="ar"/>
              </w:rPr>
            </w:pPr>
            <w:r>
              <w:rPr>
                <w:rFonts w:hint="eastAsia" w:ascii="仿宋_GB2312" w:hAnsi="仿宋_GB2312" w:eastAsia="仿宋_GB2312" w:cs="仿宋_GB2312"/>
                <w:kern w:val="0"/>
                <w:sz w:val="28"/>
                <w:szCs w:val="28"/>
              </w:rPr>
              <w:t>/</w:t>
            </w:r>
          </w:p>
        </w:tc>
      </w:tr>
      <w:tr>
        <w:tblPrEx>
          <w:tblCellMar>
            <w:top w:w="15" w:type="dxa"/>
            <w:left w:w="15" w:type="dxa"/>
            <w:bottom w:w="15" w:type="dxa"/>
            <w:right w:w="15" w:type="dxa"/>
          </w:tblCellMar>
        </w:tblPrEx>
        <w:trPr>
          <w:trHeight w:val="510" w:hRule="atLeast"/>
          <w:jc w:val="center"/>
        </w:trPr>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rPr>
              <w:t>合计</w:t>
            </w:r>
          </w:p>
        </w:tc>
        <w:tc>
          <w:tcPr>
            <w:tcW w:w="3080" w:type="dxa"/>
            <w:tcBorders>
              <w:top w:val="single" w:color="000000" w:sz="4" w:space="0"/>
              <w:left w:val="single" w:color="000000" w:sz="4" w:space="0"/>
              <w:bottom w:val="single" w:color="000000" w:sz="4" w:space="0"/>
              <w:right w:val="single" w:color="000000" w:sz="4" w:space="0"/>
            </w:tcBorders>
            <w:noWrap w:val="0"/>
            <w:vAlign w:val="center"/>
          </w:tcPr>
          <w:p>
            <w:pPr>
              <w:spacing w:line="560" w:lineRule="exact"/>
              <w:jc w:val="center"/>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rPr>
              <w:t>/</w:t>
            </w:r>
          </w:p>
        </w:tc>
        <w:tc>
          <w:tcPr>
            <w:tcW w:w="126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rPr>
              <w:t>624</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rPr>
              <w:t>1</w:t>
            </w:r>
            <w:r>
              <w:rPr>
                <w:rFonts w:ascii="仿宋_GB2312" w:hAnsi="仿宋_GB2312" w:eastAsia="仿宋_GB2312" w:cs="仿宋_GB2312"/>
                <w:kern w:val="0"/>
                <w:sz w:val="28"/>
                <w:szCs w:val="28"/>
              </w:rPr>
              <w:t>0</w:t>
            </w: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ascii="仿宋_GB2312" w:hAnsi="仿宋_GB2312" w:eastAsia="仿宋_GB2312" w:cs="仿宋_GB2312"/>
                <w:kern w:val="0"/>
                <w:sz w:val="28"/>
                <w:szCs w:val="28"/>
              </w:rPr>
            </w:pPr>
          </w:p>
        </w:tc>
        <w:tc>
          <w:tcPr>
            <w:tcW w:w="16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560" w:lineRule="exact"/>
              <w:jc w:val="center"/>
              <w:textAlignment w:val="center"/>
              <w:rPr>
                <w:rFonts w:hint="default"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rPr>
              <w:t>1.60</w:t>
            </w:r>
          </w:p>
        </w:tc>
      </w:tr>
    </w:tbl>
    <w:p>
      <w:pPr>
        <w:pStyle w:val="5"/>
        <w:keepNext/>
        <w:keepLines/>
        <w:pageBreakBefore w:val="0"/>
        <w:widowControl w:val="0"/>
        <w:numPr>
          <w:ilvl w:val="0"/>
          <w:numId w:val="0"/>
        </w:numPr>
        <w:kinsoku/>
        <w:wordWrap/>
        <w:overflowPunct/>
        <w:topLinePunct w:val="0"/>
        <w:autoSpaceDE/>
        <w:autoSpaceDN/>
        <w:bidi w:val="0"/>
        <w:adjustRightInd/>
        <w:snapToGrid/>
        <w:spacing w:before="157" w:beforeLines="50"/>
        <w:ind w:firstLine="643" w:firstLineChars="200"/>
        <w:textAlignment w:val="auto"/>
        <w:rPr>
          <w:rFonts w:hint="default" w:ascii="仿宋" w:hAnsi="仿宋" w:eastAsia="仿宋" w:cs="仿宋"/>
          <w:sz w:val="32"/>
          <w:szCs w:val="28"/>
          <w:lang w:val="en-US" w:eastAsia="zh-CN"/>
        </w:rPr>
      </w:pPr>
      <w:bookmarkStart w:id="19" w:name="_Toc11230"/>
      <w:r>
        <w:rPr>
          <w:rFonts w:hint="default" w:ascii="仿宋" w:hAnsi="仿宋" w:eastAsia="仿宋" w:cs="仿宋"/>
          <w:sz w:val="32"/>
          <w:szCs w:val="28"/>
          <w:lang w:val="en-US" w:eastAsia="zh-CN"/>
        </w:rPr>
        <w:t>3</w:t>
      </w:r>
      <w:r>
        <w:rPr>
          <w:rFonts w:hint="eastAsia" w:ascii="仿宋" w:hAnsi="仿宋" w:eastAsia="仿宋" w:cs="仿宋"/>
          <w:sz w:val="32"/>
          <w:szCs w:val="28"/>
          <w:lang w:val="en-US" w:eastAsia="zh-CN"/>
        </w:rPr>
        <w:t>.</w:t>
      </w:r>
      <w:r>
        <w:rPr>
          <w:rFonts w:hint="default" w:ascii="仿宋" w:hAnsi="仿宋" w:eastAsia="仿宋" w:cs="仿宋"/>
          <w:sz w:val="32"/>
          <w:szCs w:val="28"/>
          <w:lang w:val="en-US" w:eastAsia="zh-CN"/>
        </w:rPr>
        <w:fldChar w:fldCharType="begin"/>
      </w:r>
      <w:r>
        <w:rPr>
          <w:rFonts w:hint="default" w:ascii="仿宋" w:hAnsi="仿宋" w:eastAsia="仿宋" w:cs="仿宋"/>
          <w:sz w:val="32"/>
          <w:szCs w:val="28"/>
          <w:lang w:val="en-US" w:eastAsia="zh-CN"/>
        </w:rPr>
        <w:instrText xml:space="preserve"> HYPERLINK \l "_Toc27438" </w:instrText>
      </w:r>
      <w:r>
        <w:rPr>
          <w:rFonts w:hint="default" w:ascii="仿宋" w:hAnsi="仿宋" w:eastAsia="仿宋" w:cs="仿宋"/>
          <w:sz w:val="32"/>
          <w:szCs w:val="28"/>
          <w:lang w:val="en-US" w:eastAsia="zh-CN"/>
        </w:rPr>
        <w:fldChar w:fldCharType="separate"/>
      </w:r>
      <w:r>
        <w:rPr>
          <w:rFonts w:hint="default" w:ascii="仿宋" w:hAnsi="仿宋" w:eastAsia="仿宋" w:cs="仿宋"/>
          <w:sz w:val="32"/>
          <w:szCs w:val="28"/>
          <w:lang w:val="en-US" w:eastAsia="zh-CN"/>
        </w:rPr>
        <w:t>不合格项目分析及解读</w:t>
      </w:r>
      <w:r>
        <w:rPr>
          <w:rFonts w:hint="default" w:ascii="仿宋" w:hAnsi="仿宋" w:eastAsia="仿宋" w:cs="仿宋"/>
          <w:sz w:val="32"/>
          <w:szCs w:val="28"/>
          <w:lang w:val="en-US" w:eastAsia="zh-CN"/>
        </w:rPr>
        <w:fldChar w:fldCharType="end"/>
      </w:r>
      <w:bookmarkEnd w:id="19"/>
      <w:r>
        <w:rPr>
          <w:rFonts w:hint="default" w:ascii="仿宋" w:hAnsi="仿宋" w:eastAsia="仿宋" w:cs="仿宋"/>
          <w:sz w:val="32"/>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（1）酒精度</w:t>
      </w:r>
    </w:p>
    <w:p>
      <w:pPr>
        <w:spacing w:line="360" w:lineRule="auto"/>
        <w:ind w:firstLine="640" w:firstLineChars="200"/>
        <w:rPr>
          <w:rFonts w:hint="default" w:ascii="Times New Roman" w:hAnsi="Times New Roman" w:eastAsia="仿宋" w:cs="Times New Roman"/>
          <w:bCs/>
          <w:sz w:val="32"/>
          <w:szCs w:val="32"/>
        </w:rPr>
      </w:pPr>
      <w:r>
        <w:rPr>
          <w:rFonts w:hint="default" w:ascii="Times New Roman" w:hAnsi="Times New Roman" w:eastAsia="仿宋" w:cs="Times New Roman"/>
          <w:bCs/>
          <w:sz w:val="32"/>
          <w:szCs w:val="32"/>
        </w:rPr>
        <w:t>酒精度又称酒度，是指在20℃时，100毫升酒中含有乙醇（酒精）的毫升数，即体积（容量）的百分数。酒精度是酒的一个理化指标，酒精度含量应符合其标签明示值±1.0%vol。</w:t>
      </w:r>
      <w:r>
        <w:rPr>
          <w:rFonts w:hint="eastAsia" w:ascii="Times New Roman" w:hAnsi="Times New Roman" w:eastAsia="仿宋" w:cs="Times New Roman"/>
          <w:bCs/>
          <w:sz w:val="32"/>
          <w:szCs w:val="32"/>
          <w:lang w:eastAsia="zh-CN"/>
        </w:rPr>
        <w:t>酒精度</w:t>
      </w:r>
      <w:r>
        <w:rPr>
          <w:rFonts w:hint="default" w:ascii="Times New Roman" w:hAnsi="Times New Roman" w:eastAsia="仿宋" w:cs="Times New Roman"/>
          <w:bCs/>
          <w:sz w:val="32"/>
          <w:szCs w:val="32"/>
        </w:rPr>
        <w:t>不合格的原因，可能是部分生产企业质量控制不当，或者企业检验能力不足造成检验结果偏差。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Cs/>
          <w:sz w:val="32"/>
          <w:szCs w:val="32"/>
        </w:rPr>
      </w:pPr>
      <w:r>
        <w:rPr>
          <w:rFonts w:hint="default" w:ascii="仿宋_GB2312" w:hAnsi="仿宋_GB2312" w:eastAsia="仿宋_GB2312" w:cs="仿宋_GB2312"/>
          <w:bCs/>
          <w:sz w:val="32"/>
          <w:szCs w:val="32"/>
        </w:rPr>
        <w:t>（2）黄曲霉毒素B1</w:t>
      </w:r>
    </w:p>
    <w:p>
      <w:pPr>
        <w:widowControl/>
        <w:ind w:firstLine="640" w:firstLineChars="200"/>
        <w:jc w:val="both"/>
        <w:rPr>
          <w:rFonts w:hint="default" w:ascii="Times New Roman" w:hAnsi="Times New Roman" w:eastAsia="仿宋" w:cs="Times New Roman"/>
          <w:sz w:val="32"/>
          <w:szCs w:val="32"/>
        </w:rPr>
      </w:pPr>
      <w:r>
        <w:rPr>
          <w:rFonts w:hint="eastAsia" w:ascii="仿宋_GB2312" w:hAnsi="仿宋_GB2312" w:eastAsia="仿宋_GB2312" w:cs="仿宋_GB2312"/>
          <w:sz w:val="32"/>
          <w:szCs w:val="32"/>
        </w:rPr>
        <w:t>黄曲霉毒素B</w:t>
      </w:r>
      <w:r>
        <w:rPr>
          <w:rFonts w:hint="eastAsia" w:ascii="仿宋_GB2312" w:hAnsi="仿宋_GB2312" w:eastAsia="仿宋_GB2312" w:cs="仿宋_GB2312"/>
          <w:sz w:val="32"/>
          <w:szCs w:val="32"/>
          <w:vertAlign w:val="subscript"/>
        </w:rPr>
        <w:t>1</w:t>
      </w:r>
      <w:r>
        <w:rPr>
          <w:rFonts w:hint="eastAsia" w:ascii="仿宋_GB2312" w:hAnsi="仿宋_GB2312" w:eastAsia="仿宋_GB2312" w:cs="仿宋_GB2312"/>
          <w:sz w:val="32"/>
          <w:szCs w:val="32"/>
        </w:rPr>
        <w:t>是一种真菌毒素，长期摄入会对人体肝脏造成严重危害。《食品安全国家标准 食品中真菌毒素限量》（GB 2761-2017）规定，黄曲霉毒素B</w:t>
      </w:r>
      <w:r>
        <w:rPr>
          <w:rFonts w:hint="eastAsia" w:ascii="仿宋_GB2312" w:hAnsi="仿宋_GB2312" w:eastAsia="仿宋_GB2312" w:cs="仿宋_GB2312"/>
          <w:sz w:val="32"/>
          <w:szCs w:val="32"/>
          <w:vertAlign w:val="subscript"/>
        </w:rPr>
        <w:t>1</w:t>
      </w:r>
      <w:r>
        <w:rPr>
          <w:rFonts w:hint="eastAsia" w:ascii="仿宋_GB2312" w:hAnsi="仿宋_GB2312" w:eastAsia="仿宋_GB2312" w:cs="仿宋_GB2312"/>
          <w:sz w:val="32"/>
          <w:szCs w:val="32"/>
        </w:rPr>
        <w:t>在</w:t>
      </w:r>
      <w:r>
        <w:rPr>
          <w:rFonts w:hint="eastAsia" w:ascii="仿宋_GB2312" w:hAnsi="仿宋_GB2312" w:eastAsia="仿宋_GB2312" w:cs="仿宋_GB2312"/>
          <w:kern w:val="0"/>
          <w:sz w:val="32"/>
          <w:szCs w:val="32"/>
        </w:rPr>
        <w:t>生干籽类品</w:t>
      </w:r>
      <w:r>
        <w:rPr>
          <w:rFonts w:hint="eastAsia" w:ascii="仿宋_GB2312" w:hAnsi="仿宋_GB2312" w:eastAsia="仿宋_GB2312" w:cs="仿宋_GB2312"/>
          <w:sz w:val="32"/>
          <w:szCs w:val="32"/>
        </w:rPr>
        <w:t>中的最大限量值为20μg/kg。造成黄曲霉毒素超标的原因可能是</w:t>
      </w:r>
      <w:r>
        <w:rPr>
          <w:rFonts w:hint="eastAsia" w:ascii="仿宋_GB2312" w:hAnsi="仿宋_GB2312" w:eastAsia="仿宋_GB2312" w:cs="仿宋_GB2312"/>
          <w:color w:val="000000"/>
          <w:kern w:val="0"/>
          <w:sz w:val="32"/>
          <w:szCs w:val="32"/>
          <w:lang w:bidi="ar"/>
        </w:rPr>
        <w:t>原料在种植、采收、运输及储存过程中受到黄曲霉等霉菌污染</w:t>
      </w:r>
      <w:r>
        <w:rPr>
          <w:rFonts w:hint="eastAsia" w:ascii="仿宋_GB2312" w:hAnsi="仿宋_GB2312" w:eastAsia="仿宋_GB2312" w:cs="仿宋_GB2312"/>
          <w:sz w:val="32"/>
          <w:szCs w:val="32"/>
        </w:rPr>
        <w:t>导致。</w:t>
      </w:r>
    </w:p>
    <w:p>
      <w:pPr>
        <w:pStyle w:val="5"/>
        <w:keepNext/>
        <w:keepLines/>
        <w:pageBreakBefore w:val="0"/>
        <w:widowControl w:val="0"/>
        <w:numPr>
          <w:ilvl w:val="0"/>
          <w:numId w:val="0"/>
        </w:numPr>
        <w:kinsoku/>
        <w:wordWrap/>
        <w:overflowPunct/>
        <w:topLinePunct w:val="0"/>
        <w:autoSpaceDE/>
        <w:autoSpaceDN/>
        <w:bidi w:val="0"/>
        <w:adjustRightInd/>
        <w:snapToGrid/>
        <w:spacing w:beforeLines="0"/>
        <w:ind w:firstLine="643" w:firstLineChars="200"/>
        <w:textAlignment w:val="auto"/>
        <w:rPr>
          <w:rFonts w:hint="default" w:ascii="仿宋" w:hAnsi="仿宋" w:eastAsia="仿宋" w:cs="仿宋"/>
          <w:sz w:val="32"/>
          <w:szCs w:val="28"/>
          <w:lang w:val="en-US" w:eastAsia="zh-CN"/>
        </w:rPr>
      </w:pPr>
      <w:r>
        <w:rPr>
          <w:rFonts w:hint="eastAsia" w:ascii="仿宋" w:hAnsi="仿宋" w:eastAsia="仿宋" w:cs="仿宋"/>
          <w:sz w:val="32"/>
          <w:szCs w:val="28"/>
          <w:lang w:val="en-US" w:eastAsia="zh-CN"/>
        </w:rPr>
        <w:t>4.风险防控措施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（1）酒精度不合格风险控制措施</w:t>
      </w:r>
    </w:p>
    <w:p>
      <w:pPr>
        <w:pStyle w:val="16"/>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1、酒精度</w:t>
      </w:r>
      <w:r>
        <w:rPr>
          <w:rFonts w:hint="eastAsia" w:ascii="仿宋_GB2312" w:hAnsi="仿宋_GB2312" w:eastAsia="仿宋_GB2312" w:cs="仿宋_GB2312"/>
          <w:sz w:val="32"/>
          <w:szCs w:val="32"/>
          <w:lang w:val="en-US" w:eastAsia="zh-CN"/>
        </w:rPr>
        <w:t>是白酒的重要理化指标之一，属于质量指标范畴。不合格</w:t>
      </w:r>
      <w:r>
        <w:rPr>
          <w:rFonts w:hint="eastAsia" w:ascii="仿宋_GB2312" w:hAnsi="仿宋_GB2312" w:eastAsia="仿宋_GB2312" w:cs="仿宋_GB2312"/>
          <w:sz w:val="32"/>
          <w:szCs w:val="32"/>
        </w:rPr>
        <w:t>产品主要来源于</w:t>
      </w:r>
      <w:r>
        <w:rPr>
          <w:rFonts w:hint="eastAsia" w:ascii="仿宋_GB2312" w:hAnsi="仿宋_GB2312" w:eastAsia="仿宋_GB2312" w:cs="仿宋_GB2312"/>
          <w:sz w:val="32"/>
          <w:szCs w:val="32"/>
          <w:lang w:val="en-US" w:eastAsia="zh-CN"/>
        </w:rPr>
        <w:t>我市本</w:t>
      </w:r>
      <w:r>
        <w:rPr>
          <w:rFonts w:hint="eastAsia" w:ascii="仿宋_GB2312" w:hAnsi="仿宋_GB2312" w:eastAsia="仿宋_GB2312" w:cs="仿宋_GB2312"/>
          <w:sz w:val="32"/>
          <w:szCs w:val="32"/>
        </w:rPr>
        <w:t>地小作坊，</w:t>
      </w:r>
      <w:r>
        <w:rPr>
          <w:rFonts w:hint="eastAsia" w:ascii="仿宋_GB2312" w:hAnsi="仿宋_GB2312" w:eastAsia="仿宋_GB2312" w:cs="仿宋_GB2312"/>
          <w:sz w:val="32"/>
          <w:szCs w:val="32"/>
          <w:lang w:val="en-US" w:eastAsia="zh-CN"/>
        </w:rPr>
        <w:t>说明我市酒类生产小作坊工艺</w:t>
      </w:r>
      <w:r>
        <w:rPr>
          <w:rFonts w:hint="eastAsia" w:ascii="仿宋_GB2312" w:hAnsi="仿宋_GB2312" w:eastAsia="仿宋_GB2312" w:cs="仿宋_GB2312"/>
          <w:sz w:val="32"/>
          <w:szCs w:val="32"/>
        </w:rPr>
        <w:t>技术差，出厂检验把关不严</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sz w:val="32"/>
          <w:szCs w:val="32"/>
        </w:rPr>
        <w:t>检验能力</w:t>
      </w:r>
      <w:r>
        <w:rPr>
          <w:rFonts w:hint="eastAsia" w:ascii="仿宋_GB2312" w:hAnsi="仿宋_GB2312" w:eastAsia="仿宋_GB2312" w:cs="仿宋_GB2312"/>
          <w:sz w:val="32"/>
          <w:szCs w:val="32"/>
          <w:lang w:val="en-US" w:eastAsia="zh-CN"/>
        </w:rPr>
        <w:t>不足</w:t>
      </w:r>
      <w:r>
        <w:rPr>
          <w:rFonts w:hint="eastAsia" w:ascii="仿宋_GB2312" w:hAnsi="仿宋_GB2312" w:eastAsia="仿宋_GB2312" w:cs="仿宋_GB2312"/>
          <w:sz w:val="32"/>
          <w:szCs w:val="32"/>
        </w:rPr>
        <w:t>，甚至缺少酒精度</w:t>
      </w:r>
      <w:r>
        <w:rPr>
          <w:rFonts w:hint="eastAsia" w:ascii="仿宋_GB2312" w:hAnsi="仿宋_GB2312" w:eastAsia="仿宋_GB2312" w:cs="仿宋_GB2312"/>
          <w:sz w:val="32"/>
          <w:szCs w:val="32"/>
          <w:lang w:val="en-US" w:eastAsia="zh-CN"/>
        </w:rPr>
        <w:t>必要的</w:t>
      </w:r>
      <w:r>
        <w:rPr>
          <w:rFonts w:hint="eastAsia" w:ascii="仿宋_GB2312" w:hAnsi="仿宋_GB2312" w:eastAsia="仿宋_GB2312" w:cs="仿宋_GB2312"/>
          <w:sz w:val="32"/>
          <w:szCs w:val="32"/>
        </w:rPr>
        <w:t>检验设备。</w:t>
      </w:r>
    </w:p>
    <w:p>
      <w:pPr>
        <w:pStyle w:val="16"/>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酒精度检测是酒类生产企业必备的生产能力，企业应具备</w:t>
      </w:r>
      <w:r>
        <w:rPr>
          <w:rFonts w:hint="eastAsia" w:ascii="仿宋_GB2312" w:hAnsi="仿宋_GB2312" w:eastAsia="仿宋_GB2312" w:cs="仿宋_GB2312"/>
          <w:sz w:val="32"/>
          <w:szCs w:val="32"/>
        </w:rPr>
        <w:t>必要的检验设备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如酒精计、温度计</w:t>
      </w:r>
      <w:r>
        <w:rPr>
          <w:rFonts w:hint="eastAsia" w:ascii="仿宋_GB2312" w:hAnsi="仿宋_GB2312" w:eastAsia="仿宋_GB2312" w:cs="仿宋_GB2312"/>
          <w:sz w:val="32"/>
          <w:szCs w:val="32"/>
          <w:lang w:val="en-US" w:eastAsia="zh-CN"/>
        </w:rPr>
        <w:t>和量筒</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不合格主要表现为偏离标签明示值±1.0%vol规定范围，企业</w:t>
      </w:r>
      <w:r>
        <w:rPr>
          <w:rFonts w:hint="eastAsia" w:ascii="仿宋_GB2312" w:hAnsi="仿宋_GB2312" w:eastAsia="仿宋_GB2312" w:cs="仿宋_GB2312"/>
          <w:sz w:val="32"/>
          <w:szCs w:val="32"/>
          <w:lang w:eastAsia="zh-CN"/>
        </w:rPr>
        <w:t>一定要</w:t>
      </w:r>
      <w:r>
        <w:rPr>
          <w:rFonts w:hint="eastAsia" w:ascii="仿宋_GB2312" w:hAnsi="仿宋_GB2312" w:eastAsia="仿宋_GB2312" w:cs="仿宋_GB2312"/>
          <w:sz w:val="32"/>
          <w:szCs w:val="32"/>
        </w:rPr>
        <w:t>落实主</w:t>
      </w:r>
      <w:r>
        <w:rPr>
          <w:rFonts w:hint="eastAsia" w:ascii="仿宋_GB2312" w:hAnsi="仿宋_GB2312" w:eastAsia="仿宋_GB2312" w:cs="仿宋_GB2312"/>
          <w:sz w:val="32"/>
          <w:szCs w:val="32"/>
          <w:lang w:val="en-US" w:eastAsia="zh-CN"/>
        </w:rPr>
        <w:t>体</w:t>
      </w:r>
      <w:r>
        <w:rPr>
          <w:rFonts w:hint="eastAsia" w:ascii="仿宋_GB2312" w:hAnsi="仿宋_GB2312" w:eastAsia="仿宋_GB2312" w:cs="仿宋_GB2312"/>
          <w:sz w:val="32"/>
          <w:szCs w:val="32"/>
        </w:rPr>
        <w:t>责任，</w:t>
      </w:r>
      <w:r>
        <w:rPr>
          <w:rFonts w:hint="eastAsia" w:ascii="仿宋_GB2312" w:hAnsi="仿宋_GB2312" w:eastAsia="仿宋_GB2312" w:cs="仿宋_GB2312"/>
          <w:sz w:val="32"/>
          <w:szCs w:val="32"/>
          <w:lang w:eastAsia="zh-CN"/>
        </w:rPr>
        <w:t>提高工艺水平，</w:t>
      </w:r>
      <w:r>
        <w:rPr>
          <w:rFonts w:hint="eastAsia" w:ascii="仿宋_GB2312" w:hAnsi="仿宋_GB2312" w:eastAsia="仿宋_GB2312" w:cs="仿宋_GB2312"/>
          <w:sz w:val="32"/>
          <w:szCs w:val="32"/>
        </w:rPr>
        <w:t>规范生产</w:t>
      </w:r>
      <w:r>
        <w:rPr>
          <w:rFonts w:hint="eastAsia" w:ascii="仿宋_GB2312" w:hAnsi="仿宋_GB2312" w:eastAsia="仿宋_GB2312" w:cs="仿宋_GB2312"/>
          <w:sz w:val="32"/>
          <w:szCs w:val="32"/>
          <w:lang w:val="en-US" w:eastAsia="zh-CN"/>
        </w:rPr>
        <w:t>过程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严把</w:t>
      </w:r>
      <w:r>
        <w:rPr>
          <w:rFonts w:hint="eastAsia" w:ascii="仿宋_GB2312" w:hAnsi="仿宋_GB2312" w:eastAsia="仿宋_GB2312" w:cs="仿宋_GB2312"/>
          <w:sz w:val="32"/>
          <w:szCs w:val="32"/>
        </w:rPr>
        <w:t>出厂检验</w:t>
      </w:r>
      <w:r>
        <w:rPr>
          <w:rFonts w:hint="eastAsia" w:ascii="仿宋_GB2312" w:hAnsi="仿宋_GB2312" w:eastAsia="仿宋_GB2312" w:cs="仿宋_GB2312"/>
          <w:sz w:val="32"/>
          <w:szCs w:val="32"/>
          <w:lang w:val="en-US" w:eastAsia="zh-CN"/>
        </w:rPr>
        <w:t>关</w:t>
      </w:r>
      <w:r>
        <w:rPr>
          <w:rFonts w:hint="eastAsia" w:ascii="仿宋_GB2312" w:hAnsi="仿宋_GB2312" w:eastAsia="仿宋_GB2312" w:cs="仿宋_GB2312"/>
          <w:sz w:val="32"/>
          <w:szCs w:val="32"/>
        </w:rPr>
        <w:t>。</w:t>
      </w:r>
    </w:p>
    <w:p>
      <w:pPr>
        <w:pStyle w:val="1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根据白酒标准中对型式检验的要求，</w:t>
      </w:r>
      <w:r>
        <w:rPr>
          <w:rFonts w:hint="eastAsia" w:ascii="仿宋_GB2312" w:hAnsi="仿宋_GB2312" w:eastAsia="仿宋_GB2312" w:cs="仿宋_GB2312"/>
          <w:sz w:val="32"/>
          <w:szCs w:val="32"/>
        </w:rPr>
        <w:t>企业</w:t>
      </w:r>
      <w:r>
        <w:rPr>
          <w:rFonts w:hint="eastAsia" w:ascii="仿宋_GB2312" w:hAnsi="仿宋_GB2312" w:eastAsia="仿宋_GB2312" w:cs="仿宋_GB2312"/>
          <w:sz w:val="32"/>
          <w:szCs w:val="32"/>
          <w:lang w:val="en-US" w:eastAsia="zh-CN"/>
        </w:rPr>
        <w:t>应</w:t>
      </w:r>
      <w:r>
        <w:rPr>
          <w:rFonts w:hint="eastAsia" w:ascii="仿宋_GB2312" w:hAnsi="仿宋_GB2312" w:eastAsia="仿宋_GB2312" w:cs="仿宋_GB2312"/>
          <w:sz w:val="32"/>
          <w:szCs w:val="32"/>
        </w:rPr>
        <w:t>每年</w:t>
      </w:r>
      <w:r>
        <w:rPr>
          <w:rFonts w:hint="eastAsia" w:ascii="仿宋_GB2312" w:hAnsi="仿宋_GB2312" w:eastAsia="仿宋_GB2312" w:cs="仿宋_GB2312"/>
          <w:sz w:val="32"/>
          <w:szCs w:val="32"/>
          <w:lang w:val="en-US" w:eastAsia="zh-CN"/>
        </w:rPr>
        <w:t>委托有资质的第三方检验机构，</w:t>
      </w:r>
      <w:r>
        <w:rPr>
          <w:rFonts w:hint="eastAsia" w:ascii="仿宋_GB2312" w:hAnsi="仿宋_GB2312" w:eastAsia="仿宋_GB2312" w:cs="仿宋_GB2312"/>
          <w:sz w:val="32"/>
          <w:szCs w:val="32"/>
        </w:rPr>
        <w:t>定期送检产品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同时</w:t>
      </w:r>
      <w:r>
        <w:rPr>
          <w:rFonts w:hint="eastAsia" w:ascii="仿宋_GB2312" w:hAnsi="仿宋_GB2312" w:eastAsia="仿宋_GB2312" w:cs="仿宋_GB2312"/>
          <w:sz w:val="32"/>
          <w:szCs w:val="32"/>
        </w:rPr>
        <w:t>做好酒精度的检验能力比对，切实</w:t>
      </w: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酒精度检验</w:t>
      </w:r>
      <w:r>
        <w:rPr>
          <w:rFonts w:hint="eastAsia" w:ascii="仿宋_GB2312" w:hAnsi="仿宋_GB2312" w:eastAsia="仿宋_GB2312" w:cs="仿宋_GB2312"/>
          <w:sz w:val="32"/>
          <w:szCs w:val="32"/>
          <w:lang w:val="en-US" w:eastAsia="zh-CN"/>
        </w:rPr>
        <w:t>能力，提高产品合格率</w:t>
      </w:r>
      <w:r>
        <w:rPr>
          <w:rFonts w:hint="eastAsia" w:ascii="仿宋_GB2312" w:hAnsi="仿宋_GB2312" w:eastAsia="仿宋_GB2312" w:cs="仿宋_GB2312"/>
          <w:sz w:val="32"/>
          <w:szCs w:val="32"/>
        </w:rPr>
        <w:t>。</w:t>
      </w:r>
    </w:p>
    <w:p>
      <w:pPr>
        <w:spacing w:line="60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（2）生物毒素问题风险控制措施</w:t>
      </w:r>
    </w:p>
    <w:p>
      <w:pPr>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、黄曲霉毒素</w:t>
      </w:r>
      <w:r>
        <w:rPr>
          <w:rFonts w:ascii="仿宋_GB2312" w:hAnsi="仿宋_GB2312" w:eastAsia="仿宋_GB2312" w:cs="仿宋_GB2312"/>
          <w:sz w:val="32"/>
          <w:szCs w:val="32"/>
        </w:rPr>
        <w:t>B</w:t>
      </w:r>
      <w:r>
        <w:rPr>
          <w:rFonts w:ascii="仿宋_GB2312" w:hAnsi="仿宋_GB2312" w:eastAsia="仿宋_GB2312" w:cs="仿宋_GB2312"/>
          <w:sz w:val="32"/>
          <w:szCs w:val="32"/>
          <w:vertAlign w:val="subscript"/>
        </w:rPr>
        <w:t>1</w:t>
      </w:r>
      <w:r>
        <w:rPr>
          <w:rFonts w:hint="eastAsia" w:ascii="仿宋_GB2312" w:hAnsi="仿宋_GB2312" w:eastAsia="仿宋_GB2312" w:cs="仿宋_GB2312"/>
          <w:sz w:val="32"/>
          <w:szCs w:val="32"/>
        </w:rPr>
        <w:t>不合格主要来源于外地生产的芝麻酱，建议</w:t>
      </w:r>
      <w:r>
        <w:rPr>
          <w:rFonts w:hint="eastAsia" w:ascii="仿宋_GB2312" w:hAnsi="仿宋_GB2312" w:eastAsia="仿宋_GB2312" w:cs="仿宋_GB2312"/>
          <w:sz w:val="32"/>
          <w:szCs w:val="32"/>
          <w:lang w:val="en-US" w:eastAsia="zh-CN"/>
        </w:rPr>
        <w:t>属地</w:t>
      </w:r>
      <w:r>
        <w:rPr>
          <w:rFonts w:hint="eastAsia" w:ascii="仿宋_GB2312" w:hAnsi="仿宋_GB2312" w:eastAsia="仿宋_GB2312" w:cs="仿宋_GB2312"/>
          <w:sz w:val="32"/>
          <w:szCs w:val="32"/>
        </w:rPr>
        <w:t>监管部门</w:t>
      </w:r>
      <w:r>
        <w:rPr>
          <w:rFonts w:hint="eastAsia" w:ascii="仿宋_GB2312" w:hAnsi="仿宋_GB2312" w:eastAsia="仿宋_GB2312" w:cs="仿宋_GB2312"/>
          <w:sz w:val="32"/>
          <w:szCs w:val="32"/>
          <w:lang w:val="en-US" w:eastAsia="zh-CN"/>
        </w:rPr>
        <w:t>加强监管，</w:t>
      </w:r>
      <w:r>
        <w:rPr>
          <w:rFonts w:ascii="仿宋_GB2312" w:hAnsi="仿宋_GB2312" w:eastAsia="仿宋_GB2312" w:cs="仿宋_GB2312"/>
          <w:sz w:val="32"/>
          <w:szCs w:val="32"/>
        </w:rPr>
        <w:t>严格落实食品生产企业主体责任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严把出厂检验关，将不安全风险控制在生产环节</w:t>
      </w:r>
      <w:r>
        <w:rPr>
          <w:rFonts w:ascii="仿宋_GB2312" w:hAnsi="仿宋_GB2312" w:eastAsia="仿宋_GB2312" w:cs="仿宋_GB2312"/>
          <w:sz w:val="32"/>
          <w:szCs w:val="32"/>
        </w:rPr>
        <w:t>。</w:t>
      </w:r>
    </w:p>
    <w:p>
      <w:pPr>
        <w:pageBreakBefore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、在流通环节，</w:t>
      </w:r>
      <w:r>
        <w:rPr>
          <w:rFonts w:hint="eastAsia" w:ascii="仿宋_GB2312" w:hAnsi="仿宋_GB2312" w:eastAsia="仿宋_GB2312" w:cs="仿宋_GB2312"/>
          <w:sz w:val="32"/>
          <w:szCs w:val="32"/>
          <w:lang w:val="en-US" w:eastAsia="zh-CN"/>
        </w:rPr>
        <w:t>经营企业应</w:t>
      </w:r>
      <w:r>
        <w:rPr>
          <w:rFonts w:ascii="仿宋_GB2312" w:hAnsi="仿宋_GB2312" w:eastAsia="仿宋_GB2312" w:cs="仿宋_GB2312"/>
          <w:sz w:val="32"/>
          <w:szCs w:val="32"/>
        </w:rPr>
        <w:t>切实</w:t>
      </w:r>
      <w:r>
        <w:rPr>
          <w:rFonts w:hint="eastAsia" w:ascii="仿宋_GB2312" w:hAnsi="仿宋_GB2312" w:eastAsia="仿宋_GB2312" w:cs="仿宋_GB2312"/>
          <w:sz w:val="32"/>
          <w:szCs w:val="32"/>
          <w:lang w:val="en-US" w:eastAsia="zh-CN"/>
        </w:rPr>
        <w:t>履行进货查验义务，</w:t>
      </w:r>
      <w:r>
        <w:rPr>
          <w:rFonts w:ascii="仿宋_GB2312" w:hAnsi="仿宋_GB2312" w:eastAsia="仿宋_GB2312" w:cs="仿宋_GB2312"/>
          <w:sz w:val="32"/>
          <w:szCs w:val="32"/>
        </w:rPr>
        <w:t>把好</w:t>
      </w:r>
      <w:r>
        <w:rPr>
          <w:rFonts w:hint="eastAsia" w:ascii="仿宋_GB2312" w:hAnsi="仿宋_GB2312" w:eastAsia="仿宋_GB2312" w:cs="仿宋_GB2312"/>
          <w:sz w:val="32"/>
          <w:szCs w:val="32"/>
          <w:lang w:val="en-US" w:eastAsia="zh-CN"/>
        </w:rPr>
        <w:t>产品进货</w:t>
      </w:r>
      <w:r>
        <w:rPr>
          <w:rFonts w:ascii="仿宋_GB2312" w:hAnsi="仿宋_GB2312" w:eastAsia="仿宋_GB2312" w:cs="仿宋_GB2312"/>
          <w:sz w:val="32"/>
          <w:szCs w:val="32"/>
        </w:rPr>
        <w:t>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落实索证索票制度，</w:t>
      </w:r>
      <w:r>
        <w:rPr>
          <w:rFonts w:hint="eastAsia" w:ascii="仿宋_GB2312" w:hAnsi="仿宋_GB2312" w:eastAsia="仿宋_GB2312" w:cs="仿宋_GB2312"/>
          <w:sz w:val="32"/>
          <w:szCs w:val="32"/>
        </w:rPr>
        <w:t>特别是</w:t>
      </w:r>
      <w:r>
        <w:rPr>
          <w:rFonts w:hint="eastAsia" w:ascii="仿宋_GB2312" w:hAnsi="仿宋_GB2312" w:eastAsia="仿宋_GB2312" w:cs="仿宋_GB2312"/>
          <w:sz w:val="32"/>
          <w:szCs w:val="32"/>
          <w:lang w:val="en-US" w:eastAsia="zh-CN"/>
        </w:rPr>
        <w:t>针对高风险食品，如芝麻酱中真菌毒素超标风险，严查</w:t>
      </w:r>
      <w:r>
        <w:rPr>
          <w:rFonts w:hint="eastAsia" w:ascii="仿宋_GB2312" w:hAnsi="仿宋_GB2312" w:eastAsia="仿宋_GB2312" w:cs="仿宋_GB2312"/>
          <w:sz w:val="32"/>
          <w:szCs w:val="32"/>
        </w:rPr>
        <w:t>产品</w:t>
      </w:r>
      <w:r>
        <w:rPr>
          <w:rFonts w:hint="eastAsia" w:ascii="仿宋_GB2312" w:hAnsi="仿宋_GB2312" w:eastAsia="仿宋_GB2312" w:cs="仿宋_GB2312"/>
          <w:sz w:val="32"/>
          <w:szCs w:val="32"/>
          <w:lang w:val="en-US" w:eastAsia="zh-CN"/>
        </w:rPr>
        <w:t>出厂</w:t>
      </w:r>
      <w:r>
        <w:rPr>
          <w:rFonts w:hint="eastAsia" w:ascii="仿宋_GB2312" w:hAnsi="仿宋_GB2312" w:eastAsia="仿宋_GB2312" w:cs="仿宋_GB2312"/>
          <w:sz w:val="32"/>
          <w:szCs w:val="32"/>
        </w:rPr>
        <w:t>检验报告。</w:t>
      </w:r>
    </w:p>
    <w:p>
      <w:pPr>
        <w:pageBreakBefore w:val="0"/>
        <w:kinsoku/>
        <w:wordWrap/>
        <w:overflowPunct/>
        <w:topLinePunct w:val="0"/>
        <w:autoSpaceDE/>
        <w:autoSpaceDN/>
        <w:bidi w:val="0"/>
        <w:adjustRightInd/>
        <w:snapToGrid/>
        <w:ind w:firstLine="640" w:firstLineChars="200"/>
        <w:textAlignment w:val="auto"/>
        <w:rPr>
          <w:rFonts w:ascii="仿宋_GB2312" w:hAnsi="仿宋_GB2312" w:eastAsia="仿宋_GB2312" w:cs="仿宋_GB2312"/>
          <w:color w:val="000000"/>
          <w:kern w:val="0"/>
          <w:sz w:val="32"/>
          <w:szCs w:val="32"/>
          <w:lang w:bidi="ar"/>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企业生产经营过程中，应</w:t>
      </w:r>
      <w:r>
        <w:rPr>
          <w:rFonts w:hint="eastAsia" w:ascii="仿宋_GB2312" w:hAnsi="仿宋_GB2312" w:eastAsia="仿宋_GB2312" w:cs="仿宋_GB2312"/>
          <w:sz w:val="32"/>
          <w:szCs w:val="32"/>
        </w:rPr>
        <w:t>建立良好</w:t>
      </w:r>
      <w:r>
        <w:rPr>
          <w:rFonts w:hint="eastAsia" w:ascii="仿宋_GB2312" w:hAnsi="仿宋_GB2312" w:eastAsia="仿宋_GB2312" w:cs="仿宋_GB2312"/>
          <w:sz w:val="32"/>
          <w:szCs w:val="32"/>
          <w:lang w:val="en-US" w:eastAsia="zh-CN"/>
        </w:rPr>
        <w:t>运输</w:t>
      </w:r>
      <w:r>
        <w:rPr>
          <w:rFonts w:hint="eastAsia" w:ascii="仿宋_GB2312" w:hAnsi="仿宋_GB2312" w:eastAsia="仿宋_GB2312" w:cs="仿宋_GB2312"/>
          <w:sz w:val="32"/>
          <w:szCs w:val="32"/>
        </w:rPr>
        <w:t>和</w:t>
      </w:r>
      <w:r>
        <w:rPr>
          <w:rFonts w:hint="eastAsia" w:ascii="仿宋_GB2312" w:hAnsi="仿宋_GB2312" w:eastAsia="仿宋_GB2312" w:cs="仿宋_GB2312"/>
          <w:color w:val="000000"/>
          <w:kern w:val="0"/>
          <w:sz w:val="32"/>
          <w:szCs w:val="32"/>
          <w:lang w:bidi="ar"/>
        </w:rPr>
        <w:t>储存</w:t>
      </w:r>
      <w:r>
        <w:rPr>
          <w:rFonts w:hint="eastAsia" w:ascii="仿宋_GB2312" w:hAnsi="仿宋_GB2312" w:eastAsia="仿宋_GB2312" w:cs="仿宋_GB2312"/>
          <w:color w:val="000000"/>
          <w:kern w:val="0"/>
          <w:sz w:val="32"/>
          <w:szCs w:val="32"/>
          <w:lang w:val="en-US" w:eastAsia="zh-CN" w:bidi="ar"/>
        </w:rPr>
        <w:t>管理制度，确保</w:t>
      </w:r>
      <w:r>
        <w:rPr>
          <w:rFonts w:hint="eastAsia" w:ascii="仿宋_GB2312" w:hAnsi="仿宋_GB2312" w:eastAsia="仿宋_GB2312" w:cs="仿宋_GB2312"/>
          <w:color w:val="000000"/>
          <w:kern w:val="0"/>
          <w:sz w:val="32"/>
          <w:szCs w:val="32"/>
          <w:lang w:bidi="ar"/>
        </w:rPr>
        <w:t>温度、湿度等</w:t>
      </w:r>
      <w:r>
        <w:rPr>
          <w:rFonts w:hint="eastAsia" w:ascii="仿宋_GB2312" w:hAnsi="仿宋_GB2312" w:eastAsia="仿宋_GB2312" w:cs="仿宋_GB2312"/>
          <w:color w:val="000000"/>
          <w:kern w:val="0"/>
          <w:sz w:val="32"/>
          <w:szCs w:val="32"/>
          <w:lang w:val="en-US" w:eastAsia="zh-CN" w:bidi="ar"/>
        </w:rPr>
        <w:t>外围贮存因素的影响</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sz w:val="32"/>
          <w:szCs w:val="32"/>
        </w:rPr>
        <w:t>减少污染风险。</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楷体" w:hAnsi="楷体" w:eastAsia="楷体" w:cs="楷体"/>
          <w:sz w:val="32"/>
          <w:szCs w:val="32"/>
          <w:lang w:eastAsia="zh-CN"/>
        </w:rPr>
      </w:pPr>
      <w:bookmarkStart w:id="20" w:name="_Toc4883"/>
      <w:r>
        <w:rPr>
          <w:rFonts w:hint="eastAsia" w:ascii="楷体" w:hAnsi="楷体" w:eastAsia="楷体" w:cs="楷体"/>
          <w:sz w:val="32"/>
          <w:szCs w:val="32"/>
          <w:lang w:eastAsia="zh-CN"/>
        </w:rPr>
        <w:fldChar w:fldCharType="begin"/>
      </w:r>
      <w:r>
        <w:rPr>
          <w:rFonts w:hint="eastAsia" w:ascii="楷体" w:hAnsi="楷体" w:eastAsia="楷体" w:cs="楷体"/>
          <w:sz w:val="32"/>
          <w:szCs w:val="32"/>
          <w:lang w:eastAsia="zh-CN"/>
        </w:rPr>
        <w:instrText xml:space="preserve"> HYPERLINK \l "_Toc25525" </w:instrText>
      </w:r>
      <w:r>
        <w:rPr>
          <w:rFonts w:hint="eastAsia" w:ascii="楷体" w:hAnsi="楷体" w:eastAsia="楷体" w:cs="楷体"/>
          <w:sz w:val="32"/>
          <w:szCs w:val="32"/>
          <w:lang w:eastAsia="zh-CN"/>
        </w:rPr>
        <w:fldChar w:fldCharType="separate"/>
      </w:r>
      <w:r>
        <w:rPr>
          <w:rFonts w:hint="eastAsia" w:ascii="楷体" w:hAnsi="楷体" w:eastAsia="楷体" w:cs="楷体"/>
          <w:sz w:val="32"/>
          <w:szCs w:val="32"/>
          <w:lang w:eastAsia="zh-CN"/>
        </w:rPr>
        <w:t>（二）食用农产品监督抽检结果分析</w:t>
      </w:r>
      <w:r>
        <w:rPr>
          <w:rFonts w:hint="eastAsia" w:ascii="楷体" w:hAnsi="楷体" w:eastAsia="楷体" w:cs="楷体"/>
          <w:sz w:val="32"/>
          <w:szCs w:val="32"/>
          <w:lang w:eastAsia="zh-CN"/>
        </w:rPr>
        <w:fldChar w:fldCharType="end"/>
      </w:r>
      <w:bookmarkEnd w:id="20"/>
      <w:bookmarkStart w:id="21" w:name="_Toc26899"/>
    </w:p>
    <w:p>
      <w:pPr>
        <w:keepNext w:val="0"/>
        <w:keepLines w:val="0"/>
        <w:pageBreakBefore w:val="0"/>
        <w:widowControl w:val="0"/>
        <w:numPr>
          <w:ilvl w:val="0"/>
          <w:numId w:val="0"/>
        </w:numPr>
        <w:kinsoku/>
        <w:wordWrap/>
        <w:overflowPunct/>
        <w:topLinePunct w:val="0"/>
        <w:autoSpaceDE/>
        <w:autoSpaceDN/>
        <w:bidi w:val="0"/>
        <w:adjustRightInd/>
        <w:snapToGrid/>
        <w:ind w:firstLine="630" w:firstLineChars="300"/>
        <w:jc w:val="left"/>
        <w:textAlignment w:val="auto"/>
        <w:rPr>
          <w:rFonts w:hint="eastAsia" w:ascii="仿宋" w:hAnsi="仿宋" w:eastAsia="仿宋"/>
          <w:sz w:val="32"/>
        </w:rPr>
      </w:pPr>
      <w:r>
        <w:fldChar w:fldCharType="begin"/>
      </w:r>
      <w:r>
        <w:instrText xml:space="preserve"> HYPERLINK \l "_Toc14374" </w:instrText>
      </w:r>
      <w:r>
        <w:fldChar w:fldCharType="separate"/>
      </w:r>
      <w:r>
        <w:rPr>
          <w:rFonts w:hint="eastAsia" w:ascii="仿宋" w:hAnsi="仿宋" w:eastAsia="仿宋" w:cs="仿宋"/>
          <w:b/>
          <w:bCs/>
          <w:sz w:val="32"/>
          <w:szCs w:val="28"/>
          <w:lang w:val="en-US" w:eastAsia="zh-CN"/>
        </w:rPr>
        <w:t>1.</w:t>
      </w:r>
      <w:bookmarkEnd w:id="21"/>
      <w:r>
        <w:rPr>
          <w:rFonts w:hint="eastAsia" w:ascii="仿宋" w:hAnsi="仿宋" w:eastAsia="仿宋" w:cs="仿宋"/>
          <w:b/>
          <w:bCs/>
          <w:sz w:val="32"/>
          <w:szCs w:val="28"/>
          <w:lang w:val="en-US" w:eastAsia="zh-CN"/>
        </w:rPr>
        <w:t>不合格产品情况</w:t>
      </w:r>
      <w:r>
        <w:rPr>
          <w:rFonts w:hint="eastAsia" w:ascii="仿宋" w:hAnsi="仿宋" w:eastAsia="仿宋"/>
          <w:sz w:val="32"/>
        </w:rPr>
        <w:fldChar w:fldCharType="end"/>
      </w:r>
    </w:p>
    <w:p>
      <w:pPr>
        <w:ind w:firstLine="640" w:firstLineChars="200"/>
        <w:rPr>
          <w:rFonts w:hint="eastAsia" w:ascii="仿宋_GB2312" w:eastAsia="仿宋_GB2312"/>
          <w:color w:val="000000"/>
          <w:sz w:val="32"/>
          <w:szCs w:val="32"/>
        </w:rPr>
      </w:pPr>
      <w:r>
        <w:rPr>
          <w:rFonts w:hint="default" w:ascii="Times New Roman" w:hAnsi="Times New Roman" w:eastAsia="仿宋_GB2312" w:cs="Times New Roman"/>
          <w:color w:val="000000"/>
          <w:sz w:val="32"/>
          <w:szCs w:val="32"/>
          <w:lang w:val="en-US" w:eastAsia="zh-CN"/>
        </w:rPr>
        <w:t>本次</w:t>
      </w:r>
      <w:r>
        <w:rPr>
          <w:rFonts w:hint="eastAsia" w:ascii="Times New Roman" w:hAnsi="Times New Roman" w:eastAsia="仿宋_GB2312" w:cs="Times New Roman"/>
          <w:color w:val="000000"/>
          <w:sz w:val="32"/>
          <w:szCs w:val="32"/>
          <w:lang w:val="en-US" w:eastAsia="zh-CN"/>
        </w:rPr>
        <w:t>监督</w:t>
      </w:r>
      <w:r>
        <w:rPr>
          <w:rFonts w:hint="default" w:ascii="Times New Roman" w:hAnsi="Times New Roman" w:eastAsia="仿宋_GB2312" w:cs="Times New Roman"/>
          <w:color w:val="000000"/>
          <w:sz w:val="32"/>
          <w:szCs w:val="32"/>
          <w:lang w:val="en-US" w:eastAsia="zh-CN"/>
        </w:rPr>
        <w:t>抽检的食用农产品</w:t>
      </w:r>
      <w:r>
        <w:rPr>
          <w:rFonts w:hint="default" w:ascii="Times New Roman" w:hAnsi="Times New Roman" w:eastAsia="仿宋_GB2312" w:cs="Times New Roman"/>
          <w:color w:val="000000"/>
          <w:sz w:val="32"/>
          <w:szCs w:val="32"/>
        </w:rPr>
        <w:t>不合格主要问题是</w:t>
      </w:r>
      <w:r>
        <w:rPr>
          <w:rFonts w:hint="default" w:ascii="Times New Roman" w:hAnsi="Times New Roman" w:eastAsia="仿宋_GB2312" w:cs="Times New Roman"/>
          <w:color w:val="000000"/>
          <w:sz w:val="32"/>
          <w:szCs w:val="32"/>
          <w:lang w:val="en-US" w:eastAsia="zh-CN"/>
        </w:rPr>
        <w:t>农药残留超标</w:t>
      </w:r>
      <w:r>
        <w:rPr>
          <w:rFonts w:hint="default" w:ascii="Times New Roman" w:hAnsi="Times New Roman" w:eastAsia="仿宋_GB2312" w:cs="Times New Roman"/>
          <w:color w:val="000000"/>
          <w:sz w:val="32"/>
          <w:szCs w:val="32"/>
        </w:rPr>
        <w:t>。</w:t>
      </w:r>
    </w:p>
    <w:p>
      <w:pPr>
        <w:pStyle w:val="2"/>
        <w:keepNext w:val="0"/>
        <w:keepLines w:val="0"/>
        <w:pageBreakBefore w:val="0"/>
        <w:widowControl w:val="0"/>
        <w:kinsoku/>
        <w:wordWrap/>
        <w:overflowPunct/>
        <w:topLinePunct w:val="0"/>
        <w:autoSpaceDE/>
        <w:autoSpaceDN/>
        <w:bidi w:val="0"/>
        <w:adjustRightInd/>
        <w:snapToGrid/>
        <w:spacing w:before="157" w:beforeLines="50" w:after="0"/>
        <w:jc w:val="center"/>
        <w:textAlignment w:val="auto"/>
        <w:rPr>
          <w:rFonts w:hint="default" w:ascii="仿宋" w:hAnsi="仿宋" w:eastAsia="仿宋" w:cs="仿宋"/>
          <w:color w:val="000000"/>
          <w:sz w:val="24"/>
          <w:lang w:val="en-US" w:eastAsia="zh-CN"/>
        </w:rPr>
      </w:pPr>
      <w:r>
        <w:rPr>
          <w:rFonts w:hint="eastAsia" w:asciiTheme="majorEastAsia" w:hAnsiTheme="majorEastAsia" w:eastAsiaTheme="majorEastAsia" w:cstheme="majorEastAsia"/>
          <w:b/>
          <w:kern w:val="2"/>
          <w:sz w:val="22"/>
          <w:szCs w:val="22"/>
        </w:rPr>
        <w:t>表</w:t>
      </w:r>
      <w:r>
        <w:rPr>
          <w:rFonts w:hint="eastAsia" w:asciiTheme="majorEastAsia" w:hAnsiTheme="majorEastAsia" w:eastAsiaTheme="majorEastAsia" w:cstheme="majorEastAsia"/>
          <w:b/>
          <w:kern w:val="2"/>
          <w:sz w:val="22"/>
          <w:szCs w:val="22"/>
          <w:lang w:val="en-US" w:eastAsia="zh-CN"/>
        </w:rPr>
        <w:t>9 食用农产品</w:t>
      </w:r>
      <w:r>
        <w:rPr>
          <w:rFonts w:hint="eastAsia" w:asciiTheme="majorEastAsia" w:hAnsiTheme="majorEastAsia" w:eastAsiaTheme="majorEastAsia" w:cstheme="majorEastAsia"/>
          <w:b/>
          <w:kern w:val="2"/>
          <w:sz w:val="22"/>
          <w:szCs w:val="22"/>
        </w:rPr>
        <w:t>抽检不合格情况</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66"/>
        <w:gridCol w:w="1545"/>
        <w:gridCol w:w="4125"/>
        <w:gridCol w:w="11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ascii="仿宋" w:hAnsi="仿宋" w:eastAsia="仿宋" w:cs="仿宋"/>
                <w:i w:val="0"/>
                <w:iCs w:val="0"/>
                <w:color w:val="FFFFFF"/>
                <w:sz w:val="24"/>
                <w:szCs w:val="24"/>
                <w:u w:val="none"/>
              </w:rPr>
            </w:pPr>
            <w:r>
              <w:rPr>
                <w:rFonts w:hint="eastAsia" w:ascii="仿宋" w:hAnsi="仿宋" w:eastAsia="仿宋" w:cs="仿宋"/>
                <w:i w:val="0"/>
                <w:iCs w:val="0"/>
                <w:color w:val="FFFFFF"/>
                <w:kern w:val="0"/>
                <w:sz w:val="24"/>
                <w:szCs w:val="24"/>
                <w:u w:val="none"/>
                <w:lang w:val="en-US" w:eastAsia="zh-CN" w:bidi="ar"/>
              </w:rPr>
              <w:t>不合格品种</w:t>
            </w:r>
          </w:p>
        </w:tc>
        <w:tc>
          <w:tcPr>
            <w:tcW w:w="1545"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 w:hAnsi="仿宋" w:eastAsia="仿宋" w:cs="仿宋"/>
                <w:i w:val="0"/>
                <w:iCs w:val="0"/>
                <w:color w:val="FFFFFF"/>
                <w:sz w:val="24"/>
                <w:szCs w:val="24"/>
                <w:u w:val="none"/>
              </w:rPr>
            </w:pPr>
            <w:r>
              <w:rPr>
                <w:rFonts w:hint="eastAsia" w:ascii="仿宋" w:hAnsi="仿宋" w:eastAsia="仿宋" w:cs="仿宋"/>
                <w:i w:val="0"/>
                <w:iCs w:val="0"/>
                <w:color w:val="FFFFFF"/>
                <w:kern w:val="0"/>
                <w:sz w:val="24"/>
                <w:szCs w:val="24"/>
                <w:u w:val="none"/>
                <w:lang w:val="en-US" w:eastAsia="zh-CN" w:bidi="ar"/>
              </w:rPr>
              <w:t>不合格数量（批次）</w:t>
            </w:r>
          </w:p>
        </w:tc>
        <w:tc>
          <w:tcPr>
            <w:tcW w:w="4125"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 w:hAnsi="仿宋" w:eastAsia="仿宋" w:cs="仿宋"/>
                <w:i w:val="0"/>
                <w:iCs w:val="0"/>
                <w:color w:val="FFFFFF"/>
                <w:sz w:val="24"/>
                <w:szCs w:val="24"/>
                <w:u w:val="none"/>
              </w:rPr>
            </w:pPr>
            <w:r>
              <w:rPr>
                <w:rFonts w:hint="eastAsia" w:ascii="仿宋" w:hAnsi="仿宋" w:eastAsia="仿宋" w:cs="仿宋"/>
                <w:i w:val="0"/>
                <w:iCs w:val="0"/>
                <w:color w:val="FFFFFF"/>
                <w:kern w:val="0"/>
                <w:sz w:val="24"/>
                <w:szCs w:val="24"/>
                <w:u w:val="none"/>
                <w:lang w:val="en-US" w:eastAsia="zh-CN" w:bidi="ar"/>
              </w:rPr>
              <w:t>不合格项目</w:t>
            </w:r>
          </w:p>
        </w:tc>
        <w:tc>
          <w:tcPr>
            <w:tcW w:w="1193" w:type="dxa"/>
            <w:tcBorders>
              <w:top w:val="single" w:color="000000" w:sz="4" w:space="0"/>
              <w:left w:val="single" w:color="000000" w:sz="4" w:space="0"/>
              <w:bottom w:val="single" w:color="000000" w:sz="4" w:space="0"/>
              <w:right w:val="single" w:color="000000" w:sz="4" w:space="0"/>
            </w:tcBorders>
            <w:shd w:val="clear" w:color="auto" w:fill="4F81BD"/>
            <w:vAlign w:val="center"/>
          </w:tcPr>
          <w:p>
            <w:pPr>
              <w:keepNext w:val="0"/>
              <w:keepLines w:val="0"/>
              <w:widowControl/>
              <w:suppressLineNumbers w:val="0"/>
              <w:jc w:val="center"/>
              <w:textAlignment w:val="center"/>
              <w:rPr>
                <w:rFonts w:hint="eastAsia" w:ascii="仿宋" w:hAnsi="仿宋" w:eastAsia="仿宋" w:cs="仿宋"/>
                <w:i w:val="0"/>
                <w:iCs w:val="0"/>
                <w:color w:val="FFFFFF"/>
                <w:sz w:val="24"/>
                <w:szCs w:val="24"/>
                <w:u w:val="none"/>
              </w:rPr>
            </w:pPr>
            <w:r>
              <w:rPr>
                <w:rFonts w:hint="eastAsia" w:ascii="仿宋" w:hAnsi="仿宋" w:eastAsia="仿宋" w:cs="仿宋"/>
                <w:i w:val="0"/>
                <w:iCs w:val="0"/>
                <w:color w:val="FFFFFF"/>
                <w:kern w:val="0"/>
                <w:sz w:val="24"/>
                <w:szCs w:val="24"/>
                <w:u w:val="none"/>
                <w:lang w:val="en-US" w:eastAsia="zh-CN" w:bidi="ar"/>
              </w:rPr>
              <w:t>检出不合格次数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芹菜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3</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甲拌磷</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韭菜</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14</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腐霉利</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氯氰菊酯和高效氯氰菊酯</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豆芽</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4-氯苯氧乙酸钠(以4-氯苯氧乙酸计)</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default" w:ascii="仿宋" w:hAnsi="仿宋" w:eastAsia="仿宋" w:cs="仿宋"/>
                <w:color w:val="000000"/>
                <w:sz w:val="24"/>
                <w:lang w:val="en-US" w:eastAsia="zh-CN"/>
              </w:rPr>
              <w:t>上海青</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水胺硫磷</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default" w:ascii="仿宋" w:hAnsi="仿宋" w:eastAsia="仿宋" w:cs="仿宋"/>
                <w:color w:val="000000"/>
                <w:sz w:val="24"/>
                <w:lang w:val="en-US" w:eastAsia="zh-CN"/>
              </w:rPr>
              <w:t>小油菜</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甲胺磷</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r>
    </w:tbl>
    <w:p>
      <w:pPr>
        <w:pStyle w:val="6"/>
        <w:keepNext/>
        <w:keepLines/>
        <w:pageBreakBefore w:val="0"/>
        <w:widowControl w:val="0"/>
        <w:kinsoku/>
        <w:wordWrap/>
        <w:overflowPunct/>
        <w:topLinePunct w:val="0"/>
        <w:autoSpaceDE/>
        <w:autoSpaceDN/>
        <w:bidi w:val="0"/>
        <w:adjustRightInd/>
        <w:snapToGrid/>
        <w:spacing w:before="157" w:beforeLines="50"/>
        <w:ind w:firstLine="643" w:firstLineChars="200"/>
        <w:textAlignment w:val="auto"/>
        <w:rPr>
          <w:rFonts w:hint="eastAsia" w:ascii="仿宋" w:hAnsi="仿宋" w:eastAsia="仿宋" w:cs="仿宋"/>
          <w:b/>
          <w:bCs/>
          <w:kern w:val="2"/>
          <w:sz w:val="32"/>
          <w:szCs w:val="28"/>
          <w:lang w:val="en-US" w:eastAsia="zh-CN" w:bidi="ar-SA"/>
        </w:rPr>
      </w:pPr>
      <w:r>
        <w:rPr>
          <w:rFonts w:hint="eastAsia" w:ascii="仿宋" w:hAnsi="仿宋" w:eastAsia="仿宋" w:cs="仿宋"/>
          <w:b/>
          <w:bCs/>
          <w:kern w:val="2"/>
          <w:sz w:val="32"/>
          <w:szCs w:val="28"/>
          <w:lang w:val="en-US" w:eastAsia="zh-CN" w:bidi="ar-SA"/>
        </w:rPr>
        <w:t>2.</w:t>
      </w:r>
      <w:r>
        <w:rPr>
          <w:rFonts w:hint="eastAsia" w:ascii="仿宋" w:hAnsi="仿宋" w:eastAsia="仿宋" w:cs="仿宋"/>
          <w:b/>
          <w:bCs/>
          <w:kern w:val="2"/>
          <w:sz w:val="32"/>
          <w:szCs w:val="28"/>
          <w:lang w:val="en-US" w:eastAsia="zh-CN" w:bidi="ar-SA"/>
        </w:rPr>
        <w:fldChar w:fldCharType="begin"/>
      </w:r>
      <w:r>
        <w:rPr>
          <w:rFonts w:hint="eastAsia" w:ascii="仿宋" w:hAnsi="仿宋" w:eastAsia="仿宋" w:cs="仿宋"/>
          <w:b/>
          <w:bCs/>
          <w:kern w:val="2"/>
          <w:sz w:val="32"/>
          <w:szCs w:val="28"/>
          <w:lang w:val="en-US" w:eastAsia="zh-CN" w:bidi="ar-SA"/>
        </w:rPr>
        <w:instrText xml:space="preserve"> HYPERLINK \l "_Toc20027" </w:instrText>
      </w:r>
      <w:r>
        <w:rPr>
          <w:rFonts w:hint="eastAsia" w:ascii="仿宋" w:hAnsi="仿宋" w:eastAsia="仿宋" w:cs="仿宋"/>
          <w:b/>
          <w:bCs/>
          <w:kern w:val="2"/>
          <w:sz w:val="32"/>
          <w:szCs w:val="28"/>
          <w:lang w:val="en-US" w:eastAsia="zh-CN" w:bidi="ar-SA"/>
        </w:rPr>
        <w:fldChar w:fldCharType="separate"/>
      </w:r>
      <w:r>
        <w:rPr>
          <w:rFonts w:hint="eastAsia" w:ascii="仿宋" w:hAnsi="仿宋" w:eastAsia="仿宋" w:cs="仿宋"/>
          <w:b/>
          <w:bCs/>
          <w:kern w:val="2"/>
          <w:sz w:val="32"/>
          <w:szCs w:val="28"/>
          <w:lang w:val="en-US" w:eastAsia="zh-CN" w:bidi="ar-SA"/>
        </w:rPr>
        <w:t>不合格品种分析</w:t>
      </w:r>
      <w:r>
        <w:rPr>
          <w:rFonts w:hint="eastAsia" w:ascii="仿宋" w:hAnsi="仿宋" w:eastAsia="仿宋" w:cs="仿宋"/>
          <w:b/>
          <w:bCs/>
          <w:kern w:val="2"/>
          <w:sz w:val="32"/>
          <w:szCs w:val="28"/>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57" w:rightChars="0" w:firstLine="640" w:firstLineChars="200"/>
        <w:jc w:val="both"/>
        <w:textAlignment w:val="auto"/>
        <w:rPr>
          <w:rFonts w:hint="eastAsia" w:ascii="仿宋_GB2312" w:eastAsia="仿宋_GB2312"/>
          <w:color w:val="000000"/>
          <w:sz w:val="32"/>
          <w:szCs w:val="32"/>
          <w:lang w:val="en-US" w:eastAsia="zh-CN"/>
        </w:rPr>
      </w:pPr>
      <w:r>
        <w:rPr>
          <w:rFonts w:hint="eastAsia" w:ascii="仿宋" w:hAnsi="仿宋" w:eastAsia="仿宋" w:cs="仿宋"/>
          <w:color w:val="000000"/>
          <w:sz w:val="32"/>
          <w:szCs w:val="32"/>
          <w:lang w:val="en-US" w:eastAsia="zh-CN"/>
        </w:rPr>
        <w:t>本次食用农产品检出</w:t>
      </w:r>
      <w:r>
        <w:rPr>
          <w:rFonts w:hint="eastAsia" w:ascii="仿宋" w:hAnsi="仿宋" w:eastAsia="仿宋" w:cs="仿宋"/>
          <w:color w:val="auto"/>
          <w:sz w:val="32"/>
          <w:szCs w:val="32"/>
          <w:shd w:val="clear"/>
          <w:lang w:val="en-US" w:eastAsia="zh-CN"/>
        </w:rPr>
        <w:t>20</w:t>
      </w:r>
      <w:r>
        <w:rPr>
          <w:rFonts w:hint="eastAsia" w:ascii="仿宋" w:hAnsi="仿宋" w:eastAsia="仿宋" w:cs="仿宋"/>
          <w:color w:val="000000"/>
          <w:sz w:val="32"/>
          <w:szCs w:val="32"/>
          <w:lang w:val="en-US" w:eastAsia="zh-CN"/>
        </w:rPr>
        <w:t>批次不合格，其中韭菜14批次、芹菜3批次、绿豆芽1批次、上海青1批次、小油菜1批次。韭菜</w:t>
      </w:r>
      <w:r>
        <w:rPr>
          <w:rFonts w:hint="eastAsia" w:ascii="仿宋" w:hAnsi="仿宋" w:eastAsia="仿宋" w:cs="仿宋"/>
          <w:color w:val="000000"/>
          <w:sz w:val="32"/>
          <w:szCs w:val="32"/>
        </w:rPr>
        <w:t>中</w:t>
      </w:r>
      <w:r>
        <w:rPr>
          <w:rFonts w:hint="eastAsia" w:ascii="仿宋" w:hAnsi="仿宋" w:eastAsia="仿宋" w:cs="仿宋"/>
          <w:color w:val="000000"/>
          <w:sz w:val="32"/>
          <w:szCs w:val="32"/>
          <w:lang w:val="en-US" w:eastAsia="zh-CN"/>
        </w:rPr>
        <w:t>腐霉利、氯氰菊酯和高效氯氰菊酯、芹菜中甲拌磷、绿豆芽</w:t>
      </w:r>
      <w:r>
        <w:rPr>
          <w:rFonts w:hint="eastAsia" w:ascii="仿宋" w:hAnsi="仿宋" w:eastAsia="仿宋" w:cs="仿宋"/>
          <w:color w:val="000000"/>
          <w:sz w:val="32"/>
          <w:szCs w:val="32"/>
        </w:rPr>
        <w:t>中</w:t>
      </w:r>
      <w:r>
        <w:rPr>
          <w:rFonts w:hint="eastAsia" w:ascii="仿宋" w:hAnsi="仿宋" w:eastAsia="仿宋" w:cs="仿宋"/>
          <w:color w:val="000000"/>
          <w:sz w:val="32"/>
          <w:szCs w:val="32"/>
          <w:lang w:val="en-US" w:eastAsia="zh-CN"/>
        </w:rPr>
        <w:t>4-氯苯氧乙酸钠(以4-氯苯氧乙酸计)、上海青中水胺硫磷和小油菜中甲胺磷</w:t>
      </w:r>
      <w:r>
        <w:rPr>
          <w:rFonts w:hint="eastAsia" w:ascii="仿宋" w:hAnsi="仿宋" w:eastAsia="仿宋" w:cs="仿宋"/>
          <w:color w:val="000000"/>
          <w:sz w:val="32"/>
          <w:szCs w:val="32"/>
        </w:rPr>
        <w:t>不符合食品安全国家标准</w:t>
      </w:r>
      <w:r>
        <w:rPr>
          <w:rFonts w:hint="eastAsia" w:ascii="仿宋" w:hAnsi="仿宋" w:eastAsia="仿宋" w:cs="仿宋"/>
          <w:color w:val="000000"/>
          <w:sz w:val="32"/>
          <w:szCs w:val="32"/>
          <w:lang w:val="en-US" w:eastAsia="zh-CN"/>
        </w:rPr>
        <w:t>规定</w:t>
      </w:r>
      <w:r>
        <w:rPr>
          <w:rFonts w:hint="eastAsia" w:ascii="仿宋" w:hAnsi="仿宋" w:eastAsia="仿宋" w:cs="仿宋"/>
          <w:color w:val="000000"/>
          <w:sz w:val="32"/>
          <w:szCs w:val="32"/>
        </w:rPr>
        <w:t>。</w:t>
      </w:r>
    </w:p>
    <w:p>
      <w:pPr>
        <w:pStyle w:val="2"/>
        <w:keepNext w:val="0"/>
        <w:keepLines w:val="0"/>
        <w:pageBreakBefore w:val="0"/>
        <w:widowControl w:val="0"/>
        <w:kinsoku/>
        <w:wordWrap/>
        <w:overflowPunct/>
        <w:topLinePunct w:val="0"/>
        <w:autoSpaceDE/>
        <w:autoSpaceDN/>
        <w:bidi w:val="0"/>
        <w:adjustRightInd/>
        <w:snapToGrid/>
        <w:spacing w:before="157" w:beforeLines="50" w:after="0"/>
        <w:jc w:val="center"/>
        <w:textAlignment w:val="auto"/>
        <w:rPr>
          <w:rFonts w:hint="default"/>
          <w:lang w:val="en-US" w:eastAsia="zh-CN"/>
        </w:rPr>
      </w:pPr>
      <w:r>
        <w:rPr>
          <w:rFonts w:hint="eastAsia" w:asciiTheme="majorEastAsia" w:hAnsiTheme="majorEastAsia" w:eastAsiaTheme="majorEastAsia" w:cstheme="majorEastAsia"/>
          <w:b/>
          <w:kern w:val="2"/>
          <w:sz w:val="22"/>
          <w:szCs w:val="24"/>
        </w:rPr>
        <w:t>表</w:t>
      </w:r>
      <w:r>
        <w:rPr>
          <w:rFonts w:hint="eastAsia" w:asciiTheme="majorEastAsia" w:hAnsiTheme="majorEastAsia" w:eastAsiaTheme="majorEastAsia" w:cstheme="majorEastAsia"/>
          <w:b/>
          <w:kern w:val="2"/>
          <w:sz w:val="22"/>
          <w:szCs w:val="24"/>
          <w:lang w:val="en-US" w:eastAsia="zh-CN"/>
        </w:rPr>
        <w:t>10 食用农产品</w:t>
      </w:r>
      <w:r>
        <w:rPr>
          <w:rFonts w:hint="eastAsia" w:asciiTheme="majorEastAsia" w:hAnsiTheme="majorEastAsia" w:eastAsiaTheme="majorEastAsia" w:cstheme="majorEastAsia"/>
          <w:b/>
          <w:kern w:val="2"/>
          <w:sz w:val="22"/>
          <w:szCs w:val="24"/>
        </w:rPr>
        <w:t>抽检不合格</w:t>
      </w:r>
      <w:r>
        <w:rPr>
          <w:rFonts w:hint="eastAsia" w:asciiTheme="majorEastAsia" w:hAnsiTheme="majorEastAsia" w:eastAsiaTheme="majorEastAsia" w:cstheme="majorEastAsia"/>
          <w:b/>
          <w:kern w:val="2"/>
          <w:sz w:val="22"/>
          <w:szCs w:val="24"/>
          <w:lang w:val="en-US" w:eastAsia="zh-CN"/>
        </w:rPr>
        <w:t>品种分析表</w:t>
      </w:r>
    </w:p>
    <w:tbl>
      <w:tblPr>
        <w:tblStyle w:val="17"/>
        <w:tblW w:w="7637" w:type="dxa"/>
        <w:jc w:val="center"/>
        <w:tblLayout w:type="fixed"/>
        <w:tblCellMar>
          <w:top w:w="0" w:type="dxa"/>
          <w:left w:w="108" w:type="dxa"/>
          <w:bottom w:w="0" w:type="dxa"/>
          <w:right w:w="108" w:type="dxa"/>
        </w:tblCellMar>
      </w:tblPr>
      <w:tblGrid>
        <w:gridCol w:w="2545"/>
        <w:gridCol w:w="1725"/>
        <w:gridCol w:w="1742"/>
        <w:gridCol w:w="1625"/>
      </w:tblGrid>
      <w:tr>
        <w:tblPrEx>
          <w:tblCellMar>
            <w:top w:w="0" w:type="dxa"/>
            <w:left w:w="108" w:type="dxa"/>
            <w:bottom w:w="0" w:type="dxa"/>
            <w:right w:w="108" w:type="dxa"/>
          </w:tblCellMar>
        </w:tblPrEx>
        <w:trPr>
          <w:trHeight w:val="510" w:hRule="atLeast"/>
          <w:jc w:val="center"/>
        </w:trPr>
        <w:tc>
          <w:tcPr>
            <w:tcW w:w="2545" w:type="dxa"/>
            <w:tcBorders>
              <w:top w:val="single" w:color="auto" w:sz="4" w:space="0"/>
              <w:left w:val="single" w:color="auto" w:sz="4" w:space="0"/>
              <w:bottom w:val="single" w:color="auto" w:sz="4" w:space="0"/>
              <w:right w:val="single" w:color="000000" w:sz="8" w:space="0"/>
            </w:tcBorders>
            <w:shd w:val="clear" w:color="auto" w:fill="4F81BD"/>
            <w:noWrap/>
            <w:vAlign w:val="center"/>
          </w:tcPr>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食品细类</w:t>
            </w:r>
          </w:p>
        </w:tc>
        <w:tc>
          <w:tcPr>
            <w:tcW w:w="1725" w:type="dxa"/>
            <w:tcBorders>
              <w:top w:val="single" w:color="auto" w:sz="4" w:space="0"/>
              <w:left w:val="nil"/>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kern w:val="0"/>
                <w:sz w:val="24"/>
                <w:lang w:bidi="ar"/>
              </w:rPr>
            </w:pPr>
            <w:r>
              <w:rPr>
                <w:rFonts w:hint="eastAsia" w:ascii="仿宋" w:hAnsi="仿宋" w:eastAsia="仿宋" w:cs="仿宋"/>
                <w:color w:val="FFFFFF"/>
                <w:kern w:val="0"/>
                <w:sz w:val="24"/>
                <w:lang w:bidi="ar"/>
              </w:rPr>
              <w:t>抽样数量</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（批次）</w:t>
            </w:r>
          </w:p>
        </w:tc>
        <w:tc>
          <w:tcPr>
            <w:tcW w:w="1742" w:type="dxa"/>
            <w:tcBorders>
              <w:top w:val="single" w:color="auto" w:sz="4" w:space="0"/>
              <w:left w:val="nil"/>
              <w:bottom w:val="single" w:color="auto" w:sz="4" w:space="0"/>
              <w:right w:val="single" w:color="000000" w:sz="8" w:space="0"/>
            </w:tcBorders>
            <w:shd w:val="clear" w:color="auto" w:fill="4F81BD"/>
            <w:vAlign w:val="center"/>
          </w:tcPr>
          <w:p>
            <w:pPr>
              <w:widowControl/>
              <w:jc w:val="center"/>
              <w:textAlignment w:val="center"/>
              <w:rPr>
                <w:rFonts w:ascii="仿宋" w:hAnsi="仿宋" w:eastAsia="仿宋" w:cs="仿宋"/>
                <w:color w:val="FFFFFF"/>
                <w:kern w:val="0"/>
                <w:sz w:val="24"/>
                <w:lang w:bidi="ar"/>
              </w:rPr>
            </w:pPr>
            <w:r>
              <w:rPr>
                <w:rFonts w:hint="eastAsia" w:ascii="仿宋" w:hAnsi="仿宋" w:eastAsia="仿宋" w:cs="仿宋"/>
                <w:color w:val="FFFFFF"/>
                <w:kern w:val="0"/>
                <w:sz w:val="24"/>
                <w:lang w:bidi="ar"/>
              </w:rPr>
              <w:t>不合格数量</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（批次）</w:t>
            </w:r>
          </w:p>
        </w:tc>
        <w:tc>
          <w:tcPr>
            <w:tcW w:w="1625" w:type="dxa"/>
            <w:tcBorders>
              <w:top w:val="single" w:color="auto" w:sz="4" w:space="0"/>
              <w:left w:val="nil"/>
              <w:bottom w:val="single" w:color="auto" w:sz="4" w:space="0"/>
              <w:right w:val="single" w:color="auto" w:sz="4" w:space="0"/>
            </w:tcBorders>
            <w:shd w:val="clear" w:color="auto" w:fill="4F81BD"/>
            <w:vAlign w:val="center"/>
          </w:tcPr>
          <w:p>
            <w:pPr>
              <w:widowControl/>
              <w:jc w:val="center"/>
              <w:textAlignment w:val="center"/>
              <w:rPr>
                <w:rFonts w:hint="eastAsia" w:ascii="仿宋" w:hAnsi="仿宋" w:eastAsia="仿宋" w:cs="仿宋"/>
                <w:color w:val="FFFFFF"/>
                <w:kern w:val="0"/>
                <w:sz w:val="24"/>
                <w:lang w:eastAsia="zh-CN" w:bidi="ar"/>
              </w:rPr>
            </w:pPr>
            <w:r>
              <w:rPr>
                <w:rFonts w:hint="eastAsia" w:ascii="仿宋" w:hAnsi="仿宋" w:eastAsia="仿宋" w:cs="仿宋"/>
                <w:color w:val="FFFFFF"/>
                <w:kern w:val="0"/>
                <w:sz w:val="24"/>
                <w:lang w:eastAsia="zh-CN" w:bidi="ar"/>
              </w:rPr>
              <w:t>问题发现率</w:t>
            </w:r>
          </w:p>
          <w:p>
            <w:pPr>
              <w:widowControl/>
              <w:jc w:val="center"/>
              <w:textAlignment w:val="center"/>
              <w:rPr>
                <w:rFonts w:ascii="仿宋" w:hAnsi="仿宋" w:eastAsia="仿宋" w:cs="仿宋"/>
                <w:color w:val="FFFFFF"/>
                <w:sz w:val="24"/>
              </w:rPr>
            </w:pPr>
            <w:r>
              <w:rPr>
                <w:rFonts w:hint="eastAsia" w:ascii="仿宋" w:hAnsi="仿宋" w:eastAsia="仿宋" w:cs="仿宋"/>
                <w:color w:val="FFFFFF"/>
                <w:kern w:val="0"/>
                <w:sz w:val="24"/>
                <w:lang w:bidi="ar"/>
              </w:rPr>
              <w:t>（%）</w:t>
            </w:r>
          </w:p>
        </w:tc>
      </w:tr>
      <w:tr>
        <w:tblPrEx>
          <w:tblCellMar>
            <w:top w:w="0" w:type="dxa"/>
            <w:left w:w="108" w:type="dxa"/>
            <w:bottom w:w="0" w:type="dxa"/>
            <w:right w:w="108" w:type="dxa"/>
          </w:tblCellMar>
        </w:tblPrEx>
        <w:trPr>
          <w:trHeight w:val="510" w:hRule="atLeast"/>
          <w:jc w:val="center"/>
        </w:trPr>
        <w:tc>
          <w:tcPr>
            <w:tcW w:w="2545" w:type="dxa"/>
            <w:tcBorders>
              <w:top w:val="nil"/>
              <w:left w:val="single" w:color="000000" w:sz="8" w:space="0"/>
              <w:bottom w:val="single" w:color="auto" w:sz="4" w:space="0"/>
              <w:right w:val="single" w:color="000000" w:sz="8" w:space="0"/>
            </w:tcBorders>
            <w:shd w:val="clear" w:color="auto" w:fill="auto"/>
            <w:noWrap/>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韭菜</w:t>
            </w:r>
          </w:p>
        </w:tc>
        <w:tc>
          <w:tcPr>
            <w:tcW w:w="1725"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49</w:t>
            </w:r>
          </w:p>
        </w:tc>
        <w:tc>
          <w:tcPr>
            <w:tcW w:w="1742"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14</w:t>
            </w:r>
          </w:p>
        </w:tc>
        <w:tc>
          <w:tcPr>
            <w:tcW w:w="1625"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28.57%</w:t>
            </w:r>
          </w:p>
        </w:tc>
      </w:tr>
      <w:tr>
        <w:tblPrEx>
          <w:tblCellMar>
            <w:top w:w="0" w:type="dxa"/>
            <w:left w:w="108" w:type="dxa"/>
            <w:bottom w:w="0" w:type="dxa"/>
            <w:right w:w="108" w:type="dxa"/>
          </w:tblCellMar>
        </w:tblPrEx>
        <w:trPr>
          <w:trHeight w:val="510" w:hRule="atLeast"/>
          <w:jc w:val="center"/>
        </w:trPr>
        <w:tc>
          <w:tcPr>
            <w:tcW w:w="25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芹菜</w:t>
            </w:r>
          </w:p>
        </w:tc>
        <w:tc>
          <w:tcPr>
            <w:tcW w:w="17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48</w:t>
            </w:r>
          </w:p>
        </w:tc>
        <w:tc>
          <w:tcPr>
            <w:tcW w:w="17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3</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6.25%</w:t>
            </w:r>
          </w:p>
        </w:tc>
      </w:tr>
      <w:tr>
        <w:tblPrEx>
          <w:tblCellMar>
            <w:top w:w="0" w:type="dxa"/>
            <w:left w:w="108" w:type="dxa"/>
            <w:bottom w:w="0" w:type="dxa"/>
            <w:right w:w="108" w:type="dxa"/>
          </w:tblCellMar>
        </w:tblPrEx>
        <w:trPr>
          <w:trHeight w:val="510" w:hRule="atLeast"/>
          <w:jc w:val="center"/>
        </w:trPr>
        <w:tc>
          <w:tcPr>
            <w:tcW w:w="25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豆芽</w:t>
            </w:r>
          </w:p>
        </w:tc>
        <w:tc>
          <w:tcPr>
            <w:tcW w:w="17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50</w:t>
            </w:r>
          </w:p>
        </w:tc>
        <w:tc>
          <w:tcPr>
            <w:tcW w:w="17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2.00%</w:t>
            </w:r>
          </w:p>
        </w:tc>
      </w:tr>
      <w:tr>
        <w:tblPrEx>
          <w:tblCellMar>
            <w:top w:w="0" w:type="dxa"/>
            <w:left w:w="108" w:type="dxa"/>
            <w:bottom w:w="0" w:type="dxa"/>
            <w:right w:w="108" w:type="dxa"/>
          </w:tblCellMar>
        </w:tblPrEx>
        <w:trPr>
          <w:trHeight w:val="510" w:hRule="atLeast"/>
          <w:jc w:val="center"/>
        </w:trPr>
        <w:tc>
          <w:tcPr>
            <w:tcW w:w="25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普通白菜</w:t>
            </w:r>
          </w:p>
        </w:tc>
        <w:tc>
          <w:tcPr>
            <w:tcW w:w="17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49</w:t>
            </w:r>
          </w:p>
        </w:tc>
        <w:tc>
          <w:tcPr>
            <w:tcW w:w="17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2</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4.08%</w:t>
            </w:r>
          </w:p>
        </w:tc>
      </w:tr>
      <w:tr>
        <w:tblPrEx>
          <w:tblCellMar>
            <w:top w:w="0" w:type="dxa"/>
            <w:left w:w="108" w:type="dxa"/>
            <w:bottom w:w="0" w:type="dxa"/>
            <w:right w:w="108" w:type="dxa"/>
          </w:tblCellMar>
        </w:tblPrEx>
        <w:trPr>
          <w:trHeight w:val="510" w:hRule="atLeast"/>
          <w:jc w:val="center"/>
        </w:trPr>
        <w:tc>
          <w:tcPr>
            <w:tcW w:w="25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合计</w:t>
            </w:r>
          </w:p>
        </w:tc>
        <w:tc>
          <w:tcPr>
            <w:tcW w:w="17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196</w:t>
            </w:r>
          </w:p>
        </w:tc>
        <w:tc>
          <w:tcPr>
            <w:tcW w:w="17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20</w:t>
            </w:r>
          </w:p>
        </w:tc>
        <w:tc>
          <w:tcPr>
            <w:tcW w:w="16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10.20%</w:t>
            </w:r>
          </w:p>
        </w:tc>
      </w:tr>
    </w:tbl>
    <w:p>
      <w:pPr>
        <w:pStyle w:val="6"/>
        <w:keepNext/>
        <w:keepLines/>
        <w:pageBreakBefore w:val="0"/>
        <w:widowControl w:val="0"/>
        <w:kinsoku/>
        <w:wordWrap/>
        <w:overflowPunct/>
        <w:topLinePunct w:val="0"/>
        <w:autoSpaceDE/>
        <w:autoSpaceDN/>
        <w:bidi w:val="0"/>
        <w:adjustRightInd/>
        <w:snapToGrid/>
        <w:spacing w:before="157" w:beforeLines="50"/>
        <w:ind w:firstLine="643" w:firstLineChars="200"/>
        <w:textAlignment w:val="auto"/>
        <w:rPr>
          <w:rFonts w:hint="eastAsia" w:ascii="仿宋" w:hAnsi="仿宋" w:eastAsia="仿宋"/>
          <w:sz w:val="32"/>
          <w:lang w:val="en-US" w:eastAsia="zh-CN"/>
        </w:rPr>
      </w:pPr>
      <w:r>
        <w:rPr>
          <w:rFonts w:hint="eastAsia" w:ascii="仿宋" w:hAnsi="仿宋" w:eastAsia="仿宋"/>
          <w:sz w:val="32"/>
          <w:lang w:val="en-US" w:eastAsia="zh-CN"/>
        </w:rPr>
        <w:t>3.</w:t>
      </w:r>
      <w:r>
        <w:rPr>
          <w:rFonts w:hint="eastAsia" w:ascii="仿宋" w:hAnsi="仿宋" w:eastAsia="仿宋"/>
          <w:sz w:val="32"/>
          <w:lang w:val="en-US" w:eastAsia="zh-CN"/>
        </w:rPr>
        <w:fldChar w:fldCharType="begin"/>
      </w:r>
      <w:r>
        <w:rPr>
          <w:rFonts w:hint="eastAsia" w:ascii="仿宋" w:hAnsi="仿宋" w:eastAsia="仿宋"/>
          <w:sz w:val="32"/>
          <w:lang w:val="en-US" w:eastAsia="zh-CN"/>
        </w:rPr>
        <w:instrText xml:space="preserve"> HYPERLINK \l "_Toc27438" </w:instrText>
      </w:r>
      <w:r>
        <w:rPr>
          <w:rFonts w:hint="eastAsia" w:ascii="仿宋" w:hAnsi="仿宋" w:eastAsia="仿宋"/>
          <w:sz w:val="32"/>
          <w:lang w:val="en-US" w:eastAsia="zh-CN"/>
        </w:rPr>
        <w:fldChar w:fldCharType="separate"/>
      </w:r>
      <w:r>
        <w:rPr>
          <w:rFonts w:hint="eastAsia" w:ascii="仿宋" w:hAnsi="仿宋" w:eastAsia="仿宋"/>
          <w:sz w:val="32"/>
          <w:lang w:val="en-US" w:eastAsia="zh-CN"/>
        </w:rPr>
        <w:t>不合格项目分析及解读</w:t>
      </w:r>
      <w:r>
        <w:rPr>
          <w:rFonts w:hint="eastAsia" w:ascii="仿宋" w:hAnsi="仿宋" w:eastAsia="仿宋"/>
          <w:sz w:val="32"/>
          <w:lang w:val="en-US" w:eastAsia="zh-CN"/>
        </w:rPr>
        <w:fldChar w:fldCharType="end"/>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43"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_GB2312" w:hAnsi="Calibri" w:eastAsia="仿宋_GB2312" w:cs="Times New Roman"/>
          <w:b/>
          <w:bCs/>
          <w:color w:val="000000"/>
          <w:kern w:val="2"/>
          <w:sz w:val="32"/>
          <w:szCs w:val="32"/>
          <w:lang w:val="en-US" w:eastAsia="zh-CN" w:bidi="ar-SA"/>
        </w:rPr>
        <w:t>甲拌磷</w:t>
      </w:r>
      <w:r>
        <w:rPr>
          <w:rFonts w:hint="default" w:ascii="Times New Roman" w:hAnsi="Times New Roman" w:eastAsia="仿宋" w:cs="Times New Roman"/>
          <w:color w:val="000000"/>
          <w:kern w:val="2"/>
          <w:sz w:val="32"/>
          <w:szCs w:val="32"/>
          <w:lang w:val="en-US" w:eastAsia="zh-CN" w:bidi="ar-SA"/>
        </w:rPr>
        <w:t>是一种内吸性有机磷类杀虫剂，具有触杀、胃毒、熏蒸作用，对刺吸式口器和咀嚼式口器害虫均具有很好的防治作用。少量的残留不会引起人体急性中毒</w:t>
      </w:r>
      <w:r>
        <w:rPr>
          <w:rFonts w:hint="eastAsia" w:ascii="Times New Roman" w:hAnsi="Times New Roman" w:eastAsia="仿宋" w:cs="Times New Roman"/>
          <w:color w:val="000000"/>
          <w:kern w:val="2"/>
          <w:sz w:val="32"/>
          <w:szCs w:val="32"/>
          <w:lang w:val="en-US" w:eastAsia="zh-CN" w:bidi="ar-SA"/>
        </w:rPr>
        <w:t>。此次抽检的甲拌磷不合格均在芹菜中，</w:t>
      </w:r>
      <w:r>
        <w:rPr>
          <w:rFonts w:hint="eastAsia" w:ascii="仿宋" w:hAnsi="仿宋" w:eastAsia="仿宋" w:cs="仿宋"/>
          <w:color w:val="000000"/>
          <w:kern w:val="2"/>
          <w:sz w:val="32"/>
          <w:szCs w:val="32"/>
          <w:lang w:val="en-US" w:eastAsia="zh-CN" w:bidi="ar-SA"/>
        </w:rPr>
        <w:t>芹菜中甲拌磷残留量超标的原因，可能是为快速控制虫害而违规使用。</w:t>
      </w:r>
    </w:p>
    <w:p>
      <w:pPr>
        <w:keepNext w:val="0"/>
        <w:keepLines w:val="0"/>
        <w:pageBreakBefore w:val="0"/>
        <w:kinsoku/>
        <w:wordWrap/>
        <w:overflowPunct/>
        <w:topLinePunct w:val="0"/>
        <w:autoSpaceDE/>
        <w:autoSpaceDN/>
        <w:bidi w:val="0"/>
        <w:adjustRightInd/>
        <w:snapToGrid/>
        <w:ind w:firstLine="643" w:firstLineChars="200"/>
        <w:textAlignment w:val="auto"/>
        <w:rPr>
          <w:rFonts w:hint="default" w:ascii="Times New Roman" w:hAnsi="Times New Roman" w:eastAsia="仿宋_GB2312" w:cs="Times New Roman"/>
          <w:b/>
          <w:bCs/>
          <w:color w:val="000000"/>
          <w:kern w:val="2"/>
          <w:sz w:val="32"/>
          <w:szCs w:val="32"/>
          <w:lang w:val="en-US" w:eastAsia="zh-CN" w:bidi="ar-SA"/>
        </w:rPr>
      </w:pPr>
      <w:r>
        <w:rPr>
          <w:rFonts w:hint="default" w:ascii="仿宋_GB2312" w:hAnsi="Calibri" w:eastAsia="仿宋_GB2312" w:cs="Times New Roman"/>
          <w:b/>
          <w:bCs/>
          <w:color w:val="000000"/>
          <w:kern w:val="2"/>
          <w:sz w:val="32"/>
          <w:szCs w:val="32"/>
          <w:highlight w:val="none"/>
          <w:lang w:val="en-US" w:eastAsia="zh-CN" w:bidi="ar-SA"/>
        </w:rPr>
        <w:t>甲胺磷</w:t>
      </w:r>
      <w:r>
        <w:rPr>
          <w:rFonts w:hint="eastAsia" w:ascii="Times New Roman" w:hAnsi="Times New Roman" w:eastAsia="仿宋" w:cs="Times New Roman"/>
          <w:b w:val="0"/>
          <w:kern w:val="2"/>
          <w:sz w:val="32"/>
          <w:szCs w:val="32"/>
          <w:lang w:val="en-US" w:eastAsia="zh-CN" w:bidi="ar-SA"/>
        </w:rPr>
        <w:t>是</w:t>
      </w:r>
      <w:r>
        <w:rPr>
          <w:rFonts w:hint="default" w:ascii="Times New Roman" w:hAnsi="Times New Roman" w:eastAsia="仿宋" w:cs="Times New Roman"/>
          <w:b w:val="0"/>
          <w:kern w:val="2"/>
          <w:sz w:val="32"/>
          <w:szCs w:val="32"/>
          <w:lang w:val="en-US" w:eastAsia="zh-CN" w:bidi="ar-SA"/>
        </w:rPr>
        <w:t>一种杀虫谱广、杀虫效果好、使用成本低、抗性发展缓慢的有机磷杀虫剂，不合理使用易造成农产品污染，危害人畜安全。</w:t>
      </w:r>
      <w:r>
        <w:rPr>
          <w:rFonts w:hint="default" w:ascii="仿宋" w:hAnsi="仿宋" w:eastAsia="仿宋" w:cs="Times New Roman"/>
          <w:b w:val="0"/>
          <w:kern w:val="2"/>
          <w:sz w:val="32"/>
          <w:szCs w:val="32"/>
          <w:lang w:val="en-US" w:eastAsia="zh-CN" w:bidi="ar-SA"/>
        </w:rPr>
        <w:t>不合格原因可能是种植户在种植过程中超量</w:t>
      </w:r>
      <w:r>
        <w:rPr>
          <w:rFonts w:hint="eastAsia" w:ascii="仿宋" w:hAnsi="仿宋" w:eastAsia="仿宋" w:cs="Times New Roman"/>
          <w:b w:val="0"/>
          <w:kern w:val="2"/>
          <w:sz w:val="32"/>
          <w:szCs w:val="32"/>
          <w:lang w:val="en-US" w:eastAsia="zh-CN" w:bidi="ar-SA"/>
        </w:rPr>
        <w:t>使</w:t>
      </w:r>
      <w:r>
        <w:rPr>
          <w:rFonts w:hint="default" w:ascii="仿宋" w:hAnsi="仿宋" w:eastAsia="仿宋" w:cs="Times New Roman"/>
          <w:b w:val="0"/>
          <w:kern w:val="2"/>
          <w:sz w:val="32"/>
          <w:szCs w:val="32"/>
          <w:lang w:val="en-US" w:eastAsia="zh-CN" w:bidi="ar-SA"/>
        </w:rPr>
        <w:t>用，导致其检出超标。</w:t>
      </w:r>
    </w:p>
    <w:p>
      <w:pPr>
        <w:ind w:left="0" w:leftChars="0" w:firstLine="643" w:firstLineChars="200"/>
        <w:jc w:val="both"/>
        <w:rPr>
          <w:rFonts w:hint="default" w:ascii="Times New Roman" w:hAnsi="Times New Roman" w:eastAsia="仿宋" w:cs="Times New Roman"/>
          <w:bCs/>
          <w:kern w:val="0"/>
          <w:sz w:val="32"/>
          <w:szCs w:val="32"/>
          <w:lang w:val="en-US" w:eastAsia="zh-CN" w:bidi="ar"/>
        </w:rPr>
      </w:pPr>
      <w:r>
        <w:rPr>
          <w:rFonts w:hint="default" w:ascii="仿宋_GB2312" w:hAnsi="Calibri" w:eastAsia="仿宋_GB2312" w:cs="Times New Roman"/>
          <w:b/>
          <w:bCs/>
          <w:color w:val="000000"/>
          <w:kern w:val="2"/>
          <w:sz w:val="32"/>
          <w:szCs w:val="32"/>
          <w:lang w:val="en-US" w:eastAsia="zh-CN" w:bidi="ar-SA"/>
        </w:rPr>
        <w:t>腐霉利</w:t>
      </w:r>
      <w:r>
        <w:rPr>
          <w:rFonts w:hint="default" w:ascii="Times New Roman" w:hAnsi="Times New Roman" w:eastAsia="仿宋" w:cs="Times New Roman"/>
          <w:bCs/>
          <w:kern w:val="0"/>
          <w:sz w:val="32"/>
          <w:szCs w:val="32"/>
          <w:lang w:val="en-US" w:eastAsia="zh-CN" w:bidi="ar"/>
        </w:rPr>
        <w:t>是一种低毒内吸性杀菌剂，主要用于蔬菜及果树的灰霉病防治。腐霉利对眼睛与皮肤有刺激作用，经口毒性低。少量的农药残留不会引起人体急性中毒，但长期食用农药残留超标的食品，对人体健康有一定影响。此次抽检的韭菜中</w:t>
      </w:r>
      <w:r>
        <w:rPr>
          <w:rFonts w:hint="eastAsia" w:ascii="Times New Roman" w:hAnsi="Times New Roman" w:eastAsia="仿宋" w:cs="Times New Roman"/>
          <w:bCs/>
          <w:kern w:val="0"/>
          <w:sz w:val="32"/>
          <w:szCs w:val="32"/>
          <w:lang w:val="en-US" w:eastAsia="zh-CN" w:bidi="ar"/>
        </w:rPr>
        <w:t>腐霉利</w:t>
      </w:r>
      <w:r>
        <w:rPr>
          <w:rFonts w:hint="default" w:ascii="Times New Roman" w:hAnsi="Times New Roman" w:eastAsia="仿宋" w:cs="Times New Roman"/>
          <w:bCs/>
          <w:kern w:val="0"/>
          <w:sz w:val="32"/>
          <w:szCs w:val="32"/>
          <w:lang w:val="en-US" w:eastAsia="zh-CN" w:bidi="ar"/>
        </w:rPr>
        <w:t>不合格，</w:t>
      </w:r>
      <w:r>
        <w:rPr>
          <w:rFonts w:hint="eastAsia" w:ascii="Times New Roman" w:hAnsi="Times New Roman" w:eastAsia="仿宋" w:cs="Times New Roman"/>
          <w:bCs/>
          <w:kern w:val="0"/>
          <w:sz w:val="32"/>
          <w:szCs w:val="32"/>
          <w:lang w:val="en-US" w:eastAsia="zh-CN" w:bidi="ar"/>
        </w:rPr>
        <w:t>不合格</w:t>
      </w:r>
      <w:r>
        <w:rPr>
          <w:rFonts w:hint="default" w:ascii="Times New Roman" w:hAnsi="Times New Roman" w:eastAsia="仿宋" w:cs="Times New Roman"/>
          <w:bCs/>
          <w:kern w:val="0"/>
          <w:sz w:val="32"/>
          <w:szCs w:val="32"/>
          <w:lang w:val="en-US" w:eastAsia="zh-CN" w:bidi="ar"/>
        </w:rPr>
        <w:t>原因可能是为快速控制病情，加大用药量或未遵守采摘间隔期规定，致使上市销售的产品中残留量超标。</w:t>
      </w:r>
    </w:p>
    <w:p>
      <w:pPr>
        <w:pStyle w:val="9"/>
        <w:ind w:left="0" w:leftChars="0" w:firstLine="643" w:firstLineChars="200"/>
        <w:rPr>
          <w:rFonts w:hint="default" w:ascii="Times New Roman" w:hAnsi="Times New Roman" w:eastAsia="仿宋" w:cs="Times New Roman"/>
          <w:bCs/>
          <w:kern w:val="0"/>
          <w:sz w:val="32"/>
          <w:szCs w:val="32"/>
          <w:lang w:val="en-US" w:eastAsia="zh-CN" w:bidi="ar"/>
        </w:rPr>
      </w:pPr>
      <w:r>
        <w:rPr>
          <w:rFonts w:hint="eastAsia" w:ascii="仿宋_GB2312" w:hAnsi="Calibri" w:eastAsia="仿宋_GB2312" w:cs="Times New Roman"/>
          <w:b/>
          <w:bCs/>
          <w:color w:val="000000"/>
          <w:kern w:val="2"/>
          <w:sz w:val="32"/>
          <w:szCs w:val="32"/>
          <w:lang w:val="en-US" w:eastAsia="zh-CN" w:bidi="ar-SA"/>
        </w:rPr>
        <w:t>氯氰菊酯和高效氯氰菊酯</w:t>
      </w:r>
      <w:r>
        <w:rPr>
          <w:rFonts w:hint="default" w:ascii="Times New Roman" w:hAnsi="Times New Roman" w:eastAsia="仿宋" w:cs="Times New Roman"/>
          <w:bCs/>
          <w:kern w:val="0"/>
          <w:sz w:val="32"/>
          <w:szCs w:val="32"/>
          <w:lang w:val="en-US" w:eastAsia="zh-CN" w:bidi="ar"/>
        </w:rPr>
        <w:t>是一种拟除虫菊酯类杀虫剂，具有广谱、高效、快速的作用特点，对害虫以触杀和胃毒为主。此次抽检的韭菜中有1批次不合格。韭菜中氯氰菊酯和高效氯氰菊酯超标的原因，可能是菜农对使用农药的安全间隔期不了解，从而违规使用或滥用农药。</w:t>
      </w:r>
    </w:p>
    <w:p>
      <w:pPr>
        <w:pStyle w:val="9"/>
        <w:ind w:left="0" w:leftChars="0" w:firstLine="643" w:firstLineChars="200"/>
        <w:rPr>
          <w:rFonts w:hint="default" w:ascii="Times New Roman" w:hAnsi="Times New Roman" w:eastAsia="仿宋" w:cs="Times New Roman"/>
          <w:bCs/>
          <w:kern w:val="0"/>
          <w:sz w:val="32"/>
          <w:szCs w:val="32"/>
          <w:lang w:val="en-US" w:eastAsia="zh-CN" w:bidi="ar"/>
        </w:rPr>
      </w:pPr>
      <w:r>
        <w:rPr>
          <w:rFonts w:hint="eastAsia" w:ascii="仿宋_GB2312" w:hAnsi="Calibri" w:eastAsia="仿宋_GB2312" w:cs="Times New Roman"/>
          <w:b/>
          <w:bCs/>
          <w:color w:val="000000"/>
          <w:kern w:val="2"/>
          <w:sz w:val="32"/>
          <w:szCs w:val="32"/>
          <w:lang w:val="en-US" w:eastAsia="zh-CN" w:bidi="ar-SA"/>
        </w:rPr>
        <w:t>4-氯苯氧乙酸钠</w:t>
      </w:r>
      <w:r>
        <w:rPr>
          <w:rFonts w:hint="default" w:ascii="Times New Roman" w:hAnsi="Times New Roman" w:eastAsia="仿宋" w:cs="Times New Roman"/>
          <w:bCs/>
          <w:kern w:val="0"/>
          <w:sz w:val="32"/>
          <w:szCs w:val="32"/>
          <w:lang w:val="en-US" w:eastAsia="zh-CN" w:bidi="ar"/>
        </w:rPr>
        <w:t>(以4-氯苯氧乙酸计)是一种植物生长调节剂，对人体有累积毒性。此次抽检的豆芽中有1批次不合格</w:t>
      </w:r>
      <w:r>
        <w:rPr>
          <w:rFonts w:hint="eastAsia" w:ascii="Times New Roman" w:hAnsi="Times New Roman" w:eastAsia="仿宋" w:cs="Times New Roman"/>
          <w:bCs/>
          <w:kern w:val="0"/>
          <w:sz w:val="32"/>
          <w:szCs w:val="32"/>
          <w:lang w:val="en-US" w:eastAsia="zh-CN" w:bidi="ar"/>
        </w:rPr>
        <w:t>，</w:t>
      </w:r>
      <w:r>
        <w:rPr>
          <w:rFonts w:hint="default" w:ascii="Times New Roman" w:hAnsi="Times New Roman" w:eastAsia="仿宋" w:cs="Times New Roman"/>
          <w:bCs/>
          <w:kern w:val="0"/>
          <w:sz w:val="32"/>
          <w:szCs w:val="32"/>
          <w:lang w:val="en-US" w:eastAsia="zh-CN" w:bidi="ar"/>
        </w:rPr>
        <w:t>原因</w:t>
      </w:r>
      <w:r>
        <w:rPr>
          <w:rFonts w:hint="eastAsia" w:ascii="Times New Roman" w:hAnsi="Times New Roman" w:eastAsia="仿宋" w:cs="Times New Roman"/>
          <w:bCs/>
          <w:kern w:val="0"/>
          <w:sz w:val="32"/>
          <w:szCs w:val="32"/>
          <w:lang w:val="en-US" w:eastAsia="zh-CN" w:bidi="ar"/>
        </w:rPr>
        <w:t>可能是</w:t>
      </w:r>
      <w:r>
        <w:rPr>
          <w:rFonts w:hint="default" w:ascii="Times New Roman" w:hAnsi="Times New Roman" w:eastAsia="仿宋" w:cs="Times New Roman"/>
          <w:bCs/>
          <w:kern w:val="0"/>
          <w:sz w:val="32"/>
          <w:szCs w:val="32"/>
          <w:lang w:val="en-US" w:eastAsia="zh-CN" w:bidi="ar"/>
        </w:rPr>
        <w:t>商家为了增加豆芽产量，促进提前成熟，缩短豆芽的生长周期违规加入，导致超标。</w:t>
      </w:r>
    </w:p>
    <w:p>
      <w:pPr>
        <w:ind w:firstLine="643" w:firstLineChars="200"/>
      </w:pPr>
      <w:r>
        <w:rPr>
          <w:rFonts w:hint="default" w:ascii="仿宋_GB2312" w:hAnsi="Calibri" w:eastAsia="仿宋_GB2312" w:cs="Times New Roman"/>
          <w:b/>
          <w:bCs/>
          <w:color w:val="000000"/>
          <w:kern w:val="2"/>
          <w:sz w:val="32"/>
          <w:szCs w:val="32"/>
          <w:highlight w:val="none"/>
          <w:lang w:val="en-US" w:eastAsia="zh-CN" w:bidi="ar-SA"/>
        </w:rPr>
        <w:t>水胺硫磷</w:t>
      </w:r>
      <w:r>
        <w:rPr>
          <w:rFonts w:hint="eastAsia" w:ascii="仿宋" w:hAnsi="仿宋" w:eastAsia="仿宋" w:cs="Times New Roman"/>
          <w:b w:val="0"/>
          <w:kern w:val="2"/>
          <w:sz w:val="32"/>
          <w:szCs w:val="32"/>
          <w:lang w:val="en-US" w:eastAsia="zh-CN" w:bidi="ar-SA"/>
        </w:rPr>
        <w:t>是</w:t>
      </w:r>
      <w:r>
        <w:rPr>
          <w:rFonts w:hint="default" w:ascii="仿宋" w:hAnsi="仿宋" w:eastAsia="仿宋" w:cs="Times New Roman"/>
          <w:b w:val="0"/>
          <w:kern w:val="2"/>
          <w:sz w:val="32"/>
          <w:szCs w:val="32"/>
          <w:lang w:val="en-US" w:eastAsia="zh-CN" w:bidi="ar-SA"/>
        </w:rPr>
        <w:t>有机磷杀虫剂，兼具胃毒和杀卵作用，主要用于防治果树、水稻和棉花害虫。水胺硫磷属于高毒农药，主要通过食道、皮肤和呼吸道引起中毒。少量的农药残留不会引起人体急性中毒，但长期食用农药残留超标的食品，对人体健康有一定影响</w:t>
      </w:r>
      <w:r>
        <w:rPr>
          <w:rFonts w:hint="eastAsia" w:ascii="仿宋" w:hAnsi="仿宋" w:eastAsia="仿宋" w:cs="Times New Roman"/>
          <w:b w:val="0"/>
          <w:kern w:val="2"/>
          <w:sz w:val="32"/>
          <w:szCs w:val="32"/>
          <w:lang w:val="en-US" w:eastAsia="zh-CN" w:bidi="ar-SA"/>
        </w:rPr>
        <w:t>。造成水胺硫磷不合格的原因可能是为快速控制虫害而违规使用。</w:t>
      </w:r>
    </w:p>
    <w:p>
      <w:pPr>
        <w:pStyle w:val="3"/>
        <w:keepNext/>
        <w:keepLines/>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黑体" w:hAnsi="黑体" w:eastAsia="黑体" w:cs="黑体"/>
          <w:lang w:eastAsia="zh-CN"/>
        </w:rPr>
      </w:pPr>
      <w:bookmarkStart w:id="22" w:name="_Toc29657"/>
      <w:r>
        <w:rPr>
          <w:rFonts w:hint="eastAsia" w:ascii="黑体" w:hAnsi="黑体" w:eastAsia="黑体" w:cs="黑体"/>
          <w:lang w:eastAsia="zh-CN"/>
        </w:rPr>
        <w:t>五、风险防控措施</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Times New Roman"/>
          <w:b w:val="0"/>
          <w:kern w:val="2"/>
          <w:sz w:val="32"/>
          <w:szCs w:val="32"/>
          <w:lang w:val="en-US" w:eastAsia="zh-CN" w:bidi="ar-SA"/>
        </w:rPr>
      </w:pPr>
      <w:r>
        <w:rPr>
          <w:rFonts w:hint="eastAsia" w:ascii="仿宋" w:hAnsi="仿宋" w:eastAsia="仿宋" w:cs="Times New Roman"/>
          <w:b w:val="0"/>
          <w:kern w:val="2"/>
          <w:sz w:val="32"/>
          <w:szCs w:val="32"/>
          <w:lang w:val="en-US" w:eastAsia="zh-CN" w:bidi="ar-SA"/>
        </w:rPr>
        <w:t>食品安全关系广大人民群众身体健康和生命安全，2022年抽检数据显示食用农产品的农药残留含量超标问题仍然比较突出。对抽检不合格产品，我局已督促抽样所在地市场局，采取下架、封存、召回、销毁等措施，并对相关生产经营单位开展查处，着力保障全市人民群众食品安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textAlignment w:val="auto"/>
        <w:rPr>
          <w:rFonts w:hint="default" w:ascii="楷体" w:hAnsi="楷体" w:eastAsia="楷体" w:cs="楷体"/>
          <w:sz w:val="32"/>
          <w:szCs w:val="32"/>
          <w:lang w:val="en-US" w:eastAsia="zh-CN"/>
        </w:rPr>
      </w:pPr>
      <w:bookmarkStart w:id="23" w:name="_Toc28040"/>
      <w:bookmarkStart w:id="24" w:name="_Toc28513"/>
      <w:r>
        <w:rPr>
          <w:rFonts w:hint="eastAsia" w:ascii="楷体" w:hAnsi="楷体" w:eastAsia="楷体" w:cs="楷体"/>
          <w:b/>
          <w:kern w:val="2"/>
          <w:sz w:val="32"/>
          <w:szCs w:val="32"/>
          <w:lang w:val="en-US" w:eastAsia="zh-CN" w:bidi="ar-SA"/>
        </w:rPr>
        <w:t>（一）</w:t>
      </w:r>
      <w:bookmarkEnd w:id="23"/>
      <w:bookmarkEnd w:id="24"/>
      <w:r>
        <w:rPr>
          <w:rFonts w:hint="eastAsia" w:ascii="楷体" w:hAnsi="楷体" w:eastAsia="楷体" w:cs="楷体"/>
          <w:b/>
          <w:kern w:val="2"/>
          <w:sz w:val="32"/>
          <w:szCs w:val="32"/>
          <w:lang w:val="en-US" w:eastAsia="zh-CN" w:bidi="ar-SA"/>
        </w:rPr>
        <w:t>加强</w:t>
      </w:r>
      <w:r>
        <w:rPr>
          <w:rFonts w:hint="default" w:ascii="楷体" w:hAnsi="楷体" w:eastAsia="楷体" w:cs="楷体"/>
          <w:b/>
          <w:kern w:val="2"/>
          <w:sz w:val="32"/>
          <w:szCs w:val="32"/>
          <w:lang w:val="en-US" w:eastAsia="zh-CN" w:bidi="ar-SA"/>
        </w:rPr>
        <w:t>食用农产品溯源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一是落实对市场内食用农产品及其经营者的入场查验要求，督促入场销售者依法履行食品安全主体责任；食用农产品集中交易市场入场销售者要依照法律法规和食品安全标准从事销售活动，保证食用农产品质量安全，采购食用农产品应当查验供货者的许可证和食品出厂检验合格证或者其他合格证明。二是加强培训，组织食用农产品经营者开展集中培训，确保销售者实现“一户一档”管理，落实经营者的主体责任。督促食用农产品经营户建立食用农产品的进货台账，实现追溯信息有效关联，进一步履行主体责任，确保食用农产品来源可追溯，去向可追查，构建完整溯源链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楷体" w:hAnsi="楷体" w:eastAsia="楷体" w:cs="楷体"/>
          <w:b/>
          <w:kern w:val="2"/>
          <w:sz w:val="32"/>
          <w:szCs w:val="32"/>
          <w:lang w:val="en-US" w:eastAsia="zh-CN" w:bidi="ar-SA"/>
        </w:rPr>
      </w:pPr>
      <w:r>
        <w:rPr>
          <w:rFonts w:hint="eastAsia" w:ascii="楷体" w:hAnsi="楷体" w:eastAsia="楷体" w:cs="楷体"/>
          <w:b/>
          <w:kern w:val="2"/>
          <w:sz w:val="32"/>
          <w:szCs w:val="32"/>
          <w:lang w:val="en-US" w:eastAsia="zh-CN" w:bidi="ar-SA"/>
        </w:rPr>
        <w:t>（二）加强重点区域食品安全风险排查防控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 w:cs="Times New Roman"/>
          <w:kern w:val="2"/>
          <w:sz w:val="32"/>
          <w:szCs w:val="22"/>
          <w:lang w:val="en-US" w:eastAsia="zh-CN" w:bidi="ar-SA"/>
        </w:rPr>
      </w:pPr>
      <w:r>
        <w:rPr>
          <w:rFonts w:hint="eastAsia" w:ascii="Times New Roman" w:hAnsi="Times New Roman" w:eastAsia="仿宋" w:cs="Times New Roman"/>
          <w:kern w:val="2"/>
          <w:sz w:val="32"/>
          <w:szCs w:val="22"/>
          <w:lang w:val="en-US" w:eastAsia="zh-CN" w:bidi="ar-SA"/>
        </w:rPr>
        <w:t>对食品生产加工集聚区、食品生产加工产业园、食品加工小作坊园区等区域，从食品生产环境卫生条件、原辅料使用、生产加工控制、产品检验、贮存等方面进行风险分析，结合对企业的日常监督检查、抽检监测、投诉举报等反映出的食品安全问题，分析研判可能存在的食品生产安全风险，研究制定防控措施。</w:t>
      </w:r>
    </w:p>
    <w:p>
      <w:pPr>
        <w:pStyle w:val="4"/>
        <w:numPr>
          <w:ilvl w:val="0"/>
          <w:numId w:val="0"/>
        </w:numPr>
        <w:bidi w:val="0"/>
        <w:ind w:firstLine="643" w:firstLineChars="200"/>
        <w:rPr>
          <w:rFonts w:hint="eastAsia" w:ascii="楷体" w:hAnsi="楷体" w:eastAsia="楷体" w:cs="楷体"/>
          <w:b/>
          <w:kern w:val="2"/>
          <w:sz w:val="32"/>
          <w:szCs w:val="32"/>
          <w:lang w:val="en-US" w:eastAsia="zh-CN" w:bidi="ar-SA"/>
        </w:rPr>
      </w:pPr>
      <w:r>
        <w:rPr>
          <w:rFonts w:hint="eastAsia" w:ascii="楷体" w:hAnsi="楷体" w:eastAsia="楷体" w:cs="楷体"/>
          <w:b/>
          <w:kern w:val="2"/>
          <w:sz w:val="32"/>
          <w:szCs w:val="32"/>
          <w:lang w:val="en-US" w:eastAsia="zh-CN" w:bidi="ar-SA"/>
        </w:rPr>
        <w:t>（三）加大农产品流通领域监管力度</w:t>
      </w:r>
    </w:p>
    <w:p>
      <w:pPr>
        <w:numPr>
          <w:ilvl w:val="0"/>
          <w:numId w:val="0"/>
        </w:numPr>
        <w:ind w:firstLine="640" w:firstLineChars="200"/>
        <w:rPr>
          <w:rFonts w:hint="default"/>
          <w:lang w:val="en-US" w:eastAsia="zh-CN"/>
        </w:rPr>
      </w:pPr>
      <w:r>
        <w:rPr>
          <w:rFonts w:hint="eastAsia" w:ascii="Times New Roman" w:hAnsi="Times New Roman" w:eastAsia="仿宋" w:cs="Times New Roman"/>
          <w:kern w:val="2"/>
          <w:sz w:val="32"/>
          <w:szCs w:val="22"/>
          <w:lang w:val="en-US" w:eastAsia="zh-CN" w:bidi="ar-SA"/>
        </w:rPr>
        <w:t>开展农产品市场规范化建设行动，在我市大型农产品批发市场、农贸市场、超市等要求设置食品安全员，建立健全“日管控、周排查、月调度”工作制度；制定农产品市场开办者、入场销售者主体责任清单、食品安全管理人员食品安全知识培训考核题库，明确农产品市场分类标准，确保农产品市场食品安全管理人员快速配备到位、履职到位。构建农产品市场食品安全全方位责任体系，保障群众“菜篮子”安全。</w:t>
      </w:r>
    </w:p>
    <w:p>
      <w:pPr>
        <w:pStyle w:val="3"/>
        <w:keepNext/>
        <w:keepLines/>
        <w:pageBreakBefore w:val="0"/>
        <w:widowControl w:val="0"/>
        <w:kinsoku/>
        <w:wordWrap/>
        <w:overflowPunct/>
        <w:topLinePunct w:val="0"/>
        <w:autoSpaceDE/>
        <w:autoSpaceDN/>
        <w:bidi w:val="0"/>
        <w:adjustRightInd/>
        <w:snapToGrid/>
        <w:ind w:firstLine="643" w:firstLineChars="200"/>
        <w:textAlignment w:val="auto"/>
        <w:rPr>
          <w:rFonts w:hint="eastAsia" w:eastAsia="宋体"/>
          <w:lang w:eastAsia="zh-CN"/>
        </w:rPr>
      </w:pPr>
      <w:bookmarkStart w:id="25" w:name="_Toc7023"/>
      <w:r>
        <w:rPr>
          <w:rFonts w:hint="eastAsia"/>
        </w:rPr>
        <w:t>六、下一步工作</w:t>
      </w:r>
      <w:bookmarkEnd w:id="25"/>
      <w:r>
        <w:rPr>
          <w:rFonts w:hint="eastAsia"/>
          <w:lang w:eastAsia="zh-CN"/>
        </w:rPr>
        <w:t>安排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从食品抽检数据来看，2022年榆林市食品安全状况总体稳定，继续保持了无等级以上食品安全事故发生的良好态势。下一步，为</w:t>
      </w:r>
      <w:r>
        <w:rPr>
          <w:rFonts w:hint="eastAsia" w:ascii="仿宋" w:hAnsi="仿宋" w:eastAsia="仿宋" w:cs="仿宋"/>
          <w:b w:val="0"/>
          <w:bCs/>
          <w:kern w:val="2"/>
          <w:sz w:val="32"/>
          <w:szCs w:val="32"/>
          <w:shd w:val="clear"/>
          <w:lang w:val="en-US" w:eastAsia="zh-CN" w:bidi="ar-SA"/>
        </w:rPr>
        <w:t>深入贯彻落实党的二十大作出的“强化食品药品安全监管”重要部署，</w:t>
      </w:r>
      <w:r>
        <w:rPr>
          <w:rFonts w:hint="eastAsia" w:ascii="仿宋" w:hAnsi="仿宋" w:eastAsia="仿宋" w:cs="仿宋"/>
          <w:b w:val="0"/>
          <w:bCs/>
          <w:kern w:val="2"/>
          <w:sz w:val="32"/>
          <w:szCs w:val="32"/>
          <w:lang w:val="en-US" w:eastAsia="zh-CN" w:bidi="ar-SA"/>
        </w:rPr>
        <w:t>理清食品安全工作的基本定位、工作理念，我局将从以下方面进一步优化监管方式、提升监管效能，做好食品安全抽检监测工作，保障我市食品安全。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Times New Roman"/>
          <w:b w:val="0"/>
          <w:kern w:val="2"/>
          <w:sz w:val="32"/>
          <w:szCs w:val="32"/>
          <w:lang w:val="en-US" w:eastAsia="zh-CN" w:bidi="ar-SA"/>
        </w:rPr>
      </w:pPr>
      <w:r>
        <w:rPr>
          <w:rFonts w:hint="eastAsia" w:ascii="楷体" w:hAnsi="楷体" w:eastAsia="楷体" w:cs="楷体"/>
          <w:b/>
          <w:kern w:val="2"/>
          <w:sz w:val="32"/>
          <w:szCs w:val="32"/>
          <w:lang w:val="en-US" w:eastAsia="zh-CN" w:bidi="ar-SA"/>
        </w:rPr>
        <w:t>（一）结合日常监管，提高抽检靶向性。</w:t>
      </w:r>
      <w:r>
        <w:rPr>
          <w:rFonts w:hint="eastAsia" w:ascii="仿宋" w:hAnsi="仿宋" w:eastAsia="仿宋" w:cs="Times New Roman"/>
          <w:b w:val="0"/>
          <w:kern w:val="2"/>
          <w:sz w:val="32"/>
          <w:szCs w:val="32"/>
          <w:lang w:val="en-US" w:eastAsia="zh-CN" w:bidi="ar-SA"/>
        </w:rPr>
        <w:t>从抽检结果来看，调味品、酒类、韭菜、普通白菜、豆芽、土豆中发现的不合格样品较多，在今后抽检工作中，我们将增加对这几类食品的关注度，增大抽检力度，提高监督抽检的靶向性；对</w:t>
      </w:r>
      <w:r>
        <w:rPr>
          <w:rFonts w:hint="eastAsia" w:ascii="Times New Roman" w:hAnsi="Times New Roman" w:eastAsia="仿宋" w:cs="Times New Roman"/>
          <w:kern w:val="2"/>
          <w:sz w:val="32"/>
          <w:szCs w:val="22"/>
          <w:lang w:val="en-US" w:eastAsia="zh-CN" w:bidi="ar-SA"/>
        </w:rPr>
        <w:t>问题发现率较高的县域，加大市、县抽检数量及抽检频率；</w:t>
      </w:r>
      <w:r>
        <w:rPr>
          <w:rFonts w:hint="eastAsia" w:ascii="仿宋" w:hAnsi="仿宋" w:eastAsia="仿宋" w:cs="Times New Roman"/>
          <w:b w:val="0"/>
          <w:kern w:val="2"/>
          <w:sz w:val="32"/>
          <w:szCs w:val="32"/>
          <w:lang w:val="en-US" w:eastAsia="zh-CN" w:bidi="ar-SA"/>
        </w:rPr>
        <w:t>在生产环节，加强日常监管的同时，对榆林市食品生产企业、小作坊增加抽检频次和数量；在流通环节，继续跟踪问题频发场所、业态，实现食品生产经营全过程全覆盖抽检。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Times New Roman"/>
          <w:b w:val="0"/>
          <w:kern w:val="2"/>
          <w:sz w:val="32"/>
          <w:szCs w:val="32"/>
          <w:lang w:val="en-US" w:eastAsia="zh-CN" w:bidi="ar-SA"/>
        </w:rPr>
      </w:pPr>
      <w:r>
        <w:rPr>
          <w:rFonts w:hint="eastAsia" w:ascii="楷体" w:hAnsi="楷体" w:eastAsia="楷体" w:cs="楷体"/>
          <w:b/>
          <w:kern w:val="2"/>
          <w:sz w:val="32"/>
          <w:szCs w:val="32"/>
          <w:lang w:val="en-US" w:eastAsia="zh-CN" w:bidi="ar-SA"/>
        </w:rPr>
        <w:t>（二）</w:t>
      </w:r>
      <w:r>
        <w:rPr>
          <w:rFonts w:hint="eastAsia" w:ascii="楷体" w:hAnsi="楷体" w:eastAsia="楷体" w:cs="楷体"/>
          <w:b/>
          <w:kern w:val="2"/>
          <w:sz w:val="32"/>
          <w:szCs w:val="32"/>
          <w:lang w:val="en-US" w:eastAsia="zh-Hans" w:bidi="ar-SA"/>
        </w:rPr>
        <w:t>利用</w:t>
      </w:r>
      <w:r>
        <w:rPr>
          <w:rFonts w:hint="eastAsia" w:ascii="楷体" w:hAnsi="楷体" w:eastAsia="楷体" w:cs="楷体"/>
          <w:b/>
          <w:kern w:val="2"/>
          <w:sz w:val="32"/>
          <w:szCs w:val="32"/>
          <w:lang w:val="en-US" w:eastAsia="zh-CN" w:bidi="ar-SA"/>
        </w:rPr>
        <w:t>线上线下多</w:t>
      </w:r>
      <w:r>
        <w:rPr>
          <w:rFonts w:hint="eastAsia" w:ascii="楷体" w:hAnsi="楷体" w:eastAsia="楷体" w:cs="楷体"/>
          <w:b/>
          <w:kern w:val="2"/>
          <w:sz w:val="32"/>
          <w:szCs w:val="32"/>
          <w:lang w:val="en-US" w:eastAsia="zh-Hans" w:bidi="ar-SA"/>
        </w:rPr>
        <w:t>途径开展宣传活动。</w:t>
      </w:r>
      <w:r>
        <w:rPr>
          <w:rFonts w:hint="eastAsia" w:ascii="仿宋" w:hAnsi="仿宋" w:eastAsia="仿宋" w:cs="仿宋"/>
          <w:sz w:val="32"/>
          <w:szCs w:val="32"/>
          <w:lang w:val="en-US" w:eastAsia="zh-Hans"/>
        </w:rPr>
        <w:t>采取组织培训、</w:t>
      </w:r>
      <w:r>
        <w:rPr>
          <w:rFonts w:hint="eastAsia" w:ascii="仿宋" w:hAnsi="仿宋" w:eastAsia="仿宋" w:cs="仿宋"/>
          <w:sz w:val="32"/>
          <w:szCs w:val="32"/>
          <w:lang w:val="en-US" w:eastAsia="zh-CN"/>
        </w:rPr>
        <w:t>线上线下</w:t>
      </w:r>
      <w:r>
        <w:rPr>
          <w:rFonts w:hint="eastAsia" w:ascii="仿宋" w:hAnsi="仿宋" w:eastAsia="仿宋" w:cs="仿宋"/>
          <w:sz w:val="32"/>
          <w:szCs w:val="32"/>
          <w:lang w:val="en-US" w:eastAsia="zh-Hans"/>
        </w:rPr>
        <w:t>宣传、曝光违法行为、开展科普讲座等形式，</w:t>
      </w:r>
      <w:r>
        <w:rPr>
          <w:rFonts w:hint="eastAsia" w:ascii="仿宋" w:hAnsi="仿宋" w:eastAsia="仿宋" w:cs="仿宋"/>
          <w:sz w:val="32"/>
          <w:szCs w:val="32"/>
          <w:lang w:val="en-US" w:eastAsia="zh-CN"/>
        </w:rPr>
        <w:t>借由“3.15”“食品安全宣传周”“产品质量月”等契机</w:t>
      </w:r>
      <w:r>
        <w:rPr>
          <w:rFonts w:hint="eastAsia" w:ascii="仿宋" w:hAnsi="仿宋" w:eastAsia="仿宋" w:cs="仿宋"/>
          <w:sz w:val="32"/>
          <w:szCs w:val="32"/>
          <w:lang w:val="en-US" w:eastAsia="zh-Hans"/>
        </w:rPr>
        <w:t>大力宣传食品安全国家标准和食品安全知识，</w:t>
      </w:r>
      <w:r>
        <w:rPr>
          <w:rFonts w:hint="eastAsia" w:ascii="仿宋" w:hAnsi="仿宋" w:eastAsia="仿宋" w:cs="仿宋"/>
          <w:sz w:val="32"/>
          <w:szCs w:val="32"/>
          <w:lang w:val="en-US" w:eastAsia="zh-CN"/>
        </w:rPr>
        <w:t>积极探索抽检新方式，开展消费者“你送我检”“你点我检”等活动，以“小切口”保障“大安全”，“点”出心声，“检”出关切，</w:t>
      </w:r>
      <w:r>
        <w:rPr>
          <w:rFonts w:hint="eastAsia" w:ascii="仿宋" w:hAnsi="仿宋" w:eastAsia="仿宋" w:cs="仿宋"/>
          <w:sz w:val="32"/>
          <w:szCs w:val="32"/>
          <w:lang w:val="en-US" w:eastAsia="zh-Hans"/>
        </w:rPr>
        <w:t>增强全</w:t>
      </w:r>
      <w:r>
        <w:rPr>
          <w:rFonts w:hint="eastAsia" w:ascii="仿宋" w:hAnsi="仿宋" w:eastAsia="仿宋" w:cs="仿宋"/>
          <w:sz w:val="32"/>
          <w:szCs w:val="32"/>
          <w:lang w:val="en-US" w:eastAsia="zh-CN"/>
        </w:rPr>
        <w:t>社会</w:t>
      </w:r>
      <w:r>
        <w:rPr>
          <w:rFonts w:hint="eastAsia" w:ascii="仿宋" w:hAnsi="仿宋" w:eastAsia="仿宋" w:cs="仿宋"/>
          <w:sz w:val="32"/>
          <w:szCs w:val="32"/>
          <w:lang w:val="en-US" w:eastAsia="zh-Hans"/>
        </w:rPr>
        <w:t>的食品安全意识，提高广大消费者</w:t>
      </w:r>
      <w:r>
        <w:rPr>
          <w:rFonts w:hint="eastAsia" w:ascii="仿宋" w:hAnsi="仿宋" w:eastAsia="仿宋" w:cs="仿宋"/>
          <w:sz w:val="32"/>
          <w:szCs w:val="32"/>
          <w:lang w:val="en-US" w:eastAsia="zh-CN"/>
        </w:rPr>
        <w:t>的参与度，营造社会共治氛围</w:t>
      </w:r>
      <w:r>
        <w:rPr>
          <w:rFonts w:hint="eastAsia" w:ascii="仿宋" w:hAnsi="仿宋" w:eastAsia="仿宋" w:cs="仿宋"/>
          <w:sz w:val="32"/>
          <w:szCs w:val="32"/>
          <w:lang w:val="en-US" w:eastAsia="zh-Hans"/>
        </w:rPr>
        <w:t>。</w:t>
      </w:r>
    </w:p>
    <w:p>
      <w:pPr>
        <w:keepNext w:val="0"/>
        <w:keepLines w:val="0"/>
        <w:pageBreakBefore w:val="0"/>
        <w:widowControl/>
        <w:suppressLineNumbers w:val="0"/>
        <w:kinsoku/>
        <w:wordWrap/>
        <w:overflowPunct/>
        <w:topLinePunct w:val="0"/>
        <w:autoSpaceDE/>
        <w:autoSpaceDN/>
        <w:bidi w:val="0"/>
        <w:adjustRightInd/>
        <w:snapToGrid/>
        <w:ind w:firstLine="643" w:firstLineChars="200"/>
        <w:jc w:val="left"/>
        <w:textAlignment w:val="auto"/>
        <w:rPr>
          <w:rFonts w:hint="eastAsia" w:ascii="楷体" w:hAnsi="楷体" w:eastAsia="楷体" w:cs="楷体"/>
          <w:b/>
          <w:kern w:val="2"/>
          <w:sz w:val="32"/>
          <w:szCs w:val="32"/>
          <w:lang w:val="en-US" w:eastAsia="zh-CN" w:bidi="ar-SA"/>
        </w:rPr>
      </w:pPr>
      <w:bookmarkStart w:id="26" w:name="_Toc5647"/>
      <w:r>
        <w:rPr>
          <w:rFonts w:hint="default" w:ascii="楷体" w:hAnsi="楷体" w:eastAsia="楷体" w:cs="楷体"/>
          <w:b/>
          <w:kern w:val="2"/>
          <w:sz w:val="32"/>
          <w:szCs w:val="32"/>
          <w:lang w:val="en-US" w:eastAsia="zh-CN" w:bidi="ar-SA"/>
        </w:rPr>
        <w:t>（</w:t>
      </w:r>
      <w:r>
        <w:rPr>
          <w:rFonts w:hint="eastAsia" w:ascii="楷体" w:hAnsi="楷体" w:eastAsia="楷体" w:cs="楷体"/>
          <w:b/>
          <w:kern w:val="2"/>
          <w:sz w:val="32"/>
          <w:szCs w:val="32"/>
          <w:lang w:val="en-US" w:eastAsia="zh-CN" w:bidi="ar-SA"/>
        </w:rPr>
        <w:t>三</w:t>
      </w:r>
      <w:r>
        <w:rPr>
          <w:rFonts w:hint="default" w:ascii="楷体" w:hAnsi="楷体" w:eastAsia="楷体" w:cs="楷体"/>
          <w:b/>
          <w:kern w:val="2"/>
          <w:sz w:val="32"/>
          <w:szCs w:val="32"/>
          <w:lang w:val="en-US" w:eastAsia="zh-CN" w:bidi="ar-SA"/>
        </w:rPr>
        <w:t>）</w:t>
      </w:r>
      <w:r>
        <w:rPr>
          <w:rFonts w:hint="eastAsia" w:ascii="楷体" w:hAnsi="楷体" w:eastAsia="楷体" w:cs="楷体"/>
          <w:b/>
          <w:kern w:val="2"/>
          <w:sz w:val="32"/>
          <w:szCs w:val="32"/>
          <w:lang w:val="en-US" w:eastAsia="zh-CN" w:bidi="ar-SA"/>
        </w:rPr>
        <w:t>加强重点食品安全风险排查防控</w:t>
      </w:r>
      <w:bookmarkEnd w:id="26"/>
      <w:r>
        <w:rPr>
          <w:rFonts w:hint="eastAsia" w:ascii="楷体" w:hAnsi="楷体" w:eastAsia="楷体" w:cs="楷体"/>
          <w:b/>
          <w:kern w:val="2"/>
          <w:sz w:val="32"/>
          <w:szCs w:val="32"/>
          <w:lang w:val="en-US" w:eastAsia="zh-CN" w:bidi="ar-SA"/>
        </w:rPr>
        <w:t>。</w:t>
      </w:r>
      <w:r>
        <w:rPr>
          <w:rFonts w:hint="eastAsia" w:ascii="仿宋" w:hAnsi="仿宋" w:eastAsia="仿宋" w:cs="仿宋"/>
          <w:sz w:val="32"/>
          <w:szCs w:val="32"/>
          <w:lang w:val="en-US" w:eastAsia="zh-CN"/>
        </w:rPr>
        <w:t>我局将针对重点品种，聚焦共性问题，排查群众反映问题较为集中、抽检问题发现率较高、消费者投诉问题较多、特殊人群食用的食品品种，以及当地特色食品，从食品生产环境、卫生条件、原辅料采购使用、生产工艺、产品检验、包装标签、贮存销售等方面梳理食品风险问题，结合食品抽检监测、投诉举报、舆情信息等反映的食品安全问题，分析研判列出重点食品的风险问题清单。根据排查的风险问题，组织开展食药安委成员部门风险会商，</w:t>
      </w:r>
      <w:r>
        <w:rPr>
          <w:rFonts w:hint="default" w:ascii="仿宋" w:hAnsi="仿宋" w:eastAsia="仿宋" w:cs="仿宋"/>
          <w:sz w:val="32"/>
          <w:szCs w:val="32"/>
          <w:lang w:val="en-US" w:eastAsia="zh-CN"/>
        </w:rPr>
        <w:t>研究防控措施，包括向地方政府通报、组织区域整治、开展帮扶指导等</w:t>
      </w:r>
      <w:r>
        <w:rPr>
          <w:rFonts w:hint="eastAsia" w:ascii="仿宋" w:hAnsi="仿宋" w:eastAsia="仿宋" w:cs="仿宋"/>
          <w:sz w:val="32"/>
          <w:szCs w:val="32"/>
          <w:lang w:val="en-US" w:eastAsia="zh-CN"/>
        </w:rPr>
        <w:t>措施。</w:t>
      </w:r>
    </w:p>
    <w:p>
      <w:pPr>
        <w:keepNext w:val="0"/>
        <w:keepLines w:val="0"/>
        <w:widowControl/>
        <w:suppressLineNumbers w:val="0"/>
        <w:ind w:firstLine="643" w:firstLineChars="200"/>
        <w:jc w:val="left"/>
        <w:rPr>
          <w:rFonts w:hint="eastAsia" w:ascii="仿宋" w:hAnsi="仿宋" w:eastAsia="仿宋" w:cs="仿宋"/>
          <w:sz w:val="32"/>
          <w:szCs w:val="32"/>
          <w:lang w:val="en-US" w:eastAsia="zh-CN"/>
        </w:rPr>
      </w:pPr>
      <w:r>
        <w:rPr>
          <w:rFonts w:hint="eastAsia" w:ascii="楷体" w:hAnsi="楷体" w:eastAsia="楷体" w:cs="楷体"/>
          <w:b/>
          <w:kern w:val="2"/>
          <w:sz w:val="32"/>
          <w:szCs w:val="32"/>
          <w:lang w:val="en-US" w:eastAsia="zh-CN" w:bidi="ar-SA"/>
        </w:rPr>
        <w:t>（四）及时跟进核查处置。</w:t>
      </w:r>
      <w:r>
        <w:rPr>
          <w:rFonts w:hint="eastAsia" w:ascii="仿宋" w:hAnsi="仿宋" w:eastAsia="仿宋" w:cs="仿宋"/>
          <w:sz w:val="32"/>
          <w:szCs w:val="32"/>
          <w:lang w:val="en-US" w:eastAsia="zh-CN"/>
        </w:rPr>
        <w:t>对检出不合格样品，及时开展核查处置，落实“四个最严”的要求，切实保障人民群众“舌尖上的安全”，按照《食品安全法》要求，务必核查到位，务必溯源。要树牢底线思维，保持“时时放心不下”的精神状态和责任担当，会同相关部门，督促指导各地开展全覆盖排查、强化全方位监管、建立全链条追溯、落实全过程防控，及时消除隐患、化解风险。要坚持问题导向，通过“守底线、查隐患、保安全”专项行动，构建及时发现问题、有效解决问题的全闭环管理流程。</w:t>
      </w:r>
    </w:p>
    <w:p>
      <w:pPr>
        <w:keepNext w:val="0"/>
        <w:keepLines w:val="0"/>
        <w:widowControl/>
        <w:suppressLineNumbers w:val="0"/>
        <w:ind w:firstLine="643" w:firstLineChars="200"/>
        <w:jc w:val="left"/>
        <w:rPr>
          <w:rFonts w:hint="default" w:ascii="楷体" w:hAnsi="楷体" w:eastAsia="楷体" w:cs="楷体"/>
          <w:b/>
          <w:kern w:val="2"/>
          <w:sz w:val="32"/>
          <w:szCs w:val="32"/>
          <w:lang w:val="en-US" w:eastAsia="zh-CN" w:bidi="ar-SA"/>
        </w:rPr>
      </w:pPr>
      <w:r>
        <w:rPr>
          <w:rFonts w:hint="eastAsia" w:ascii="楷体" w:hAnsi="楷体" w:eastAsia="楷体" w:cs="楷体"/>
          <w:b/>
          <w:kern w:val="2"/>
          <w:sz w:val="32"/>
          <w:szCs w:val="32"/>
          <w:lang w:val="en-US" w:eastAsia="zh-CN" w:bidi="ar-SA"/>
        </w:rPr>
        <w:t>（五）严格对检验检测机构的管理考核</w:t>
      </w:r>
    </w:p>
    <w:p>
      <w:pPr>
        <w:keepNext w:val="0"/>
        <w:keepLines w:val="0"/>
        <w:widowControl/>
        <w:suppressLineNumbers w:val="0"/>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目前从事检验的机构和人员虽多，但是存在参差不齐的现象。榆林市市场监管局通过对2022年市级承检机构的现场检查考核中发现，部分检验机构在制度建设、人员培训、样品管理、业务流转、检验过程规范性等方面还存在问题。今后我局将通过盲样考核、现场查看资料记录、现场操作考核等方式方法对检验机构进行监督，规范食品安全抽样检验工作，促进抽检任务高质量完成，提升食品抽检工作质量，维护食品抽检工作权威性。</w:t>
      </w:r>
    </w:p>
    <w:p>
      <w:pPr>
        <w:keepNext w:val="0"/>
        <w:keepLines w:val="0"/>
        <w:widowControl/>
        <w:suppressLineNumbers w:val="0"/>
        <w:ind w:firstLine="643" w:firstLineChars="200"/>
        <w:jc w:val="left"/>
        <w:rPr>
          <w:rFonts w:hint="eastAsia" w:ascii="仿宋" w:hAnsi="仿宋" w:eastAsia="仿宋" w:cs="仿宋"/>
          <w:sz w:val="32"/>
          <w:szCs w:val="32"/>
          <w:lang w:val="en-US" w:eastAsia="zh-CN"/>
        </w:rPr>
      </w:pPr>
      <w:r>
        <w:rPr>
          <w:rFonts w:hint="eastAsia" w:ascii="楷体" w:hAnsi="楷体" w:eastAsia="楷体" w:cs="楷体"/>
          <w:b/>
          <w:kern w:val="2"/>
          <w:sz w:val="32"/>
          <w:szCs w:val="32"/>
          <w:lang w:val="en-US" w:eastAsia="zh-CN" w:bidi="ar-SA"/>
        </w:rPr>
        <w:t>（六）推动“两个责任”落地落实。</w:t>
      </w:r>
      <w:r>
        <w:rPr>
          <w:rFonts w:hint="eastAsia" w:ascii="仿宋" w:hAnsi="仿宋" w:eastAsia="仿宋" w:cs="仿宋"/>
          <w:sz w:val="32"/>
          <w:szCs w:val="32"/>
          <w:lang w:val="en-US" w:eastAsia="zh-CN"/>
        </w:rPr>
        <w:t>2022年中办、国办印发的《地方党政领导干部食品安全责任制规定》，提出进一步落实食品安全党政同责要求，强化食品安全属地管理责任，健全食品安全工作责任制。国务院食品安全委员会印发通知，在全国部署实施食品安全分层分级、精准防控、末端发力、终端见效的责任包保工作机制，由地方党政领导干部直接包保食品企业，直接对食品安全状况负责。我市正在积极推动此项工作，坚持党政同责、标本兼治，加强统筹协调，确保食品安全“包保责任制”真正落地见效。在食品安全上给老百姓一个满意的交代，切实把保障食品安全的政治责任担在肩上、系在心上、落实到行动上。</w:t>
      </w:r>
    </w:p>
    <w:sectPr>
      <w:headerReference r:id="rId7"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2613FD-1C44-4717-AA9C-6D46E08259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E2444FA6-5CD3-49D6-8684-3CB6105D780F}"/>
  </w:font>
  <w:font w:name="楷体_GB2312">
    <w:panose1 w:val="02010609030101010101"/>
    <w:charset w:val="86"/>
    <w:family w:val="modern"/>
    <w:pitch w:val="default"/>
    <w:sig w:usb0="00000001" w:usb1="080E0000" w:usb2="00000000" w:usb3="00000000" w:csb0="00040000" w:csb1="00000000"/>
    <w:embedRegular r:id="rId3" w:fontKey="{42401ECE-7E75-4827-9137-2AEDA94FC34E}"/>
  </w:font>
  <w:font w:name="方正小标宋_GBK">
    <w:panose1 w:val="02000000000000000000"/>
    <w:charset w:val="86"/>
    <w:family w:val="auto"/>
    <w:pitch w:val="default"/>
    <w:sig w:usb0="A00002BF" w:usb1="38CF7CFA" w:usb2="00082016" w:usb3="00000000" w:csb0="00040001" w:csb1="00000000"/>
    <w:embedRegular r:id="rId4" w:fontKey="{B1D41526-F61E-4F4A-BC03-7CEE11AF74B5}"/>
  </w:font>
  <w:font w:name="仿宋_GB2312">
    <w:panose1 w:val="02010609030101010101"/>
    <w:charset w:val="86"/>
    <w:family w:val="modern"/>
    <w:pitch w:val="default"/>
    <w:sig w:usb0="00000001" w:usb1="080E0000" w:usb2="00000000" w:usb3="00000000" w:csb0="00040000" w:csb1="00000000"/>
    <w:embedRegular r:id="rId5" w:fontKey="{C459B1E2-F5B2-4356-BD45-A9771FEEFBB3}"/>
  </w:font>
  <w:font w:name="仿宋">
    <w:panose1 w:val="02010609060101010101"/>
    <w:charset w:val="86"/>
    <w:family w:val="modern"/>
    <w:pitch w:val="default"/>
    <w:sig w:usb0="800002BF" w:usb1="38CF7CFA" w:usb2="00000016" w:usb3="00000000" w:csb0="00040001" w:csb1="00000000"/>
    <w:embedRegular r:id="rId6" w:fontKey="{D965813B-583E-455C-AD16-52BC431F7F6F}"/>
  </w:font>
  <w:font w:name="楷体">
    <w:panose1 w:val="02010609060101010101"/>
    <w:charset w:val="86"/>
    <w:family w:val="auto"/>
    <w:pitch w:val="default"/>
    <w:sig w:usb0="800002BF" w:usb1="38CF7CFA" w:usb2="00000016" w:usb3="00000000" w:csb0="00040001" w:csb1="00000000"/>
    <w:embedRegular r:id="rId7" w:fontKey="{ECBC07DA-0FCD-40E1-A590-2CB8B31B4D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auto" w:sz="12" w:space="1"/>
      </w:pBdr>
      <w:rPr>
        <w:rFonts w:hint="eastAsia" w:eastAsia="宋体"/>
        <w:lang w:eastAsia="zh-CN"/>
      </w:rPr>
    </w:pPr>
    <w:r>
      <w:rPr>
        <w:rFonts w:hint="eastAsia"/>
      </w:rPr>
      <w:t>榆林市市场监督管理局2022年食品安全抽检</w:t>
    </w:r>
    <w:r>
      <w:rPr>
        <w:rFonts w:hint="eastAsia"/>
        <w:lang w:eastAsia="zh-CN"/>
      </w:rPr>
      <w:t>分析报告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auto" w:sz="12" w:space="1"/>
      </w:pBdr>
    </w:pPr>
    <w:r>
      <w:rPr>
        <w:rFonts w:hint="eastAsia"/>
      </w:rPr>
      <w:t>榆林市市场监督管理局2022年食品安全抽检分析报告</w:t>
    </w:r>
  </w:p>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B952F5"/>
    <w:multiLevelType w:val="singleLevel"/>
    <w:tmpl w:val="47B952F5"/>
    <w:lvl w:ilvl="0" w:tentative="0">
      <w:start w:val="4"/>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JjZjUyNTMzZTgxMWVhZDFhZDkzNWVhMjQ2MjRiNjYifQ=="/>
  </w:docVars>
  <w:rsids>
    <w:rsidRoot w:val="00D477F1"/>
    <w:rsid w:val="00091259"/>
    <w:rsid w:val="000A1436"/>
    <w:rsid w:val="000E1918"/>
    <w:rsid w:val="001E2005"/>
    <w:rsid w:val="00220F3B"/>
    <w:rsid w:val="00336A2E"/>
    <w:rsid w:val="004D4D2A"/>
    <w:rsid w:val="004E016D"/>
    <w:rsid w:val="004E2775"/>
    <w:rsid w:val="00513261"/>
    <w:rsid w:val="00575A31"/>
    <w:rsid w:val="006D57CB"/>
    <w:rsid w:val="00894C3B"/>
    <w:rsid w:val="008B47C9"/>
    <w:rsid w:val="00977D55"/>
    <w:rsid w:val="00A106DB"/>
    <w:rsid w:val="00A11FE4"/>
    <w:rsid w:val="00C454DE"/>
    <w:rsid w:val="00CE7467"/>
    <w:rsid w:val="00D477F1"/>
    <w:rsid w:val="00DE058B"/>
    <w:rsid w:val="00DF52E1"/>
    <w:rsid w:val="00E006F8"/>
    <w:rsid w:val="00E10064"/>
    <w:rsid w:val="00E26ED5"/>
    <w:rsid w:val="00E7521D"/>
    <w:rsid w:val="05F60D1C"/>
    <w:rsid w:val="09107574"/>
    <w:rsid w:val="129631FD"/>
    <w:rsid w:val="1B371A72"/>
    <w:rsid w:val="1F4B4494"/>
    <w:rsid w:val="2C4E6FBB"/>
    <w:rsid w:val="2E26151F"/>
    <w:rsid w:val="37F73815"/>
    <w:rsid w:val="38BD3FDB"/>
    <w:rsid w:val="3EC25D57"/>
    <w:rsid w:val="49B04ED8"/>
    <w:rsid w:val="57652807"/>
    <w:rsid w:val="5FFFF2FE"/>
    <w:rsid w:val="62E0001C"/>
    <w:rsid w:val="664464F1"/>
    <w:rsid w:val="6BDA2A43"/>
    <w:rsid w:val="7DFFFC62"/>
    <w:rsid w:val="7FFFF9D3"/>
    <w:rsid w:val="957C6DD5"/>
    <w:rsid w:val="AEDCF93E"/>
    <w:rsid w:val="D4FF28B5"/>
    <w:rsid w:val="F7DD249D"/>
    <w:rsid w:val="FE386804"/>
    <w:rsid w:val="FFBF6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5"/>
    <w:qFormat/>
    <w:uiPriority w:val="9"/>
    <w:pPr>
      <w:keepNext/>
      <w:keepLines/>
      <w:spacing w:line="360" w:lineRule="auto"/>
      <w:outlineLvl w:val="0"/>
    </w:pPr>
    <w:rPr>
      <w:rFonts w:eastAsia="宋体"/>
      <w:b/>
      <w:bCs/>
      <w:kern w:val="44"/>
      <w:sz w:val="32"/>
      <w:szCs w:val="44"/>
    </w:rPr>
  </w:style>
  <w:style w:type="paragraph" w:styleId="4">
    <w:name w:val="heading 2"/>
    <w:basedOn w:val="1"/>
    <w:next w:val="1"/>
    <w:link w:val="30"/>
    <w:unhideWhenUsed/>
    <w:qFormat/>
    <w:uiPriority w:val="9"/>
    <w:pPr>
      <w:keepNext/>
      <w:keepLines/>
      <w:spacing w:beforeLines="0" w:beforeAutospacing="0" w:afterLines="0" w:afterAutospacing="0" w:line="360" w:lineRule="auto"/>
      <w:ind w:firstLine="0" w:firstLineChars="0"/>
      <w:jc w:val="left"/>
      <w:outlineLvl w:val="1"/>
    </w:pPr>
    <w:rPr>
      <w:rFonts w:ascii="Times New Roman" w:hAnsi="Times New Roman" w:cs="Times New Roman"/>
      <w:b/>
      <w:sz w:val="32"/>
    </w:rPr>
  </w:style>
  <w:style w:type="paragraph" w:styleId="5">
    <w:name w:val="heading 3"/>
    <w:basedOn w:val="1"/>
    <w:next w:val="1"/>
    <w:link w:val="31"/>
    <w:unhideWhenUsed/>
    <w:qFormat/>
    <w:uiPriority w:val="9"/>
    <w:pPr>
      <w:keepNext/>
      <w:keepLines/>
      <w:spacing w:beforeLines="0" w:beforeAutospacing="0" w:afterLines="0" w:afterAutospacing="0" w:line="360" w:lineRule="auto"/>
      <w:ind w:firstLine="0" w:firstLineChars="0"/>
      <w:jc w:val="left"/>
      <w:outlineLvl w:val="2"/>
    </w:pPr>
    <w:rPr>
      <w:rFonts w:ascii="Times New Roman" w:hAnsi="Times New Roman" w:eastAsia="宋体" w:cs="Times New Roman"/>
      <w:b/>
      <w:sz w:val="30"/>
    </w:rPr>
  </w:style>
  <w:style w:type="paragraph" w:styleId="6">
    <w:name w:val="heading 4"/>
    <w:basedOn w:val="1"/>
    <w:next w:val="1"/>
    <w:link w:val="23"/>
    <w:unhideWhenUsed/>
    <w:qFormat/>
    <w:uiPriority w:val="0"/>
    <w:pPr>
      <w:keepNext/>
      <w:keepLines/>
      <w:spacing w:line="360" w:lineRule="auto"/>
      <w:jc w:val="left"/>
      <w:outlineLvl w:val="3"/>
    </w:pPr>
    <w:rPr>
      <w:rFonts w:ascii="Times New Roman" w:hAnsi="Times New Roman"/>
      <w:b/>
      <w:sz w:val="28"/>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9">
    <w:name w:val="Normal Indent"/>
    <w:basedOn w:val="1"/>
    <w:qFormat/>
    <w:uiPriority w:val="99"/>
    <w:pPr>
      <w:ind w:firstLine="420"/>
    </w:pPr>
  </w:style>
  <w:style w:type="paragraph" w:styleId="10">
    <w:name w:val="toc 3"/>
    <w:basedOn w:val="1"/>
    <w:next w:val="1"/>
    <w:semiHidden/>
    <w:unhideWhenUsed/>
    <w:qFormat/>
    <w:uiPriority w:val="39"/>
    <w:pPr>
      <w:spacing w:line="360" w:lineRule="auto"/>
      <w:ind w:left="840" w:leftChars="400"/>
    </w:pPr>
    <w:rPr>
      <w:rFonts w:ascii="Times New Roman" w:hAnsi="Times New Roman" w:eastAsia="宋体" w:cs="Times New Roman"/>
      <w:sz w:val="24"/>
    </w:rPr>
  </w:style>
  <w:style w:type="paragraph" w:styleId="11">
    <w:name w:val="Date"/>
    <w:basedOn w:val="1"/>
    <w:next w:val="1"/>
    <w:link w:val="24"/>
    <w:semiHidden/>
    <w:unhideWhenUsed/>
    <w:qFormat/>
    <w:uiPriority w:val="99"/>
    <w:pPr>
      <w:ind w:left="100" w:leftChars="2500"/>
    </w:pPr>
  </w:style>
  <w:style w:type="paragraph" w:styleId="12">
    <w:name w:val="footer"/>
    <w:basedOn w:val="1"/>
    <w:link w:val="22"/>
    <w:unhideWhenUsed/>
    <w:qFormat/>
    <w:uiPriority w:val="0"/>
    <w:pPr>
      <w:tabs>
        <w:tab w:val="center" w:pos="4153"/>
        <w:tab w:val="right" w:pos="8306"/>
      </w:tabs>
      <w:snapToGrid w:val="0"/>
      <w:jc w:val="left"/>
    </w:pPr>
    <w:rPr>
      <w:sz w:val="18"/>
      <w:szCs w:val="18"/>
    </w:rPr>
  </w:style>
  <w:style w:type="paragraph" w:styleId="13">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pPr>
      <w:spacing w:line="360" w:lineRule="auto"/>
    </w:pPr>
    <w:rPr>
      <w:rFonts w:ascii="Times New Roman" w:hAnsi="Times New Roman"/>
      <w:sz w:val="28"/>
      <w:szCs w:val="22"/>
    </w:rPr>
  </w:style>
  <w:style w:type="paragraph" w:styleId="15">
    <w:name w:val="toc 2"/>
    <w:basedOn w:val="1"/>
    <w:next w:val="1"/>
    <w:qFormat/>
    <w:uiPriority w:val="0"/>
    <w:pPr>
      <w:spacing w:line="360" w:lineRule="auto"/>
      <w:ind w:left="420" w:leftChars="200"/>
    </w:pPr>
    <w:rPr>
      <w:rFonts w:ascii="Times New Roman" w:hAnsi="Times New Roman"/>
      <w:sz w:val="28"/>
      <w:szCs w:val="22"/>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9">
    <w:name w:val="Strong"/>
    <w:basedOn w:val="18"/>
    <w:qFormat/>
    <w:uiPriority w:val="22"/>
    <w:rPr>
      <w:b/>
    </w:rPr>
  </w:style>
  <w:style w:type="character" w:styleId="20">
    <w:name w:val="Hyperlink"/>
    <w:basedOn w:val="18"/>
    <w:semiHidden/>
    <w:unhideWhenUsed/>
    <w:qFormat/>
    <w:uiPriority w:val="99"/>
    <w:rPr>
      <w:color w:val="0000FF"/>
      <w:u w:val="single"/>
    </w:rPr>
  </w:style>
  <w:style w:type="character" w:customStyle="1" w:styleId="21">
    <w:name w:val="页眉 Char"/>
    <w:basedOn w:val="18"/>
    <w:link w:val="13"/>
    <w:qFormat/>
    <w:uiPriority w:val="99"/>
    <w:rPr>
      <w:sz w:val="18"/>
      <w:szCs w:val="18"/>
    </w:rPr>
  </w:style>
  <w:style w:type="character" w:customStyle="1" w:styleId="22">
    <w:name w:val="页脚 Char"/>
    <w:basedOn w:val="18"/>
    <w:link w:val="12"/>
    <w:qFormat/>
    <w:uiPriority w:val="0"/>
    <w:rPr>
      <w:sz w:val="18"/>
      <w:szCs w:val="18"/>
    </w:rPr>
  </w:style>
  <w:style w:type="character" w:customStyle="1" w:styleId="23">
    <w:name w:val="标题 4 Char"/>
    <w:basedOn w:val="18"/>
    <w:link w:val="6"/>
    <w:qFormat/>
    <w:uiPriority w:val="0"/>
    <w:rPr>
      <w:rFonts w:ascii="Times New Roman" w:hAnsi="Times New Roman" w:eastAsia="宋体" w:cs="Times New Roman"/>
      <w:b/>
      <w:sz w:val="28"/>
      <w:szCs w:val="24"/>
    </w:rPr>
  </w:style>
  <w:style w:type="character" w:customStyle="1" w:styleId="24">
    <w:name w:val="日期 Char"/>
    <w:basedOn w:val="18"/>
    <w:link w:val="11"/>
    <w:semiHidden/>
    <w:qFormat/>
    <w:uiPriority w:val="99"/>
    <w:rPr>
      <w:rFonts w:ascii="Calibri" w:hAnsi="Calibri" w:eastAsia="宋体" w:cs="Times New Roman"/>
      <w:szCs w:val="24"/>
    </w:rPr>
  </w:style>
  <w:style w:type="character" w:customStyle="1" w:styleId="25">
    <w:name w:val="标题 1 Char"/>
    <w:basedOn w:val="18"/>
    <w:link w:val="3"/>
    <w:qFormat/>
    <w:uiPriority w:val="9"/>
    <w:rPr>
      <w:rFonts w:ascii="Calibri" w:hAnsi="Calibri" w:eastAsia="宋体" w:cs="Times New Roman"/>
      <w:b/>
      <w:bCs/>
      <w:kern w:val="44"/>
      <w:sz w:val="32"/>
      <w:szCs w:val="44"/>
    </w:rPr>
  </w:style>
  <w:style w:type="paragraph" w:styleId="26">
    <w:name w:val="List Paragraph"/>
    <w:basedOn w:val="1"/>
    <w:qFormat/>
    <w:uiPriority w:val="34"/>
    <w:pPr>
      <w:ind w:firstLine="420" w:firstLineChars="200"/>
    </w:pPr>
  </w:style>
  <w:style w:type="character" w:customStyle="1" w:styleId="27">
    <w:name w:val="font21"/>
    <w:basedOn w:val="18"/>
    <w:qFormat/>
    <w:uiPriority w:val="0"/>
    <w:rPr>
      <w:rFonts w:hint="default" w:ascii="Calibri" w:hAnsi="Calibri" w:cs="Calibri"/>
      <w:color w:val="000000"/>
      <w:sz w:val="18"/>
      <w:szCs w:val="18"/>
      <w:u w:val="none"/>
    </w:rPr>
  </w:style>
  <w:style w:type="character" w:customStyle="1" w:styleId="28">
    <w:name w:val="font01"/>
    <w:basedOn w:val="18"/>
    <w:qFormat/>
    <w:uiPriority w:val="0"/>
    <w:rPr>
      <w:rFonts w:hint="eastAsia" w:ascii="宋体" w:hAnsi="宋体" w:eastAsia="宋体" w:cs="宋体"/>
      <w:color w:val="000000"/>
      <w:sz w:val="18"/>
      <w:szCs w:val="18"/>
      <w:u w:val="none"/>
    </w:rPr>
  </w:style>
  <w:style w:type="character" w:customStyle="1" w:styleId="29">
    <w:name w:val="font11"/>
    <w:basedOn w:val="18"/>
    <w:qFormat/>
    <w:uiPriority w:val="0"/>
    <w:rPr>
      <w:rFonts w:hint="default" w:ascii="Times New Roman" w:hAnsi="Times New Roman" w:cs="Times New Roman"/>
      <w:color w:val="000000"/>
      <w:sz w:val="18"/>
      <w:szCs w:val="18"/>
      <w:u w:val="none"/>
    </w:rPr>
  </w:style>
  <w:style w:type="character" w:customStyle="1" w:styleId="30">
    <w:name w:val="标题 2 Char"/>
    <w:link w:val="4"/>
    <w:qFormat/>
    <w:uiPriority w:val="9"/>
    <w:rPr>
      <w:rFonts w:ascii="Times New Roman" w:hAnsi="Times New Roman" w:cs="Times New Roman"/>
      <w:b/>
      <w:sz w:val="32"/>
    </w:rPr>
  </w:style>
  <w:style w:type="character" w:customStyle="1" w:styleId="31">
    <w:name w:val="标题 3 Char"/>
    <w:link w:val="5"/>
    <w:qFormat/>
    <w:uiPriority w:val="9"/>
    <w:rPr>
      <w:rFonts w:ascii="Times New Roman" w:hAnsi="Times New Roman" w:eastAsia="宋体" w:cs="Times New Roman"/>
      <w:b/>
      <w:sz w:val="3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oleObject" Target="embeddings/oleObject2.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6510</Words>
  <Characters>7204</Characters>
  <Lines>25</Lines>
  <Paragraphs>7</Paragraphs>
  <TotalTime>3</TotalTime>
  <ScaleCrop>false</ScaleCrop>
  <LinksUpToDate>false</LinksUpToDate>
  <CharactersWithSpaces>7226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2023-01-16T00:30:00Z</dcterms:created>
  <dc:creator>Lenovo</dc:creator>
  <cp:lastModifiedBy>沙漠</cp:lastModifiedBy>
  <cp:lastPrinted>2023-04-06T18:17:00Z</cp:lastPrinted>
  <dcterms:modified xsi:type="dcterms:W3CDTF">2023-04-21T08:21:22Z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B7A19587A1C644FF9DBED976EE3AD3ED</vt:lpwstr>
  </property>
</Properties>
</file>