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宋体" w:hAnsi="宋体" w:eastAsia="方正黑体_GBK" w:cs="宋体"/>
          <w:spacing w:val="-11"/>
          <w:sz w:val="32"/>
          <w:szCs w:val="44"/>
          <w:lang w:val="en-US" w:eastAsia="zh-CN"/>
        </w:rPr>
      </w:pPr>
      <w:r>
        <w:rPr>
          <w:rFonts w:hint="eastAsia" w:ascii="宋体" w:hAnsi="宋体" w:eastAsia="方正黑体_GBK" w:cs="宋体"/>
          <w:spacing w:val="-11"/>
          <w:sz w:val="32"/>
          <w:szCs w:val="44"/>
          <w:lang w:val="en-US" w:eastAsia="zh-CN"/>
        </w:rPr>
        <w:t>附件4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spacing w:val="-11"/>
          <w:sz w:val="44"/>
          <w:szCs w:val="44"/>
        </w:rPr>
      </w:pPr>
      <w:r>
        <w:rPr>
          <w:rFonts w:hint="eastAsia" w:ascii="宋体" w:hAnsi="宋体" w:eastAsia="方正小标宋_GBK" w:cs="宋体"/>
          <w:spacing w:val="-11"/>
          <w:sz w:val="44"/>
          <w:szCs w:val="44"/>
        </w:rPr>
        <w:t>部分不</w:t>
      </w:r>
      <w:r>
        <w:rPr>
          <w:rFonts w:hint="eastAsia" w:ascii="宋体" w:hAnsi="宋体" w:eastAsia="方正小标宋_GBK" w:cs="宋体"/>
          <w:spacing w:val="-11"/>
          <w:sz w:val="44"/>
          <w:szCs w:val="44"/>
          <w:highlight w:val="none"/>
        </w:rPr>
        <w:t>合格检</w:t>
      </w:r>
      <w:r>
        <w:rPr>
          <w:rFonts w:hint="eastAsia" w:ascii="宋体" w:hAnsi="宋体" w:eastAsia="方正小标宋_GBK" w:cs="宋体"/>
          <w:spacing w:val="-11"/>
          <w:sz w:val="44"/>
          <w:szCs w:val="44"/>
        </w:rPr>
        <w:t>验项目小知识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spacing w:val="-11"/>
          <w:sz w:val="44"/>
          <w:szCs w:val="44"/>
        </w:rPr>
      </w:pPr>
    </w:p>
    <w:p>
      <w:pPr>
        <w:spacing w:line="594" w:lineRule="exact"/>
        <w:ind w:firstLine="596" w:firstLineChars="200"/>
        <w:jc w:val="left"/>
        <w:rPr>
          <w:rFonts w:hint="default" w:ascii="宋体" w:hAnsi="宋体" w:eastAsia="黑体" w:cs="宋体"/>
          <w:color w:val="auto"/>
          <w:spacing w:val="-12"/>
          <w:sz w:val="32"/>
          <w:szCs w:val="32"/>
          <w:highlight w:val="none"/>
          <w:lang w:val="en-US" w:eastAsia="zh-CN"/>
        </w:rPr>
      </w:pPr>
      <w:r>
        <w:rPr>
          <w:rFonts w:hint="eastAsia" w:ascii="宋体" w:hAnsi="宋体" w:eastAsia="方正黑体_GBK" w:cs="宋体"/>
          <w:color w:val="auto"/>
          <w:spacing w:val="-11"/>
          <w:sz w:val="32"/>
          <w:szCs w:val="32"/>
          <w:highlight w:val="none"/>
          <w:lang w:val="en-US" w:eastAsia="zh-CN"/>
        </w:rPr>
        <w:t>一、</w:t>
      </w:r>
      <w:r>
        <w:rPr>
          <w:rFonts w:hint="eastAsia" w:eastAsia="黑体"/>
          <w:color w:val="auto"/>
          <w:spacing w:val="-12"/>
          <w:sz w:val="32"/>
          <w:szCs w:val="32"/>
          <w:lang w:val="en-US" w:eastAsia="zh-CN"/>
        </w:rPr>
        <w:t>地西泮</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宋体" w:hAnsi="宋体" w:eastAsia="方正仿宋_GBK" w:cs="宋体"/>
          <w:color w:val="auto"/>
          <w:kern w:val="2"/>
          <w:sz w:val="32"/>
          <w:szCs w:val="32"/>
          <w:highlight w:val="none"/>
          <w:lang w:val="en-US" w:eastAsia="zh-CN" w:bidi="ar-SA"/>
        </w:rPr>
      </w:pPr>
      <w:r>
        <w:rPr>
          <w:rFonts w:hint="eastAsia" w:ascii="宋体" w:hAnsi="宋体" w:eastAsia="方正仿宋_GBK" w:cs="宋体"/>
          <w:color w:val="auto"/>
          <w:kern w:val="2"/>
          <w:sz w:val="32"/>
          <w:szCs w:val="32"/>
          <w:highlight w:val="none"/>
          <w:lang w:val="en-US" w:eastAsia="zh-CN" w:bidi="ar-SA"/>
        </w:rPr>
        <w:t>地西泮又名安定，为苯二氮卓类镇静催眠药，临床上具有抗焦虑、镇静催眠、抗惊厥、抗癫痫及中枢性肌肉松弛作用。长期食用检出地西泮的食品，可能会引起嗜睡、头昏、乏力和记忆力下降等。《食品安全国家标准 食品中兽药最大残留限量》（GB 31650—2019）中规定，地西泮为允许作治疗用，但不得在动物性食品中检出的兽药。淡水鱼中检出地西泮的原因，可能是为降低新鲜活鱼对外界的感知能力，保证其经运输后仍然鲜活而违规使用。</w:t>
      </w:r>
    </w:p>
    <w:p>
      <w:pPr>
        <w:keepNext w:val="0"/>
        <w:keepLines w:val="0"/>
        <w:pageBreakBefore w:val="0"/>
        <w:widowControl w:val="0"/>
        <w:kinsoku/>
        <w:wordWrap/>
        <w:overflowPunct/>
        <w:topLinePunct w:val="0"/>
        <w:autoSpaceDE/>
        <w:autoSpaceDN/>
        <w:bidi w:val="0"/>
        <w:snapToGrid/>
        <w:spacing w:line="590" w:lineRule="exact"/>
        <w:ind w:firstLine="596" w:firstLineChars="200"/>
        <w:textAlignment w:val="auto"/>
        <w:rPr>
          <w:rFonts w:hint="eastAsia" w:ascii="Times New Roman" w:hAnsi="Times New Roman" w:eastAsia="黑体" w:cs="宋体"/>
          <w:color w:val="auto"/>
          <w:spacing w:val="-12"/>
          <w:sz w:val="32"/>
          <w:szCs w:val="32"/>
          <w:lang w:val="en-US" w:eastAsia="zh-CN"/>
        </w:rPr>
      </w:pPr>
      <w:r>
        <w:rPr>
          <w:rFonts w:hint="eastAsia" w:ascii="宋体" w:hAnsi="宋体" w:eastAsia="方正黑体_GBK" w:cs="宋体"/>
          <w:color w:val="auto"/>
          <w:spacing w:val="-11"/>
          <w:sz w:val="32"/>
          <w:szCs w:val="32"/>
          <w:lang w:val="en-US" w:eastAsia="zh-CN"/>
        </w:rPr>
        <w:t>二</w:t>
      </w:r>
      <w:r>
        <w:rPr>
          <w:rFonts w:hint="eastAsia" w:ascii="宋体" w:hAnsi="宋体" w:eastAsia="方正黑体_GBK" w:cs="宋体"/>
          <w:color w:val="auto"/>
          <w:spacing w:val="-11"/>
          <w:sz w:val="32"/>
          <w:szCs w:val="32"/>
          <w:lang w:val="en-US" w:eastAsia="zh-CN"/>
        </w:rPr>
        <w:t>、</w:t>
      </w:r>
      <w:r>
        <w:rPr>
          <w:rFonts w:hint="eastAsia" w:ascii="Times New Roman" w:hAnsi="Times New Roman" w:eastAsia="黑体"/>
          <w:color w:val="auto"/>
          <w:spacing w:val="-12"/>
          <w:sz w:val="32"/>
          <w:szCs w:val="32"/>
          <w:lang w:val="en-US" w:eastAsia="zh-CN"/>
        </w:rPr>
        <w:t>苯醚甲环唑</w:t>
      </w:r>
    </w:p>
    <w:p>
      <w:pPr>
        <w:spacing w:line="594" w:lineRule="exact"/>
        <w:ind w:firstLine="640" w:firstLineChars="200"/>
        <w:jc w:val="left"/>
        <w:rPr>
          <w:rFonts w:hint="eastAsia" w:ascii="宋体" w:hAnsi="宋体" w:eastAsia="方正仿宋_GBK" w:cs="宋体"/>
          <w:color w:val="auto"/>
          <w:kern w:val="2"/>
          <w:sz w:val="32"/>
          <w:szCs w:val="32"/>
          <w:highlight w:val="none"/>
          <w:lang w:val="en-US" w:eastAsia="zh-CN" w:bidi="ar-SA"/>
        </w:rPr>
      </w:pPr>
      <w:r>
        <w:rPr>
          <w:rFonts w:hint="eastAsia" w:ascii="宋体" w:hAnsi="宋体" w:eastAsia="方正仿宋_GBK" w:cs="宋体"/>
          <w:color w:val="auto"/>
          <w:kern w:val="2"/>
          <w:sz w:val="32"/>
          <w:szCs w:val="32"/>
          <w:highlight w:val="none"/>
          <w:lang w:val="en-US" w:eastAsia="zh-CN" w:bidi="ar-SA"/>
        </w:rPr>
        <w:t>苯</w:t>
      </w:r>
      <w:r>
        <w:rPr>
          <w:rFonts w:hint="eastAsia" w:ascii="宋体" w:hAnsi="宋体" w:eastAsia="方正仿宋_GBK" w:cs="宋体"/>
          <w:color w:val="auto"/>
          <w:kern w:val="2"/>
          <w:sz w:val="32"/>
          <w:szCs w:val="32"/>
          <w:highlight w:val="none"/>
          <w:lang w:val="en-US" w:eastAsia="zh-CN" w:bidi="ar-SA"/>
        </w:rPr>
        <w:t>醚甲环唑是低毒杂环类杀菌剂农药，是三唑类杀菌剂中安全性比较高的，广泛应用于果树、蔬菜等作物，有效防治黑星病、</w:t>
      </w:r>
      <w:bookmarkStart w:id="0" w:name="_GoBack"/>
      <w:bookmarkEnd w:id="0"/>
      <w:r>
        <w:rPr>
          <w:rFonts w:hint="eastAsia" w:ascii="宋体" w:hAnsi="宋体" w:eastAsia="方正仿宋_GBK" w:cs="宋体"/>
          <w:color w:val="auto"/>
          <w:kern w:val="2"/>
          <w:sz w:val="32"/>
          <w:szCs w:val="32"/>
          <w:highlight w:val="none"/>
          <w:lang w:val="en-US" w:eastAsia="zh-CN" w:bidi="ar-SA"/>
        </w:rPr>
        <w:t>黑痘病、白腐病、斑点落叶病、白粉病、褐斑病、锈病、条锈病、赤霉病等。少量的农药残留不会引起人体急性中毒，但长期食用农药残留超标的食品，对人体健康有一定影响。《食品安全国家标准 食品中农药最大残留限量》（GB 2763—2021）规定，苯醚甲环唑在柑中的最大残留限量值为0.2mg/kg。沃柑中苯醚甲环唑超标的原因可能是水果种植户在生产过程中不考虑农药的半衰期，不按产品说明书规定随意或超剂量喷洒农药，以致于农药在水果中残留量超标。</w:t>
      </w:r>
    </w:p>
    <w:p>
      <w:pPr>
        <w:spacing w:line="594" w:lineRule="exact"/>
        <w:ind w:firstLine="592" w:firstLineChars="200"/>
        <w:jc w:val="left"/>
        <w:rPr>
          <w:rFonts w:hint="default" w:eastAsia="黑体"/>
          <w:color w:val="auto"/>
          <w:spacing w:val="-12"/>
          <w:sz w:val="32"/>
          <w:szCs w:val="32"/>
          <w:lang w:val="en-US" w:eastAsia="zh-CN"/>
        </w:rPr>
      </w:pPr>
      <w:r>
        <w:rPr>
          <w:rFonts w:hint="eastAsia" w:eastAsia="黑体"/>
          <w:color w:val="auto"/>
          <w:spacing w:val="-12"/>
          <w:sz w:val="32"/>
          <w:szCs w:val="32"/>
          <w:lang w:val="en-US" w:eastAsia="zh-CN"/>
        </w:rPr>
        <w:t>三</w:t>
      </w:r>
      <w:r>
        <w:rPr>
          <w:rFonts w:hint="eastAsia" w:eastAsia="黑体"/>
          <w:color w:val="auto"/>
          <w:spacing w:val="-12"/>
          <w:sz w:val="32"/>
          <w:szCs w:val="32"/>
        </w:rPr>
        <w:t>、</w:t>
      </w:r>
      <w:r>
        <w:rPr>
          <w:rFonts w:hint="eastAsia" w:eastAsia="黑体"/>
          <w:color w:val="auto"/>
          <w:spacing w:val="-12"/>
          <w:sz w:val="32"/>
          <w:szCs w:val="32"/>
          <w:lang w:val="en-US" w:eastAsia="zh-CN"/>
        </w:rPr>
        <w:t>毒死蜱</w:t>
      </w:r>
    </w:p>
    <w:p>
      <w:pPr>
        <w:pStyle w:val="2"/>
        <w:keepNext w:val="0"/>
        <w:keepLines w:val="0"/>
        <w:pageBreakBefore w:val="0"/>
        <w:widowControl w:val="0"/>
        <w:kinsoku/>
        <w:wordWrap/>
        <w:overflowPunct/>
        <w:topLinePunct w:val="0"/>
        <w:autoSpaceDE/>
        <w:autoSpaceDN/>
        <w:bidi w:val="0"/>
        <w:adjustRightInd w:val="0"/>
        <w:snapToGrid/>
        <w:spacing w:line="594" w:lineRule="exact"/>
        <w:textAlignment w:val="auto"/>
        <w:rPr>
          <w:rFonts w:hint="eastAsia" w:ascii="宋体" w:hAnsi="宋体" w:eastAsia="方正仿宋_GBK" w:cs="宋体"/>
          <w:kern w:val="2"/>
          <w:sz w:val="32"/>
          <w:szCs w:val="32"/>
          <w:lang w:val="en-US" w:eastAsia="zh-CN" w:bidi="ar-SA"/>
        </w:rPr>
      </w:pPr>
      <w:r>
        <w:rPr>
          <w:rFonts w:hint="eastAsia" w:ascii="宋体" w:hAnsi="宋体" w:eastAsia="方正仿宋_GBK" w:cs="宋体"/>
          <w:kern w:val="2"/>
          <w:sz w:val="32"/>
          <w:szCs w:val="32"/>
          <w:lang w:val="en-US" w:eastAsia="zh-CN" w:bidi="ar-SA"/>
        </w:rPr>
        <w:t>毒死蜱又名氯蜱硫磷，是目前全世界使用最广泛的有机磷酸酯杀虫剂之一。食用毒死蜱超标的食品，可能会引起头昏、头痛、无力、呕吐等症状，甚至还可能导致癫痫样抽搐。《食品安全国家标准 食品中农药最大残留限量》（GB 2763—2021）中规定，毒死蜱在叶菜类蔬菜（芹菜除外）中的最大残留限量为0.02mg/kg。普通白菜中毒死蜱超标的原因可能是农产品种植者为加强防病效果超量使用农药，也可能是种植户未严格按照农药安全间隔期，提前采收农作物。</w:t>
      </w:r>
    </w:p>
    <w:p>
      <w:pPr>
        <w:spacing w:line="594" w:lineRule="exact"/>
        <w:ind w:firstLine="592" w:firstLineChars="200"/>
        <w:rPr>
          <w:rFonts w:hint="eastAsia" w:ascii="黑体" w:hAnsi="黑体" w:eastAsia="黑体"/>
          <w:color w:val="auto"/>
          <w:spacing w:val="-12"/>
          <w:sz w:val="32"/>
          <w:szCs w:val="32"/>
          <w:highlight w:val="none"/>
          <w:lang w:val="en-US" w:eastAsia="zh-CN"/>
        </w:rPr>
      </w:pPr>
      <w:r>
        <w:rPr>
          <w:rFonts w:hint="eastAsia" w:ascii="黑体" w:hAnsi="黑体" w:eastAsia="黑体"/>
          <w:color w:val="auto"/>
          <w:spacing w:val="-12"/>
          <w:sz w:val="32"/>
          <w:szCs w:val="32"/>
          <w:highlight w:val="none"/>
          <w:lang w:val="en-US" w:eastAsia="zh-CN"/>
        </w:rPr>
        <w:t>四、二氧化硫残留量</w:t>
      </w:r>
    </w:p>
    <w:p>
      <w:pPr>
        <w:keepNext w:val="0"/>
        <w:keepLines w:val="0"/>
        <w:pageBreakBefore w:val="0"/>
        <w:widowControl w:val="0"/>
        <w:kinsoku/>
        <w:wordWrap/>
        <w:overflowPunct/>
        <w:topLinePunct w:val="0"/>
        <w:autoSpaceDE/>
        <w:autoSpaceDN/>
        <w:bidi w:val="0"/>
        <w:snapToGrid/>
        <w:spacing w:line="590" w:lineRule="exact"/>
        <w:ind w:firstLine="640" w:firstLineChars="200"/>
        <w:jc w:val="left"/>
        <w:textAlignment w:val="auto"/>
        <w:rPr>
          <w:rFonts w:hint="default" w:ascii="宋体" w:hAnsi="宋体" w:eastAsia="方正仿宋_GBK" w:cs="宋体"/>
          <w:color w:val="auto"/>
          <w:kern w:val="2"/>
          <w:sz w:val="32"/>
          <w:szCs w:val="32"/>
          <w:lang w:val="en-US" w:eastAsia="zh-CN" w:bidi="ar-SA"/>
        </w:rPr>
      </w:pPr>
      <w:r>
        <w:rPr>
          <w:rFonts w:hint="default" w:ascii="宋体" w:hAnsi="宋体" w:eastAsia="方正仿宋_GBK" w:cs="宋体"/>
          <w:kern w:val="2"/>
          <w:sz w:val="32"/>
          <w:szCs w:val="32"/>
          <w:lang w:val="en-US" w:eastAsia="zh-CN" w:bidi="ar-SA"/>
        </w:rPr>
        <w:t>二氧化硫（以及焦亚硫酸钾、亚硫酸钠等添加剂）对食品有漂白、防腐和抗氧化作用，使用后均产生二氧化硫残留。二氧化硫进入人体后最终转化为硫酸盐并随尿液排出体外，一般不会对人体健康造成不良影响，但如果长期过量摄入二氧化硫，可能会对健康不利。《食品安全国家标准 食品添加剂使用标准》（GB 2760—2014）中规定，蔬菜干制品中二氧化硫残留量不得超过0.2g/kg。蔬菜干制品中二氧化硫残留量超标的原因，可能是生产企业为了改善蔬菜干制品的色泽，从而超量使用二氧化硫，也</w:t>
      </w:r>
      <w:r>
        <w:rPr>
          <w:rFonts w:hint="eastAsia" w:ascii="宋体" w:hAnsi="宋体" w:eastAsia="方正仿宋_GBK" w:cs="宋体"/>
          <w:kern w:val="2"/>
          <w:sz w:val="32"/>
          <w:szCs w:val="32"/>
          <w:lang w:val="en-US" w:eastAsia="zh-CN" w:bidi="ar-SA"/>
        </w:rPr>
        <w:t xml:space="preserve">   </w:t>
      </w:r>
      <w:r>
        <w:rPr>
          <w:rFonts w:hint="default" w:ascii="宋体" w:hAnsi="宋体" w:eastAsia="方正仿宋_GBK" w:cs="宋体"/>
          <w:color w:val="auto"/>
          <w:kern w:val="2"/>
          <w:sz w:val="32"/>
          <w:szCs w:val="32"/>
          <w:lang w:val="en-US" w:eastAsia="zh-CN" w:bidi="ar-SA"/>
        </w:rPr>
        <w:t>可能是使用时不计量或计量不准确。</w:t>
      </w:r>
    </w:p>
    <w:p>
      <w:pPr>
        <w:spacing w:line="594" w:lineRule="exact"/>
        <w:ind w:firstLine="592" w:firstLineChars="200"/>
        <w:jc w:val="left"/>
        <w:rPr>
          <w:rFonts w:hint="eastAsia" w:eastAsia="黑体"/>
          <w:color w:val="auto"/>
          <w:spacing w:val="-12"/>
          <w:sz w:val="32"/>
          <w:szCs w:val="32"/>
          <w:lang w:eastAsia="zh-CN"/>
        </w:rPr>
      </w:pPr>
      <w:r>
        <w:rPr>
          <w:rFonts w:hint="eastAsia" w:eastAsia="黑体"/>
          <w:color w:val="auto"/>
          <w:spacing w:val="-12"/>
          <w:sz w:val="32"/>
          <w:szCs w:val="32"/>
          <w:lang w:val="en-US" w:eastAsia="zh-CN"/>
        </w:rPr>
        <w:t>五</w:t>
      </w:r>
      <w:r>
        <w:rPr>
          <w:rFonts w:hint="eastAsia" w:eastAsia="黑体"/>
          <w:color w:val="auto"/>
          <w:spacing w:val="-12"/>
          <w:sz w:val="32"/>
          <w:szCs w:val="32"/>
        </w:rPr>
        <w:t>、</w:t>
      </w:r>
      <w:r>
        <w:rPr>
          <w:rFonts w:hint="eastAsia" w:eastAsia="黑体"/>
          <w:color w:val="auto"/>
          <w:spacing w:val="-12"/>
          <w:sz w:val="32"/>
          <w:szCs w:val="32"/>
          <w:lang w:val="en-US" w:eastAsia="zh-CN"/>
        </w:rPr>
        <w:t>恩诺沙星</w:t>
      </w:r>
    </w:p>
    <w:p>
      <w:pPr>
        <w:spacing w:line="594" w:lineRule="exact"/>
        <w:ind w:firstLine="640" w:firstLineChars="200"/>
        <w:rPr>
          <w:rFonts w:hint="eastAsia" w:ascii="宋体" w:hAnsi="宋体" w:eastAsia="方正仿宋_GBK" w:cs="宋体"/>
          <w:color w:val="auto"/>
          <w:kern w:val="2"/>
          <w:sz w:val="32"/>
          <w:szCs w:val="32"/>
          <w:highlight w:val="none"/>
          <w:lang w:val="en-US" w:eastAsia="zh-CN" w:bidi="ar-SA"/>
        </w:rPr>
      </w:pPr>
      <w:r>
        <w:rPr>
          <w:rFonts w:hint="eastAsia" w:ascii="宋体" w:hAnsi="宋体" w:eastAsia="方正仿宋_GBK" w:cs="宋体"/>
          <w:color w:val="auto"/>
          <w:kern w:val="2"/>
          <w:sz w:val="32"/>
          <w:szCs w:val="32"/>
          <w:highlight w:val="none"/>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的皮和肉中最大残留限量值为100μg/kg。泥鳅（淡水鱼）中恩诺沙星超标的原因，可能是在养殖过程中为快速控制疫病，违规加大用药量或不遵守休药期规定，致使产品上市销售时的药物残留量超标。</w:t>
      </w:r>
    </w:p>
    <w:p>
      <w:pPr>
        <w:spacing w:line="594" w:lineRule="exact"/>
        <w:ind w:firstLine="420" w:firstLineChars="200"/>
        <w:jc w:val="left"/>
        <w:rPr>
          <w:rFonts w:hint="default"/>
          <w:color w:val="0000FF"/>
          <w:lang w:val="en-US" w:eastAsia="zh-CN"/>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5FBECC-9E30-44D1-820C-C5B8E017FF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03D883F8-DA60-4F32-B3AF-332B155AB66C}"/>
  </w:font>
  <w:font w:name="方正小标宋_GBK">
    <w:panose1 w:val="03000509000000000000"/>
    <w:charset w:val="86"/>
    <w:family w:val="auto"/>
    <w:pitch w:val="default"/>
    <w:sig w:usb0="00000001" w:usb1="080E0000" w:usb2="00000000" w:usb3="00000000" w:csb0="00040000" w:csb1="00000000"/>
    <w:embedRegular r:id="rId3" w:fontKey="{8F132F81-9201-4F16-9169-9CD349726736}"/>
  </w:font>
  <w:font w:name="方正仿宋_GBK">
    <w:panose1 w:val="03000509000000000000"/>
    <w:charset w:val="86"/>
    <w:family w:val="auto"/>
    <w:pitch w:val="default"/>
    <w:sig w:usb0="00000001" w:usb1="080E0000" w:usb2="00000000" w:usb3="00000000" w:csb0="00040000" w:csb1="00000000"/>
    <w:embedRegular r:id="rId4" w:fontKey="{F99AC3C7-E31F-4D24-AB5B-C9029E1818DF}"/>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2E57613"/>
    <w:rsid w:val="077F1302"/>
    <w:rsid w:val="08A718AC"/>
    <w:rsid w:val="0AAD14F9"/>
    <w:rsid w:val="0BAF665A"/>
    <w:rsid w:val="0EFB1BB6"/>
    <w:rsid w:val="0FED6590"/>
    <w:rsid w:val="10022AD1"/>
    <w:rsid w:val="11AA7966"/>
    <w:rsid w:val="11C52008"/>
    <w:rsid w:val="141679B1"/>
    <w:rsid w:val="159E2C66"/>
    <w:rsid w:val="15B85137"/>
    <w:rsid w:val="16041BA6"/>
    <w:rsid w:val="187854F2"/>
    <w:rsid w:val="18BA4890"/>
    <w:rsid w:val="1D2A530E"/>
    <w:rsid w:val="1F0653D6"/>
    <w:rsid w:val="1FA83868"/>
    <w:rsid w:val="22A46395"/>
    <w:rsid w:val="23496F3C"/>
    <w:rsid w:val="2BDB0938"/>
    <w:rsid w:val="2C550700"/>
    <w:rsid w:val="2C9024A3"/>
    <w:rsid w:val="2DE7759F"/>
    <w:rsid w:val="2F1403FE"/>
    <w:rsid w:val="33067B3D"/>
    <w:rsid w:val="33764379"/>
    <w:rsid w:val="33D04B10"/>
    <w:rsid w:val="361B61C7"/>
    <w:rsid w:val="36C50230"/>
    <w:rsid w:val="3A512225"/>
    <w:rsid w:val="3B797920"/>
    <w:rsid w:val="3ECA4CD4"/>
    <w:rsid w:val="40475A64"/>
    <w:rsid w:val="42CD2946"/>
    <w:rsid w:val="43A01E09"/>
    <w:rsid w:val="44586DC0"/>
    <w:rsid w:val="44D1659A"/>
    <w:rsid w:val="45C97345"/>
    <w:rsid w:val="46FC37FA"/>
    <w:rsid w:val="479E0D55"/>
    <w:rsid w:val="48805DD2"/>
    <w:rsid w:val="49115557"/>
    <w:rsid w:val="49C57CC7"/>
    <w:rsid w:val="4AFE195C"/>
    <w:rsid w:val="4B304B48"/>
    <w:rsid w:val="4B5562A0"/>
    <w:rsid w:val="4BB9615E"/>
    <w:rsid w:val="4BC323F1"/>
    <w:rsid w:val="4C9B5A25"/>
    <w:rsid w:val="4CB16E35"/>
    <w:rsid w:val="4D2F6550"/>
    <w:rsid w:val="4EE57FD2"/>
    <w:rsid w:val="4EF47490"/>
    <w:rsid w:val="510D7238"/>
    <w:rsid w:val="518508DD"/>
    <w:rsid w:val="52732B71"/>
    <w:rsid w:val="532E3A5B"/>
    <w:rsid w:val="5B0203A0"/>
    <w:rsid w:val="5BF35373"/>
    <w:rsid w:val="5E570D16"/>
    <w:rsid w:val="60FD15F7"/>
    <w:rsid w:val="6189617B"/>
    <w:rsid w:val="62C531E2"/>
    <w:rsid w:val="634E6D48"/>
    <w:rsid w:val="63A75247"/>
    <w:rsid w:val="63E1229E"/>
    <w:rsid w:val="649B41FB"/>
    <w:rsid w:val="6655487D"/>
    <w:rsid w:val="66AC17A4"/>
    <w:rsid w:val="6A00000E"/>
    <w:rsid w:val="6A7A5576"/>
    <w:rsid w:val="6CDE6EEF"/>
    <w:rsid w:val="6D535020"/>
    <w:rsid w:val="6D631F76"/>
    <w:rsid w:val="6E0005AE"/>
    <w:rsid w:val="6ED3511D"/>
    <w:rsid w:val="6FB849AC"/>
    <w:rsid w:val="70E4517B"/>
    <w:rsid w:val="72110E28"/>
    <w:rsid w:val="74A44FDB"/>
    <w:rsid w:val="75856B41"/>
    <w:rsid w:val="781F4CEB"/>
    <w:rsid w:val="79DF4732"/>
    <w:rsid w:val="7BFC5A6F"/>
    <w:rsid w:val="7C896BD7"/>
    <w:rsid w:val="7CCD4AFB"/>
    <w:rsid w:val="7D2012E9"/>
    <w:rsid w:val="7D2423F5"/>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annotation text"/>
    <w:basedOn w:val="1"/>
    <w:link w:val="20"/>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1"/>
    <w:qFormat/>
    <w:uiPriority w:val="0"/>
    <w:rPr>
      <w:b/>
      <w:bCs/>
    </w:rPr>
  </w:style>
  <w:style w:type="character" w:styleId="13">
    <w:name w:val="annotation reference"/>
    <w:basedOn w:val="12"/>
    <w:qFormat/>
    <w:uiPriority w:val="0"/>
    <w:rPr>
      <w:sz w:val="21"/>
      <w:szCs w:val="21"/>
    </w:rPr>
  </w:style>
  <w:style w:type="paragraph" w:customStyle="1" w:styleId="14">
    <w:name w:val="列出段落2"/>
    <w:basedOn w:val="1"/>
    <w:qFormat/>
    <w:uiPriority w:val="34"/>
    <w:pPr>
      <w:ind w:firstLine="420" w:firstLineChars="200"/>
    </w:pPr>
  </w:style>
  <w:style w:type="character" w:customStyle="1" w:styleId="15">
    <w:name w:val="批注框文本 字符"/>
    <w:basedOn w:val="12"/>
    <w:link w:val="5"/>
    <w:qFormat/>
    <w:uiPriority w:val="0"/>
    <w:rPr>
      <w:rFonts w:ascii="Calibri" w:hAnsi="Calibri" w:eastAsia="宋体" w:cs="Times New Roman"/>
      <w:kern w:val="2"/>
      <w:sz w:val="18"/>
      <w:szCs w:val="18"/>
    </w:rPr>
  </w:style>
  <w:style w:type="paragraph" w:styleId="16">
    <w:name w:val="List Paragraph"/>
    <w:basedOn w:val="1"/>
    <w:qFormat/>
    <w:uiPriority w:val="34"/>
    <w:pPr>
      <w:ind w:firstLine="420" w:firstLineChars="200"/>
    </w:pPr>
    <w:rPr>
      <w:szCs w:val="22"/>
    </w:rPr>
  </w:style>
  <w:style w:type="character" w:customStyle="1" w:styleId="17">
    <w:name w:val="页眉 字符"/>
    <w:basedOn w:val="12"/>
    <w:link w:val="7"/>
    <w:qFormat/>
    <w:uiPriority w:val="0"/>
    <w:rPr>
      <w:rFonts w:ascii="Calibri" w:hAnsi="Calibri" w:eastAsia="宋体" w:cs="Times New Roman"/>
      <w:kern w:val="2"/>
      <w:sz w:val="18"/>
      <w:szCs w:val="18"/>
    </w:rPr>
  </w:style>
  <w:style w:type="character" w:customStyle="1" w:styleId="18">
    <w:name w:val="页脚 字符"/>
    <w:basedOn w:val="12"/>
    <w:link w:val="6"/>
    <w:qFormat/>
    <w:uiPriority w:val="99"/>
    <w:rPr>
      <w:rFonts w:ascii="Calibri" w:hAnsi="Calibri" w:eastAsia="宋体" w:cs="Times New Roman"/>
      <w:kern w:val="2"/>
      <w:sz w:val="18"/>
      <w:szCs w:val="18"/>
    </w:rPr>
  </w:style>
  <w:style w:type="character" w:customStyle="1" w:styleId="19">
    <w:name w:val="副标题 字符"/>
    <w:basedOn w:val="12"/>
    <w:link w:val="8"/>
    <w:qFormat/>
    <w:uiPriority w:val="0"/>
    <w:rPr>
      <w:rFonts w:ascii="Times New Roman" w:hAnsi="Times New Roman" w:eastAsia="黑体"/>
      <w:bCs/>
      <w:kern w:val="28"/>
      <w:sz w:val="32"/>
      <w:szCs w:val="32"/>
    </w:rPr>
  </w:style>
  <w:style w:type="character" w:customStyle="1" w:styleId="20">
    <w:name w:val="批注文字 字符"/>
    <w:basedOn w:val="12"/>
    <w:link w:val="4"/>
    <w:qFormat/>
    <w:uiPriority w:val="0"/>
    <w:rPr>
      <w:rFonts w:ascii="Calibri" w:hAnsi="Calibri" w:eastAsia="宋体" w:cs="Times New Roman"/>
      <w:kern w:val="2"/>
      <w:sz w:val="21"/>
      <w:szCs w:val="24"/>
    </w:rPr>
  </w:style>
  <w:style w:type="character" w:customStyle="1" w:styleId="21">
    <w:name w:val="批注主题 字符"/>
    <w:basedOn w:val="20"/>
    <w:link w:val="10"/>
    <w:qFormat/>
    <w:uiPriority w:val="0"/>
    <w:rPr>
      <w:rFonts w:ascii="Calibri" w:hAnsi="Calibri" w:eastAsia="宋体" w:cs="Times New Roman"/>
      <w:b/>
      <w:bCs/>
      <w:kern w:val="2"/>
      <w:sz w:val="21"/>
      <w:szCs w:val="24"/>
    </w:rPr>
  </w:style>
  <w:style w:type="paragraph" w:customStyle="1" w:styleId="22">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993</Words>
  <Characters>1033</Characters>
  <Lines>16</Lines>
  <Paragraphs>4</Paragraphs>
  <TotalTime>7</TotalTime>
  <ScaleCrop>false</ScaleCrop>
  <LinksUpToDate>false</LinksUpToDate>
  <CharactersWithSpaces>1043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居北念南</cp:lastModifiedBy>
  <dcterms:modified xsi:type="dcterms:W3CDTF">2023-04-13T01:28:41Z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BFD02D606F7B421BA16D13BA0ED4F7A7</vt:lpwstr>
  </property>
</Properties>
</file>