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spacing w:val="-11"/>
          <w:sz w:val="32"/>
          <w:szCs w:val="44"/>
          <w:lang w:val="en-US" w:eastAsia="zh-CN"/>
        </w:rPr>
      </w:pPr>
      <w:r>
        <w:rPr>
          <w:rFonts w:hint="eastAsia" w:ascii="宋体" w:hAnsi="宋体" w:eastAsia="方正黑体_GBK" w:cs="宋体"/>
          <w:spacing w:val="-11"/>
          <w:sz w:val="32"/>
          <w:szCs w:val="44"/>
          <w:lang w:val="en-US" w:eastAsia="zh-CN"/>
        </w:rPr>
        <w:t>附件4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spacing w:val="-11"/>
          <w:sz w:val="44"/>
          <w:szCs w:val="44"/>
        </w:rPr>
      </w:pPr>
      <w:r>
        <w:rPr>
          <w:rFonts w:hint="eastAsia" w:ascii="宋体" w:hAnsi="宋体" w:eastAsia="方正小标宋_GBK" w:cs="宋体"/>
          <w:spacing w:val="-11"/>
          <w:sz w:val="44"/>
          <w:szCs w:val="44"/>
        </w:rPr>
        <w:t>部分不</w:t>
      </w:r>
      <w:r>
        <w:rPr>
          <w:rFonts w:hint="eastAsia" w:ascii="宋体" w:hAnsi="宋体" w:eastAsia="方正小标宋_GBK" w:cs="宋体"/>
          <w:spacing w:val="-11"/>
          <w:sz w:val="44"/>
          <w:szCs w:val="44"/>
          <w:highlight w:val="none"/>
        </w:rPr>
        <w:t>合格检</w:t>
      </w:r>
      <w:r>
        <w:rPr>
          <w:rFonts w:hint="eastAsia" w:ascii="宋体" w:hAnsi="宋体" w:eastAsia="方正小标宋_GBK" w:cs="宋体"/>
          <w:spacing w:val="-11"/>
          <w:sz w:val="44"/>
          <w:szCs w:val="44"/>
        </w:rPr>
        <w:t>验项目小知识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spacing w:val="-11"/>
          <w:sz w:val="44"/>
          <w:szCs w:val="44"/>
        </w:rPr>
      </w:pP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宋体"/>
          <w:color w:val="auto"/>
          <w:spacing w:val="-11"/>
          <w:sz w:val="32"/>
          <w:szCs w:val="32"/>
          <w:lang w:val="en-US" w:eastAsia="zh-CN"/>
        </w:rPr>
      </w:pPr>
      <w:r>
        <w:rPr>
          <w:rFonts w:hint="eastAsia" w:ascii="宋体" w:hAnsi="宋体" w:eastAsia="方正黑体_GBK" w:cs="宋体"/>
          <w:color w:val="auto"/>
          <w:spacing w:val="-11"/>
          <w:sz w:val="32"/>
          <w:szCs w:val="32"/>
          <w:lang w:val="en-US" w:eastAsia="zh-CN"/>
        </w:rPr>
        <w:t>一、</w:t>
      </w:r>
      <w:r>
        <w:rPr>
          <w:rFonts w:hint="eastAsia" w:ascii="Times New Roman" w:hAnsi="Times New Roman" w:eastAsia="黑体"/>
          <w:color w:val="auto"/>
          <w:spacing w:val="-12"/>
          <w:sz w:val="32"/>
          <w:szCs w:val="32"/>
          <w:lang w:val="en-US" w:eastAsia="zh-CN"/>
        </w:rPr>
        <w:t>地西泮</w:t>
      </w:r>
    </w:p>
    <w:p>
      <w:pPr>
        <w:spacing w:line="594" w:lineRule="exact"/>
        <w:ind w:firstLine="640" w:firstLineChars="200"/>
        <w:jc w:val="left"/>
        <w:rPr>
          <w:rFonts w:hint="eastAsia" w:ascii="宋体" w:hAnsi="宋体" w:eastAsia="方正仿宋_GBK" w:cs="宋体"/>
          <w:color w:val="auto"/>
          <w:kern w:val="2"/>
          <w:sz w:val="32"/>
          <w:szCs w:val="32"/>
          <w:highlight w:val="none"/>
          <w:lang w:val="en-US" w:eastAsia="zh-CN" w:bidi="ar-SA"/>
        </w:rPr>
      </w:pPr>
      <w:r>
        <w:rPr>
          <w:rFonts w:hint="eastAsia" w:ascii="宋体" w:hAnsi="宋体" w:eastAsia="方正仿宋_GBK" w:cs="宋体"/>
          <w:color w:val="auto"/>
          <w:kern w:val="2"/>
          <w:sz w:val="32"/>
          <w:szCs w:val="32"/>
          <w:highlight w:val="none"/>
          <w:lang w:val="en-US" w:eastAsia="zh-CN" w:bidi="ar-SA"/>
        </w:rPr>
        <w:t>地西泮又名安定，为苯二氮卓类镇静催眠药，临床上具有抗焦虑、镇静催眠、抗惊厥、抗癫痫及中枢性肌肉松弛作用。长期食用检出地西泮的食品，可能会引起嗜睡、头昏、乏力和记忆力下降等。《食品安全国家标准 食品中兽药最大残留限量》（GB 31650—2019）中规定，地西泮药物允许作食用动物的治疗</w:t>
      </w:r>
      <w:bookmarkStart w:id="0" w:name="_GoBack"/>
      <w:r>
        <w:rPr>
          <w:rFonts w:hint="eastAsia" w:ascii="宋体" w:hAnsi="宋体" w:eastAsia="方正仿宋_GBK" w:cs="宋体"/>
          <w:color w:val="auto"/>
          <w:kern w:val="2"/>
          <w:sz w:val="32"/>
          <w:szCs w:val="32"/>
          <w:highlight w:val="none"/>
          <w:lang w:val="en-US" w:eastAsia="zh-CN" w:bidi="ar-SA"/>
        </w:rPr>
        <w:t>用</w:t>
      </w:r>
      <w:bookmarkEnd w:id="0"/>
      <w:r>
        <w:rPr>
          <w:rFonts w:hint="eastAsia" w:ascii="宋体" w:hAnsi="宋体" w:eastAsia="方正仿宋_GBK" w:cs="宋体"/>
          <w:color w:val="auto"/>
          <w:kern w:val="2"/>
          <w:sz w:val="32"/>
          <w:szCs w:val="32"/>
          <w:highlight w:val="none"/>
          <w:lang w:val="en-US" w:eastAsia="zh-CN" w:bidi="ar-SA"/>
        </w:rPr>
        <w:t>，但不得在动物性食品中检出。淡水鱼中检出地西泮的原因，可能是为降低新鲜活鱼对外界的感知能力，保证其经运输后仍然鲜活而违规使用。</w:t>
      </w:r>
    </w:p>
    <w:p>
      <w:pPr>
        <w:spacing w:line="594" w:lineRule="exact"/>
        <w:ind w:firstLine="592" w:firstLineChars="200"/>
        <w:jc w:val="left"/>
        <w:rPr>
          <w:rFonts w:hint="eastAsia" w:eastAsia="黑体"/>
          <w:color w:val="auto"/>
          <w:spacing w:val="-12"/>
          <w:sz w:val="32"/>
          <w:szCs w:val="32"/>
          <w:lang w:eastAsia="zh-CN"/>
        </w:rPr>
      </w:pPr>
      <w:r>
        <w:rPr>
          <w:rFonts w:hint="eastAsia" w:eastAsia="黑体"/>
          <w:color w:val="auto"/>
          <w:spacing w:val="-12"/>
          <w:sz w:val="32"/>
          <w:szCs w:val="32"/>
          <w:lang w:val="en-US" w:eastAsia="zh-CN"/>
        </w:rPr>
        <w:t>二</w:t>
      </w:r>
      <w:r>
        <w:rPr>
          <w:rFonts w:hint="eastAsia" w:eastAsia="黑体"/>
          <w:color w:val="auto"/>
          <w:spacing w:val="-12"/>
          <w:sz w:val="32"/>
          <w:szCs w:val="32"/>
        </w:rPr>
        <w:t>、</w:t>
      </w:r>
      <w:r>
        <w:rPr>
          <w:rFonts w:hint="eastAsia" w:eastAsia="黑体"/>
          <w:color w:val="auto"/>
          <w:spacing w:val="-12"/>
          <w:sz w:val="32"/>
          <w:szCs w:val="32"/>
          <w:lang w:val="en-US" w:eastAsia="zh-CN"/>
        </w:rPr>
        <w:t>吡唑醚菌酯</w:t>
      </w:r>
    </w:p>
    <w:p>
      <w:pPr>
        <w:spacing w:line="594" w:lineRule="exact"/>
        <w:ind w:firstLine="640" w:firstLineChars="200"/>
        <w:rPr>
          <w:rFonts w:hint="eastAsia" w:ascii="宋体" w:hAnsi="宋体" w:eastAsia="方正仿宋_GBK" w:cs="宋体"/>
          <w:color w:val="auto"/>
          <w:kern w:val="2"/>
          <w:sz w:val="32"/>
          <w:szCs w:val="32"/>
          <w:highlight w:val="none"/>
          <w:lang w:val="en-US" w:eastAsia="zh-CN" w:bidi="ar-SA"/>
        </w:rPr>
      </w:pPr>
      <w:r>
        <w:rPr>
          <w:rFonts w:hint="eastAsia" w:ascii="宋体" w:hAnsi="宋体" w:eastAsia="方正仿宋_GBK" w:cs="宋体"/>
          <w:color w:val="auto"/>
          <w:kern w:val="2"/>
          <w:sz w:val="32"/>
          <w:szCs w:val="32"/>
          <w:highlight w:val="none"/>
          <w:lang w:val="en-US" w:eastAsia="zh-CN" w:bidi="ar-SA"/>
        </w:rPr>
        <w:t>吡唑醚菌酯是具有保护、治疗和传导作用的杀菌剂，急性毒性分级为微毒级，对皮肤、眼睛和呼吸道等有刺激作用，无人体全身性中毒报道，食用食品一般不会导致吡唑醚菌酯的急性中毒，但长期食用吡唑醚菌酯超标的食品，对人体健康也有一定影响。《食品安全国家标准 食品中农药最大残留限量》（GB 2763—2021）中规定，吡唑醚菌酯在茄果类蔬菜中的最大残留限量为0.05mg/kg。吡唑醚菌酯残留超标的原因可能是农产品种植者为加强防病效果超量使用农药，也可能是种植户未严格按照农药安全间隔期，提前采收农作物。</w:t>
      </w:r>
    </w:p>
    <w:p>
      <w:pPr>
        <w:spacing w:line="594" w:lineRule="exact"/>
        <w:ind w:firstLine="592" w:firstLineChars="200"/>
        <w:rPr>
          <w:rFonts w:hint="eastAsia" w:ascii="黑体" w:hAnsi="黑体" w:eastAsia="黑体"/>
          <w:color w:val="auto"/>
          <w:spacing w:val="-12"/>
          <w:sz w:val="32"/>
          <w:szCs w:val="32"/>
          <w:highlight w:val="none"/>
          <w:lang w:val="en-US" w:eastAsia="zh-CN"/>
        </w:rPr>
      </w:pPr>
      <w:r>
        <w:rPr>
          <w:rFonts w:hint="eastAsia" w:ascii="黑体" w:hAnsi="黑体" w:eastAsia="黑体"/>
          <w:color w:val="auto"/>
          <w:spacing w:val="-12"/>
          <w:sz w:val="32"/>
          <w:szCs w:val="32"/>
          <w:highlight w:val="none"/>
          <w:lang w:val="en-US" w:eastAsia="zh-CN"/>
        </w:rPr>
        <w:t>三、尼卡巴嗪</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640" w:firstLineChars="200"/>
        <w:textAlignment w:val="auto"/>
        <w:rPr>
          <w:rFonts w:hint="eastAsia" w:ascii="宋体" w:hAnsi="宋体" w:eastAsia="方正仿宋_GBK" w:cs="宋体"/>
          <w:color w:val="auto"/>
          <w:kern w:val="2"/>
          <w:sz w:val="32"/>
          <w:szCs w:val="32"/>
          <w:highlight w:val="none"/>
          <w:lang w:val="en-US" w:eastAsia="zh-CN" w:bidi="ar-SA"/>
        </w:rPr>
      </w:pPr>
      <w:r>
        <w:rPr>
          <w:rFonts w:hint="eastAsia" w:ascii="宋体" w:hAnsi="宋体" w:eastAsia="方正仿宋_GBK" w:cs="宋体"/>
          <w:color w:val="auto"/>
          <w:kern w:val="2"/>
          <w:sz w:val="32"/>
          <w:szCs w:val="32"/>
          <w:highlight w:val="none"/>
          <w:lang w:val="en-US" w:eastAsia="zh-CN" w:bidi="ar-SA"/>
        </w:rPr>
        <w:t>尼卡巴嗪对鸡的多种艾美耳球虫病有良好的防治效果，具有易吸收、长效等特点。长期食用尼卡巴嗪残留超标的食品，可能导致在人体内蓄积，对人体健康有一定影响。《食品安全国家标准 食品中兽药最大残留限量》（GB 31650—2019）中规定，尼卡巴嗪在鸡肌肉中的最大残留限量值为200μg/kg。鸡肉中尼卡巴嗪超标的原因，可能是在养殖过程中为快速控制疫病，违规加大用药量或不遵守休药期规定，致使上市销售时产品中的药物残留量超标。</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596" w:firstLineChars="200"/>
        <w:textAlignment w:val="auto"/>
        <w:rPr>
          <w:rFonts w:hint="default" w:ascii="宋体" w:hAnsi="宋体" w:eastAsia="方正黑体_GBK" w:cs="宋体"/>
          <w:color w:val="auto"/>
          <w:spacing w:val="-11"/>
          <w:sz w:val="32"/>
          <w:szCs w:val="32"/>
          <w:lang w:val="en-US" w:eastAsia="zh-CN"/>
        </w:rPr>
      </w:pPr>
      <w:r>
        <w:rPr>
          <w:rFonts w:hint="eastAsia" w:ascii="宋体" w:hAnsi="宋体" w:eastAsia="方正黑体_GBK" w:cs="宋体"/>
          <w:color w:val="auto"/>
          <w:spacing w:val="-11"/>
          <w:sz w:val="32"/>
          <w:szCs w:val="32"/>
          <w:lang w:val="en-US" w:eastAsia="zh-CN"/>
        </w:rPr>
        <w:t>四、二氧化硫残留量</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宋体" w:hAnsi="宋体" w:eastAsia="方正仿宋_GBK" w:cs="宋体"/>
          <w:kern w:val="2"/>
          <w:sz w:val="32"/>
          <w:szCs w:val="32"/>
          <w:lang w:val="en-US" w:eastAsia="zh-CN" w:bidi="ar-SA"/>
        </w:rPr>
      </w:pPr>
      <w:r>
        <w:rPr>
          <w:rFonts w:hint="default" w:ascii="宋体" w:hAnsi="宋体" w:eastAsia="方正仿宋_GBK" w:cs="宋体"/>
          <w:kern w:val="2"/>
          <w:sz w:val="32"/>
          <w:szCs w:val="32"/>
          <w:lang w:val="en-US" w:eastAsia="zh-CN" w:bidi="ar-SA"/>
        </w:rPr>
        <w:t>二氧化硫（以及焦亚硫酸钾、亚硫酸钠等添加剂）对食品有漂白、防腐和抗氧化作用，使用后均产生二氧化硫残留。二氧化硫进入人体后最终转化为硫酸盐并随尿液排出体外，一般不会对人体健康造成不良影响，但如果长期过量摄入二氧化硫，可能会对健康不利。《食品安全国家标准 食品添加剂使用标准》（GB 2760—2014）中规定，蔬菜干制品中二氧化硫残留量不得超过0.2g/kg。蔬菜干制品中二氧化硫残留量超标的原因，可能是生产企业为了改善蔬菜干制品的色泽，从而超量使用二氧化硫，也</w:t>
      </w:r>
      <w:r>
        <w:rPr>
          <w:rFonts w:hint="eastAsia" w:ascii="宋体" w:hAnsi="宋体" w:eastAsia="方正仿宋_GBK" w:cs="宋体"/>
          <w:kern w:val="2"/>
          <w:sz w:val="32"/>
          <w:szCs w:val="32"/>
          <w:lang w:val="en-US" w:eastAsia="zh-CN" w:bidi="ar-SA"/>
        </w:rPr>
        <w:t xml:space="preserve">   </w:t>
      </w:r>
      <w:r>
        <w:rPr>
          <w:rFonts w:hint="default" w:ascii="宋体" w:hAnsi="宋体" w:eastAsia="方正仿宋_GBK" w:cs="宋体"/>
          <w:kern w:val="2"/>
          <w:sz w:val="32"/>
          <w:szCs w:val="32"/>
          <w:lang w:val="en-US" w:eastAsia="zh-CN" w:bidi="ar-SA"/>
        </w:rPr>
        <w:t>可能是使用时不计量或计量不准确。</w:t>
      </w:r>
    </w:p>
    <w:p>
      <w:pPr>
        <w:spacing w:line="594" w:lineRule="exact"/>
        <w:ind w:firstLine="596" w:firstLineChars="200"/>
        <w:jc w:val="left"/>
        <w:rPr>
          <w:rFonts w:hint="eastAsia" w:ascii="宋体" w:hAnsi="宋体" w:eastAsia="方正黑体_GBK" w:cs="宋体"/>
          <w:color w:val="auto"/>
          <w:spacing w:val="-11"/>
          <w:sz w:val="32"/>
          <w:szCs w:val="32"/>
          <w:highlight w:val="none"/>
          <w:lang w:val="en-US" w:eastAsia="zh-CN"/>
        </w:rPr>
      </w:pPr>
      <w:r>
        <w:rPr>
          <w:rFonts w:hint="eastAsia" w:ascii="宋体" w:hAnsi="宋体" w:eastAsia="方正黑体_GBK" w:cs="宋体"/>
          <w:color w:val="auto"/>
          <w:spacing w:val="-11"/>
          <w:sz w:val="32"/>
          <w:szCs w:val="32"/>
          <w:highlight w:val="none"/>
          <w:lang w:val="en-US" w:eastAsia="zh-CN"/>
        </w:rPr>
        <w:t>五、</w:t>
      </w:r>
      <w:r>
        <w:rPr>
          <w:rFonts w:hint="eastAsia" w:eastAsia="黑体"/>
          <w:spacing w:val="-12"/>
          <w:sz w:val="32"/>
          <w:szCs w:val="32"/>
          <w:lang w:val="en-US" w:eastAsia="zh-CN"/>
        </w:rPr>
        <w:t>乙酰甲胺磷</w:t>
      </w:r>
    </w:p>
    <w:p>
      <w:pPr>
        <w:keepNext w:val="0"/>
        <w:keepLines w:val="0"/>
        <w:pageBreakBefore w:val="0"/>
        <w:widowControl w:val="0"/>
        <w:kinsoku/>
        <w:wordWrap/>
        <w:overflowPunct/>
        <w:topLinePunct w:val="0"/>
        <w:autoSpaceDE/>
        <w:autoSpaceDN/>
        <w:bidi w:val="0"/>
        <w:snapToGrid/>
        <w:spacing w:line="590" w:lineRule="exact"/>
        <w:ind w:firstLine="640" w:firstLineChars="200"/>
        <w:jc w:val="left"/>
        <w:textAlignment w:val="auto"/>
        <w:rPr>
          <w:rFonts w:hint="default" w:ascii="Times New Roman" w:hAnsi="Times New Roman" w:eastAsia="仿宋_GB2312" w:cs="Times New Roman"/>
          <w:color w:val="0000FF"/>
          <w:kern w:val="2"/>
          <w:sz w:val="32"/>
          <w:szCs w:val="32"/>
          <w:lang w:val="en-US" w:eastAsia="zh-CN" w:bidi="ar-SA"/>
        </w:rPr>
      </w:pPr>
      <w:r>
        <w:rPr>
          <w:rFonts w:hint="eastAsia" w:ascii="宋体" w:hAnsi="宋体" w:eastAsia="方正仿宋_GBK" w:cs="宋体"/>
          <w:color w:val="auto"/>
          <w:kern w:val="2"/>
          <w:sz w:val="32"/>
          <w:szCs w:val="32"/>
          <w:highlight w:val="none"/>
          <w:lang w:val="en-US" w:eastAsia="zh-CN" w:bidi="ar-SA"/>
        </w:rPr>
        <w:t>乙酰甲胺磷又名高灭磷，是内吸性的有机磷类杀虫剂，属低毒杀虫剂。食用食品一般不会导致乙酰甲胺磷的急性中毒，但长期食用乙酰甲胺磷超标的食品，对人体健康也有一定影响。乙酰甲胺磷属于禁限用农药，禁止在蔬菜、瓜果、茶叶、菌类和中草药材上使用。《食品安全国家标准 食品中农药最大残留限量》（GB 2763—2021）中规定，乙酰甲胺磷在豆类蔬菜中最大残留量为0.02mg/kg。乙酰甲胺磷超标的原因可能是菜农采收蔬菜前违规使用相关农药。</w:t>
      </w:r>
    </w:p>
    <w:sectPr>
      <w:footerReference r:id="rId3" w:type="default"/>
      <w:footerReference r:id="rId4" w:type="even"/>
      <w:pgSz w:w="11906" w:h="16838"/>
      <w:pgMar w:top="2098" w:right="141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E8AD5F-161E-4823-AD71-4F904BA2A54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48417A96-8520-47F1-BB6C-E1651391DBFB}"/>
  </w:font>
  <w:font w:name="方正小标宋_GBK">
    <w:panose1 w:val="03000509000000000000"/>
    <w:charset w:val="86"/>
    <w:family w:val="auto"/>
    <w:pitch w:val="default"/>
    <w:sig w:usb0="00000001" w:usb1="080E0000" w:usb2="00000000" w:usb3="00000000" w:csb0="00040000" w:csb1="00000000"/>
    <w:embedRegular r:id="rId3" w:fontKey="{D63FD331-B6A6-418D-AF24-4F4B6A993087}"/>
  </w:font>
  <w:font w:name="方正仿宋_GBK">
    <w:panose1 w:val="03000509000000000000"/>
    <w:charset w:val="86"/>
    <w:family w:val="auto"/>
    <w:pitch w:val="default"/>
    <w:sig w:usb0="00000001" w:usb1="080E0000" w:usb2="00000000" w:usb3="00000000" w:csb0="00040000" w:csb1="00000000"/>
    <w:embedRegular r:id="rId4" w:fontKey="{7D7B68BF-6431-409E-8090-990A0B35CCB9}"/>
  </w:font>
  <w:font w:name="仿宋_GB2312">
    <w:panose1 w:val="02010609030101010101"/>
    <w:charset w:val="86"/>
    <w:family w:val="modern"/>
    <w:pitch w:val="default"/>
    <w:sig w:usb0="00000001" w:usb1="080E0000" w:usb2="00000000" w:usb3="00000000" w:csb0="00040000" w:csb1="00000000"/>
    <w:embedRegular r:id="rId5" w:fontKey="{1A2B2FA8-E9E5-486D-9E03-F9C144829A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86FEC"/>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E57613"/>
    <w:rsid w:val="077F1302"/>
    <w:rsid w:val="08A718AC"/>
    <w:rsid w:val="0AAD14F9"/>
    <w:rsid w:val="0BAF665A"/>
    <w:rsid w:val="0EFB1BB6"/>
    <w:rsid w:val="0FED6590"/>
    <w:rsid w:val="10022AD1"/>
    <w:rsid w:val="11AA7966"/>
    <w:rsid w:val="11C52008"/>
    <w:rsid w:val="141679B1"/>
    <w:rsid w:val="159E2C66"/>
    <w:rsid w:val="15B85137"/>
    <w:rsid w:val="16041BA6"/>
    <w:rsid w:val="187854F2"/>
    <w:rsid w:val="1D2A530E"/>
    <w:rsid w:val="1F0653D6"/>
    <w:rsid w:val="1FA83868"/>
    <w:rsid w:val="22A46395"/>
    <w:rsid w:val="23496F3C"/>
    <w:rsid w:val="2BDB0938"/>
    <w:rsid w:val="2C550700"/>
    <w:rsid w:val="2C9024A3"/>
    <w:rsid w:val="2DE7759F"/>
    <w:rsid w:val="2F1403FE"/>
    <w:rsid w:val="33067B3D"/>
    <w:rsid w:val="33764379"/>
    <w:rsid w:val="33D04B10"/>
    <w:rsid w:val="361B61C7"/>
    <w:rsid w:val="36C50230"/>
    <w:rsid w:val="3A512225"/>
    <w:rsid w:val="3B797920"/>
    <w:rsid w:val="3ECA4CD4"/>
    <w:rsid w:val="40475A64"/>
    <w:rsid w:val="42CD2946"/>
    <w:rsid w:val="44586DC0"/>
    <w:rsid w:val="45C97345"/>
    <w:rsid w:val="479E0D55"/>
    <w:rsid w:val="48805DD2"/>
    <w:rsid w:val="49115557"/>
    <w:rsid w:val="49C57CC7"/>
    <w:rsid w:val="4AFE195C"/>
    <w:rsid w:val="4B304B48"/>
    <w:rsid w:val="4B5562A0"/>
    <w:rsid w:val="4BB9615E"/>
    <w:rsid w:val="4BC323F1"/>
    <w:rsid w:val="4C9B5A25"/>
    <w:rsid w:val="4CB16E35"/>
    <w:rsid w:val="4D2F6550"/>
    <w:rsid w:val="4EE57FD2"/>
    <w:rsid w:val="510D7238"/>
    <w:rsid w:val="518508DD"/>
    <w:rsid w:val="52732B71"/>
    <w:rsid w:val="532E3A5B"/>
    <w:rsid w:val="5B0203A0"/>
    <w:rsid w:val="60FD15F7"/>
    <w:rsid w:val="6189617B"/>
    <w:rsid w:val="62C531E2"/>
    <w:rsid w:val="634E6D48"/>
    <w:rsid w:val="63A75247"/>
    <w:rsid w:val="63E1229E"/>
    <w:rsid w:val="6655487D"/>
    <w:rsid w:val="6A00000E"/>
    <w:rsid w:val="6A7A5576"/>
    <w:rsid w:val="6CDE6EEF"/>
    <w:rsid w:val="6D535020"/>
    <w:rsid w:val="6D631F76"/>
    <w:rsid w:val="6E0005AE"/>
    <w:rsid w:val="6ED3511D"/>
    <w:rsid w:val="6FB849AC"/>
    <w:rsid w:val="70E4517B"/>
    <w:rsid w:val="74A44FDB"/>
    <w:rsid w:val="75856B41"/>
    <w:rsid w:val="7BFC5A6F"/>
    <w:rsid w:val="7C896BD7"/>
    <w:rsid w:val="7CCD4AFB"/>
    <w:rsid w:val="7D2012E9"/>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annotation text"/>
    <w:basedOn w:val="1"/>
    <w:link w:val="20"/>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1"/>
    <w:qFormat/>
    <w:uiPriority w:val="0"/>
    <w:rPr>
      <w:b/>
      <w:bCs/>
    </w:rPr>
  </w:style>
  <w:style w:type="character" w:styleId="13">
    <w:name w:val="annotation reference"/>
    <w:basedOn w:val="12"/>
    <w:qFormat/>
    <w:uiPriority w:val="0"/>
    <w:rPr>
      <w:sz w:val="21"/>
      <w:szCs w:val="21"/>
    </w:rPr>
  </w:style>
  <w:style w:type="paragraph" w:customStyle="1" w:styleId="14">
    <w:name w:val="列出段落2"/>
    <w:basedOn w:val="1"/>
    <w:qFormat/>
    <w:uiPriority w:val="34"/>
    <w:pPr>
      <w:ind w:firstLine="420" w:firstLineChars="200"/>
    </w:pPr>
  </w:style>
  <w:style w:type="character" w:customStyle="1" w:styleId="15">
    <w:name w:val="批注框文本 字符"/>
    <w:basedOn w:val="12"/>
    <w:link w:val="5"/>
    <w:qFormat/>
    <w:uiPriority w:val="0"/>
    <w:rPr>
      <w:rFonts w:ascii="Calibri" w:hAnsi="Calibri" w:eastAsia="宋体" w:cs="Times New Roman"/>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页眉 字符"/>
    <w:basedOn w:val="12"/>
    <w:link w:val="7"/>
    <w:qFormat/>
    <w:uiPriority w:val="0"/>
    <w:rPr>
      <w:rFonts w:ascii="Calibri" w:hAnsi="Calibri" w:eastAsia="宋体" w:cs="Times New Roman"/>
      <w:kern w:val="2"/>
      <w:sz w:val="18"/>
      <w:szCs w:val="18"/>
    </w:rPr>
  </w:style>
  <w:style w:type="character" w:customStyle="1" w:styleId="18">
    <w:name w:val="页脚 字符"/>
    <w:basedOn w:val="12"/>
    <w:link w:val="6"/>
    <w:qFormat/>
    <w:uiPriority w:val="99"/>
    <w:rPr>
      <w:rFonts w:ascii="Calibri" w:hAnsi="Calibri" w:eastAsia="宋体" w:cs="Times New Roman"/>
      <w:kern w:val="2"/>
      <w:sz w:val="18"/>
      <w:szCs w:val="18"/>
    </w:rPr>
  </w:style>
  <w:style w:type="character" w:customStyle="1" w:styleId="19">
    <w:name w:val="副标题 字符"/>
    <w:basedOn w:val="12"/>
    <w:link w:val="8"/>
    <w:qFormat/>
    <w:uiPriority w:val="0"/>
    <w:rPr>
      <w:rFonts w:ascii="Times New Roman" w:hAnsi="Times New Roman" w:eastAsia="黑体"/>
      <w:bCs/>
      <w:kern w:val="28"/>
      <w:sz w:val="32"/>
      <w:szCs w:val="32"/>
    </w:rPr>
  </w:style>
  <w:style w:type="character" w:customStyle="1" w:styleId="20">
    <w:name w:val="批注文字 字符"/>
    <w:basedOn w:val="12"/>
    <w:link w:val="4"/>
    <w:qFormat/>
    <w:uiPriority w:val="0"/>
    <w:rPr>
      <w:rFonts w:ascii="Calibri" w:hAnsi="Calibri" w:eastAsia="宋体" w:cs="Times New Roman"/>
      <w:kern w:val="2"/>
      <w:sz w:val="21"/>
      <w:szCs w:val="24"/>
    </w:rPr>
  </w:style>
  <w:style w:type="character" w:customStyle="1" w:styleId="21">
    <w:name w:val="批注主题 字符"/>
    <w:basedOn w:val="20"/>
    <w:link w:val="10"/>
    <w:qFormat/>
    <w:uiPriority w:val="0"/>
    <w:rPr>
      <w:rFonts w:ascii="Calibri" w:hAnsi="Calibri" w:eastAsia="宋体" w:cs="Times New Roman"/>
      <w:b/>
      <w:bCs/>
      <w:kern w:val="2"/>
      <w:sz w:val="21"/>
      <w:szCs w:val="24"/>
    </w:rPr>
  </w:style>
  <w:style w:type="paragraph" w:customStyle="1" w:styleId="22">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1089</Words>
  <Characters>1155</Characters>
  <Lines>16</Lines>
  <Paragraphs>4</Paragraphs>
  <TotalTime>3</TotalTime>
  <ScaleCrop>false</ScaleCrop>
  <LinksUpToDate>false</LinksUpToDate>
  <CharactersWithSpaces>1168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居北念南</cp:lastModifiedBy>
  <dcterms:modified xsi:type="dcterms:W3CDTF">2023-03-24T02:32:40Z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BFD02D606F7B421BA16D13BA0ED4F7A7</vt:lpwstr>
  </property>
</Properties>
</file>