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ilvl w:val="0"/>
          <w:numId w:val="0"/>
        </w:numPr>
        <w:kinsoku/>
        <w:wordWrap/>
        <w:overflowPunct/>
        <w:topLinePunct w:val="0"/>
        <w:autoSpaceDE/>
        <w:autoSpaceDN/>
        <w:bidi w:val="0"/>
        <w:spacing w:line="600" w:lineRule="exact"/>
        <w:textAlignment w:val="auto"/>
        <w:rPr>
          <w:rFonts w:hint="default" w:ascii="仿宋" w:hAnsi="仿宋" w:eastAsia="仿宋" w:cs="Times New Roman"/>
          <w:sz w:val="32"/>
          <w:szCs w:val="32"/>
        </w:rPr>
      </w:pPr>
      <w:r>
        <w:rPr>
          <w:rFonts w:hint="default" w:ascii="仿宋" w:hAnsi="仿宋" w:eastAsia="仿宋" w:cs="Times New Roman"/>
          <w:sz w:val="32"/>
          <w:szCs w:val="32"/>
        </w:rPr>
        <w:t>附件</w:t>
      </w:r>
      <w:r>
        <w:rPr>
          <w:rFonts w:hint="eastAsia" w:ascii="仿宋" w:hAnsi="仿宋" w:eastAsia="仿宋" w:cs="Times New Roman"/>
          <w:sz w:val="32"/>
          <w:szCs w:val="32"/>
          <w:lang w:val="en-US" w:eastAsia="zh-CN"/>
        </w:rPr>
        <w:t>8</w:t>
      </w:r>
    </w:p>
    <w:p>
      <w:pPr>
        <w:keepNext w:val="0"/>
        <w:keepLines w:val="0"/>
        <w:pageBreakBefore w:val="0"/>
        <w:kinsoku/>
        <w:wordWrap/>
        <w:overflowPunct/>
        <w:topLinePunct w:val="0"/>
        <w:autoSpaceDE/>
        <w:autoSpaceDN/>
        <w:bidi w:val="0"/>
        <w:spacing w:line="600" w:lineRule="exact"/>
        <w:jc w:val="center"/>
        <w:textAlignment w:val="auto"/>
        <w:rPr>
          <w:rFonts w:hint="default" w:ascii="Times New Roman" w:hAnsi="Times New Roman" w:eastAsia="方正小标宋简体" w:cs="Times New Roman"/>
          <w:spacing w:val="-12"/>
          <w:sz w:val="44"/>
          <w:szCs w:val="44"/>
        </w:rPr>
      </w:pPr>
    </w:p>
    <w:p>
      <w:pPr>
        <w:keepNext w:val="0"/>
        <w:keepLines w:val="0"/>
        <w:pageBreakBefore w:val="0"/>
        <w:kinsoku/>
        <w:wordWrap/>
        <w:overflowPunct/>
        <w:topLinePunct w:val="0"/>
        <w:autoSpaceDE/>
        <w:autoSpaceDN/>
        <w:bidi w:val="0"/>
        <w:spacing w:line="600" w:lineRule="exact"/>
        <w:jc w:val="center"/>
        <w:textAlignment w:val="auto"/>
        <w:rPr>
          <w:rFonts w:hint="default" w:ascii="Times New Roman" w:hAnsi="Times New Roman" w:eastAsia="方正小标宋简体" w:cs="Times New Roman"/>
          <w:spacing w:val="-12"/>
          <w:sz w:val="44"/>
          <w:szCs w:val="44"/>
        </w:rPr>
      </w:pPr>
      <w:r>
        <w:rPr>
          <w:rFonts w:hint="default" w:ascii="Times New Roman" w:hAnsi="Times New Roman" w:eastAsia="方正小标宋简体" w:cs="Times New Roman"/>
          <w:spacing w:val="-12"/>
          <w:sz w:val="44"/>
          <w:szCs w:val="44"/>
        </w:rPr>
        <w:t>关于部分检验项目的说明</w:t>
      </w:r>
    </w:p>
    <w:p>
      <w:pPr>
        <w:pStyle w:val="2"/>
        <w:keepNext w:val="0"/>
        <w:keepLines w:val="0"/>
        <w:pageBreakBefore w:val="0"/>
        <w:kinsoku/>
        <w:wordWrap/>
        <w:overflowPunct/>
        <w:topLinePunct w:val="0"/>
        <w:autoSpaceDE/>
        <w:autoSpaceDN/>
        <w:bidi w:val="0"/>
        <w:spacing w:line="600" w:lineRule="exact"/>
        <w:textAlignment w:val="auto"/>
        <w:rPr>
          <w:rFonts w:hint="default"/>
        </w:rPr>
      </w:pPr>
    </w:p>
    <w:p>
      <w:pPr>
        <w:keepNext w:val="0"/>
        <w:keepLines w:val="0"/>
        <w:pageBreakBefore w:val="0"/>
        <w:kinsoku/>
        <w:wordWrap/>
        <w:overflowPunct/>
        <w:topLinePunct w:val="0"/>
        <w:autoSpaceDE/>
        <w:autoSpaceDN/>
        <w:bidi w:val="0"/>
        <w:spacing w:line="600" w:lineRule="exact"/>
        <w:ind w:firstLine="420" w:firstLineChars="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一</w:t>
      </w:r>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氯霉素</w:t>
      </w:r>
    </w:p>
    <w:p>
      <w:pPr>
        <w:keepNext w:val="0"/>
        <w:keepLines w:val="0"/>
        <w:pageBreakBefore w:val="0"/>
        <w:numPr>
          <w:ilvl w:val="0"/>
          <w:numId w:val="0"/>
        </w:numPr>
        <w:kinsoku/>
        <w:wordWrap/>
        <w:overflowPunct/>
        <w:topLinePunct w:val="0"/>
        <w:autoSpaceDE/>
        <w:autoSpaceDN/>
        <w:bidi w:val="0"/>
        <w:spacing w:line="600" w:lineRule="exact"/>
        <w:ind w:firstLine="420" w:firstLineChars="0"/>
        <w:textAlignment w:val="auto"/>
        <w:rPr>
          <w:rFonts w:hint="eastAsia" w:ascii="Times New Roman" w:hAnsi="Times New Roman" w:eastAsia="仿宋_GB2312"/>
          <w:sz w:val="32"/>
          <w:szCs w:val="32"/>
        </w:rPr>
      </w:pPr>
      <w:r>
        <w:rPr>
          <w:rFonts w:hint="eastAsia" w:ascii="仿宋" w:hAnsi="仿宋" w:eastAsia="仿宋" w:cs="Times New Roman"/>
          <w:sz w:val="32"/>
          <w:szCs w:val="32"/>
        </w:rPr>
        <w:t>氯霉素一种杀菌剂，也是高效广谱的抗生素，对革兰氏阳性菌和革兰氏阴性菌均有较好的抑制作用，《动物性食品中兽药最高残留限量》（农业部公告第235号）中将氯霉素列入禁止使用且不得在动物性食品中检出的药物。动物产品中检出氯霉素的主要原因可能是养殖者为防止病虫害而非法使用禁用兽药氯霉素</w:t>
      </w:r>
      <w:r>
        <w:rPr>
          <w:rFonts w:ascii="仿宋" w:hAnsi="仿宋" w:eastAsia="仿宋" w:cs="Times New Roman"/>
          <w:sz w:val="32"/>
          <w:szCs w:val="32"/>
        </w:rPr>
        <w:t>。</w:t>
      </w:r>
      <w:r>
        <w:rPr>
          <w:rFonts w:hint="eastAsia" w:ascii="仿宋" w:hAnsi="仿宋" w:eastAsia="仿宋"/>
          <w:sz w:val="32"/>
          <w:szCs w:val="32"/>
        </w:rPr>
        <w:t>肉制品中检出氯霉素超标的可能原因</w:t>
      </w:r>
      <w:r>
        <w:rPr>
          <w:rFonts w:ascii="仿宋" w:hAnsi="仿宋" w:eastAsia="仿宋"/>
          <w:sz w:val="32"/>
          <w:szCs w:val="32"/>
        </w:rPr>
        <w:t>是</w:t>
      </w:r>
      <w:r>
        <w:rPr>
          <w:rFonts w:hint="eastAsia" w:ascii="仿宋" w:hAnsi="仿宋" w:eastAsia="仿宋"/>
          <w:sz w:val="32"/>
          <w:szCs w:val="32"/>
        </w:rPr>
        <w:t>原料畜禽肉本次氯霉素超标残留</w:t>
      </w:r>
      <w:r>
        <w:rPr>
          <w:rFonts w:ascii="仿宋" w:hAnsi="仿宋" w:eastAsia="仿宋"/>
          <w:sz w:val="32"/>
          <w:szCs w:val="32"/>
        </w:rPr>
        <w:t>。</w:t>
      </w:r>
      <w:r>
        <w:rPr>
          <w:rFonts w:hint="eastAsia" w:ascii="Times New Roman" w:hAnsi="Times New Roman" w:eastAsia="仿宋_GB2312"/>
          <w:sz w:val="32"/>
          <w:szCs w:val="32"/>
        </w:rPr>
        <w:t>长期食用氯霉素残留超标的食品可能引起肠道菌群失调，导致消化机能紊乱；人体过量摄入氯霉素可引起人肝脏和骨髓造血机能的损害，导致再生障碍性贫血和血小板减少、肝损伤等健康危害。</w:t>
      </w:r>
    </w:p>
    <w:p>
      <w:pPr>
        <w:keepNext w:val="0"/>
        <w:keepLines w:val="0"/>
        <w:pageBreakBefore w:val="0"/>
        <w:numPr>
          <w:ilvl w:val="0"/>
          <w:numId w:val="1"/>
        </w:numPr>
        <w:kinsoku/>
        <w:wordWrap/>
        <w:overflowPunct/>
        <w:topLinePunct w:val="0"/>
        <w:autoSpaceDE/>
        <w:autoSpaceDN/>
        <w:bidi w:val="0"/>
        <w:spacing w:line="600" w:lineRule="exact"/>
        <w:ind w:firstLine="420" w:firstLineChars="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恩诺沙星</w:t>
      </w:r>
    </w:p>
    <w:p>
      <w:pPr>
        <w:keepNext w:val="0"/>
        <w:keepLines w:val="0"/>
        <w:pageBreakBefore w:val="0"/>
        <w:widowControl/>
        <w:kinsoku/>
        <w:wordWrap/>
        <w:overflowPunct/>
        <w:topLinePunct w:val="0"/>
        <w:autoSpaceDE/>
        <w:autoSpaceDN/>
        <w:bidi w:val="0"/>
        <w:spacing w:line="600" w:lineRule="exact"/>
        <w:ind w:firstLine="420" w:firstLineChars="0"/>
        <w:textAlignment w:val="auto"/>
        <w:rPr>
          <w:rFonts w:hint="eastAsia" w:ascii="黑体" w:hAnsi="黑体" w:eastAsia="黑体" w:cs="黑体"/>
          <w:sz w:val="32"/>
          <w:szCs w:val="32"/>
          <w:lang w:val="en-US" w:eastAsia="zh-CN"/>
        </w:rPr>
      </w:pPr>
      <w:r>
        <w:rPr>
          <w:rFonts w:ascii="仿宋" w:hAnsi="仿宋" w:eastAsia="仿宋"/>
          <w:sz w:val="32"/>
          <w:szCs w:val="32"/>
        </w:rPr>
        <w:t>恩诺沙星为广谱杀菌药，对</w:t>
      </w:r>
      <w:r>
        <w:fldChar w:fldCharType="begin"/>
      </w:r>
      <w:r>
        <w:instrText xml:space="preserve"> HYPERLINK "http://baike.baidu.com/item/%E6%94%AF%E5%8E%9F%E4%BD%93" \t "_blank" </w:instrText>
      </w:r>
      <w:r>
        <w:fldChar w:fldCharType="separate"/>
      </w:r>
      <w:r>
        <w:rPr>
          <w:rFonts w:ascii="仿宋" w:hAnsi="仿宋" w:eastAsia="仿宋"/>
          <w:sz w:val="32"/>
          <w:szCs w:val="32"/>
        </w:rPr>
        <w:t>支原体</w:t>
      </w:r>
      <w:r>
        <w:rPr>
          <w:rFonts w:ascii="仿宋" w:hAnsi="仿宋" w:eastAsia="仿宋"/>
          <w:sz w:val="32"/>
          <w:szCs w:val="32"/>
        </w:rPr>
        <w:fldChar w:fldCharType="end"/>
      </w:r>
      <w:r>
        <w:rPr>
          <w:rFonts w:ascii="仿宋" w:hAnsi="仿宋" w:eastAsia="仿宋"/>
          <w:sz w:val="32"/>
          <w:szCs w:val="32"/>
        </w:rPr>
        <w:t>有特效</w:t>
      </w:r>
      <w:r>
        <w:rPr>
          <w:rFonts w:hint="eastAsia" w:ascii="仿宋" w:hAnsi="仿宋" w:eastAsia="仿宋"/>
          <w:sz w:val="32"/>
          <w:szCs w:val="32"/>
        </w:rPr>
        <w:t>，</w:t>
      </w:r>
      <w:r>
        <w:rPr>
          <w:rFonts w:ascii="仿宋" w:hAnsi="仿宋" w:eastAsia="仿宋"/>
          <w:sz w:val="32"/>
          <w:szCs w:val="32"/>
        </w:rPr>
        <w:t>对大肠杆菌、克雷白杆菌、沙门氏菌、变形杆菌、</w:t>
      </w:r>
      <w:r>
        <w:fldChar w:fldCharType="begin"/>
      </w:r>
      <w:r>
        <w:instrText xml:space="preserve"> HYPERLINK "http://baike.baidu.com/item/%E7%BB%BF%E8%84%93%E6%9D%86%E8%8F%8C" \t "_blank" </w:instrText>
      </w:r>
      <w:r>
        <w:fldChar w:fldCharType="separate"/>
      </w:r>
      <w:r>
        <w:rPr>
          <w:rFonts w:ascii="仿宋" w:hAnsi="仿宋" w:eastAsia="仿宋"/>
          <w:sz w:val="32"/>
          <w:szCs w:val="32"/>
        </w:rPr>
        <w:t>绿脓杆菌</w:t>
      </w:r>
      <w:r>
        <w:rPr>
          <w:rFonts w:ascii="仿宋" w:hAnsi="仿宋" w:eastAsia="仿宋"/>
          <w:sz w:val="32"/>
          <w:szCs w:val="32"/>
        </w:rPr>
        <w:fldChar w:fldCharType="end"/>
      </w:r>
      <w:r>
        <w:rPr>
          <w:rFonts w:ascii="仿宋" w:hAnsi="仿宋" w:eastAsia="仿宋"/>
          <w:sz w:val="32"/>
          <w:szCs w:val="32"/>
        </w:rPr>
        <w:t>、嗜血杆菌、多杀性巴氏杆菌、溶血性巴氏杆菌、金葡菌、</w:t>
      </w:r>
      <w:r>
        <w:fldChar w:fldCharType="begin"/>
      </w:r>
      <w:r>
        <w:instrText xml:space="preserve"> HYPERLINK "http://baike.baidu.com/item/%E9%93%BE%E7%90%83%E8%8F%8C" \t "_blank" </w:instrText>
      </w:r>
      <w:r>
        <w:fldChar w:fldCharType="separate"/>
      </w:r>
      <w:r>
        <w:rPr>
          <w:rFonts w:ascii="仿宋" w:hAnsi="仿宋" w:eastAsia="仿宋"/>
          <w:sz w:val="32"/>
          <w:szCs w:val="32"/>
        </w:rPr>
        <w:t>链球菌</w:t>
      </w:r>
      <w:r>
        <w:rPr>
          <w:rFonts w:ascii="仿宋" w:hAnsi="仿宋" w:eastAsia="仿宋"/>
          <w:sz w:val="32"/>
          <w:szCs w:val="32"/>
        </w:rPr>
        <w:fldChar w:fldCharType="end"/>
      </w:r>
      <w:r>
        <w:rPr>
          <w:rFonts w:ascii="仿宋" w:hAnsi="仿宋" w:eastAsia="仿宋"/>
          <w:sz w:val="32"/>
          <w:szCs w:val="32"/>
        </w:rPr>
        <w:t>等都有杀菌效用</w:t>
      </w:r>
      <w:r>
        <w:rPr>
          <w:rFonts w:hint="eastAsia" w:ascii="仿宋" w:hAnsi="仿宋" w:eastAsia="仿宋"/>
          <w:sz w:val="32"/>
          <w:szCs w:val="32"/>
        </w:rPr>
        <w:t>。若人体长期摄入此类药物超标的动物性食品,可引起轻度胃肠道不适,头痛、头晕等症状，产生耐药性,大剂量或长期摄入还可能引起肝损害。</w:t>
      </w:r>
      <w:r>
        <w:rPr>
          <w:rFonts w:hint="eastAsia" w:ascii="仿宋" w:hAnsi="仿宋" w:eastAsia="仿宋" w:cs="宋体"/>
          <w:color w:val="000000"/>
          <w:kern w:val="0"/>
          <w:sz w:val="32"/>
          <w:szCs w:val="32"/>
        </w:rPr>
        <w:t>检出</w:t>
      </w:r>
      <w:r>
        <w:rPr>
          <w:rFonts w:ascii="仿宋" w:hAnsi="仿宋" w:eastAsia="仿宋"/>
          <w:sz w:val="32"/>
          <w:szCs w:val="32"/>
        </w:rPr>
        <w:t>恩诺沙星</w:t>
      </w:r>
      <w:r>
        <w:rPr>
          <w:rFonts w:hint="eastAsia" w:ascii="仿宋" w:hAnsi="仿宋" w:eastAsia="仿宋" w:cs="宋体"/>
          <w:color w:val="000000"/>
          <w:kern w:val="0"/>
          <w:sz w:val="32"/>
          <w:szCs w:val="32"/>
        </w:rPr>
        <w:t>不合格</w:t>
      </w:r>
      <w:r>
        <w:rPr>
          <w:rFonts w:hint="eastAsia" w:ascii="仿宋" w:hAnsi="仿宋" w:eastAsia="仿宋"/>
          <w:sz w:val="32"/>
          <w:szCs w:val="32"/>
        </w:rPr>
        <w:t>的原因可能是养殖者在养殖或运输途中为减少或防止水产动物受寄生虫影响导致死亡</w:t>
      </w:r>
      <w:r>
        <w:rPr>
          <w:rFonts w:hint="eastAsia" w:ascii="仿宋" w:hAnsi="仿宋" w:eastAsia="仿宋"/>
          <w:color w:val="0070C0"/>
          <w:sz w:val="32"/>
          <w:szCs w:val="32"/>
        </w:rPr>
        <w:t>而</w:t>
      </w:r>
      <w:r>
        <w:rPr>
          <w:rFonts w:hint="eastAsia" w:ascii="仿宋" w:hAnsi="仿宋" w:eastAsia="仿宋"/>
          <w:sz w:val="32"/>
          <w:szCs w:val="32"/>
        </w:rPr>
        <w:t>超剂量使用</w:t>
      </w:r>
      <w:r>
        <w:rPr>
          <w:rFonts w:ascii="仿宋" w:hAnsi="仿宋" w:eastAsia="仿宋"/>
          <w:sz w:val="32"/>
          <w:szCs w:val="32"/>
        </w:rPr>
        <w:t>恩诺沙星</w:t>
      </w:r>
      <w:r>
        <w:rPr>
          <w:rFonts w:hint="eastAsia" w:ascii="仿宋" w:hAnsi="仿宋" w:eastAsia="仿宋"/>
          <w:sz w:val="32"/>
          <w:szCs w:val="32"/>
        </w:rPr>
        <w:t>。</w:t>
      </w:r>
    </w:p>
    <w:p>
      <w:pPr>
        <w:keepNext w:val="0"/>
        <w:keepLines w:val="0"/>
        <w:pageBreakBefore w:val="0"/>
        <w:numPr>
          <w:ilvl w:val="0"/>
          <w:numId w:val="1"/>
        </w:numPr>
        <w:kinsoku/>
        <w:wordWrap/>
        <w:overflowPunct/>
        <w:topLinePunct w:val="0"/>
        <w:autoSpaceDE/>
        <w:autoSpaceDN/>
        <w:bidi w:val="0"/>
        <w:spacing w:line="600" w:lineRule="exact"/>
        <w:ind w:left="0" w:leftChars="0" w:firstLine="420" w:firstLineChars="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孔雀石绿</w:t>
      </w:r>
    </w:p>
    <w:p>
      <w:pPr>
        <w:keepNext w:val="0"/>
        <w:keepLines w:val="0"/>
        <w:pageBreakBefore w:val="0"/>
        <w:kinsoku/>
        <w:wordWrap/>
        <w:overflowPunct/>
        <w:topLinePunct w:val="0"/>
        <w:autoSpaceDE/>
        <w:autoSpaceDN/>
        <w:bidi w:val="0"/>
        <w:spacing w:line="600" w:lineRule="exact"/>
        <w:ind w:firstLine="420" w:firstLineChars="0"/>
        <w:textAlignment w:val="auto"/>
        <w:rPr>
          <w:rFonts w:ascii="仿宋" w:hAnsi="仿宋" w:eastAsia="仿宋"/>
          <w:sz w:val="32"/>
          <w:szCs w:val="32"/>
        </w:rPr>
      </w:pPr>
      <w:r>
        <w:rPr>
          <w:rFonts w:hint="eastAsia" w:ascii="仿宋" w:hAnsi="仿宋" w:eastAsia="仿宋"/>
          <w:sz w:val="32"/>
          <w:szCs w:val="32"/>
        </w:rPr>
        <w:t>孔雀石绿是三苯甲烷类化学物，为工业染料，因其具有杀菌作用，常被不法商家用于处理受寄生虫影响的淡水水产品。有研究表明，孔雀石绿及其代谢物隐色孔雀石绿除了具有致癌性，还会导致胎儿畸形和呼吸系统毒性。组织病理学研究表明，其对动物多器官组织包括肝肾有损伤及功能障碍。检出孔雀石绿不合格的原因可能是养殖者在养殖或运输途中为减少或防止水产动物受寄生虫影响导致死亡而违规使用孔雀石绿。</w:t>
      </w:r>
    </w:p>
    <w:p>
      <w:pPr>
        <w:keepNext w:val="0"/>
        <w:keepLines w:val="0"/>
        <w:pageBreakBefore w:val="0"/>
        <w:kinsoku/>
        <w:wordWrap/>
        <w:overflowPunct/>
        <w:topLinePunct w:val="0"/>
        <w:autoSpaceDE/>
        <w:autoSpaceDN/>
        <w:bidi w:val="0"/>
        <w:spacing w:line="600" w:lineRule="exact"/>
        <w:ind w:firstLine="420" w:firstLineChars="0"/>
        <w:textAlignment w:val="auto"/>
        <w:rPr>
          <w:rFonts w:ascii="仿宋" w:hAnsi="仿宋" w:eastAsia="仿宋" w:cs="Times New Roman"/>
          <w:sz w:val="32"/>
          <w:szCs w:val="32"/>
        </w:rPr>
      </w:pPr>
      <w:r>
        <w:rPr>
          <w:rFonts w:hint="eastAsia" w:ascii="仿宋" w:hAnsi="仿宋" w:eastAsia="仿宋" w:cs="宋体"/>
          <w:kern w:val="0"/>
          <w:sz w:val="32"/>
          <w:szCs w:val="32"/>
          <w:lang w:val="zh-CN"/>
        </w:rPr>
        <w:t>《动物性食品中兽药最高残留限量》(中华人民共和国农业部公告第235号)中</w:t>
      </w:r>
      <w:r>
        <w:rPr>
          <w:rFonts w:hint="eastAsia" w:ascii="仿宋" w:hAnsi="仿宋" w:eastAsia="仿宋" w:cs="宋体"/>
          <w:color w:val="000000"/>
          <w:kern w:val="0"/>
          <w:sz w:val="32"/>
          <w:szCs w:val="32"/>
        </w:rPr>
        <w:t>要求孔雀石绿残留量(孔雀石绿与隐色孔雀石绿之和)在水产中不得检出。</w:t>
      </w:r>
    </w:p>
    <w:p>
      <w:pPr>
        <w:keepNext w:val="0"/>
        <w:keepLines w:val="0"/>
        <w:pageBreakBefore w:val="0"/>
        <w:numPr>
          <w:ilvl w:val="0"/>
          <w:numId w:val="1"/>
        </w:numPr>
        <w:kinsoku/>
        <w:wordWrap/>
        <w:overflowPunct/>
        <w:topLinePunct w:val="0"/>
        <w:autoSpaceDE/>
        <w:autoSpaceDN/>
        <w:bidi w:val="0"/>
        <w:spacing w:line="600" w:lineRule="exact"/>
        <w:ind w:left="0" w:leftChars="0" w:firstLine="420" w:firstLineChars="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呋喃唑酮代谢物</w:t>
      </w:r>
    </w:p>
    <w:p>
      <w:pPr>
        <w:pStyle w:val="7"/>
        <w:keepNext w:val="0"/>
        <w:keepLines w:val="0"/>
        <w:pageBreakBefore w:val="0"/>
        <w:kinsoku/>
        <w:wordWrap/>
        <w:overflowPunct/>
        <w:topLinePunct w:val="0"/>
        <w:autoSpaceDE/>
        <w:autoSpaceDN/>
        <w:bidi w:val="0"/>
        <w:spacing w:line="600" w:lineRule="exact"/>
        <w:ind w:left="0" w:leftChars="0" w:firstLine="420" w:firstLineChars="0"/>
        <w:textAlignment w:val="auto"/>
        <w:rPr>
          <w:rFonts w:ascii="仿宋" w:hAnsi="仿宋" w:eastAsia="仿宋"/>
          <w:sz w:val="32"/>
          <w:szCs w:val="32"/>
        </w:rPr>
      </w:pPr>
      <w:r>
        <w:rPr>
          <w:rFonts w:ascii="仿宋" w:hAnsi="仿宋" w:eastAsia="仿宋"/>
          <w:sz w:val="32"/>
          <w:szCs w:val="32"/>
        </w:rPr>
        <w:t>呋喃唑酮、呋喃它酮、呋喃妥因、呋喃西林是属于硝基呋喃类广谱抗生素，</w:t>
      </w:r>
      <w:r>
        <w:rPr>
          <w:rFonts w:hint="eastAsia" w:ascii="仿宋" w:hAnsi="仿宋" w:eastAsia="仿宋"/>
          <w:sz w:val="32"/>
          <w:szCs w:val="32"/>
        </w:rPr>
        <w:t>曾</w:t>
      </w:r>
      <w:r>
        <w:rPr>
          <w:rFonts w:ascii="仿宋" w:hAnsi="仿宋" w:eastAsia="仿宋"/>
          <w:sz w:val="32"/>
          <w:szCs w:val="32"/>
        </w:rPr>
        <w:t>广泛应用于畜禽及水产养殖业。硝基呋喃类原型药在生物体内代谢迅速，和蛋白质结合后相当稳定，故常利用对其代谢物的检测来</w:t>
      </w:r>
      <w:r>
        <w:rPr>
          <w:rFonts w:hint="eastAsia" w:ascii="仿宋" w:hAnsi="仿宋" w:eastAsia="仿宋"/>
          <w:sz w:val="32"/>
          <w:szCs w:val="32"/>
        </w:rPr>
        <w:t>反映</w:t>
      </w:r>
      <w:r>
        <w:rPr>
          <w:rFonts w:ascii="仿宋" w:hAnsi="仿宋" w:eastAsia="仿宋"/>
          <w:sz w:val="32"/>
          <w:szCs w:val="32"/>
        </w:rPr>
        <w:t>硝基呋喃类药物的残留状况。《动物性食品中兽药最高残留限量》（农业部公告第235号）、《兽药地方标准废止目录》（农业部公告第560号）中规定</w:t>
      </w:r>
      <w:r>
        <w:rPr>
          <w:rFonts w:hint="eastAsia" w:ascii="仿宋" w:hAnsi="仿宋" w:eastAsia="仿宋"/>
          <w:sz w:val="32"/>
          <w:szCs w:val="32"/>
        </w:rPr>
        <w:t>，</w:t>
      </w:r>
      <w:r>
        <w:rPr>
          <w:rFonts w:ascii="仿宋" w:hAnsi="仿宋" w:eastAsia="仿宋"/>
          <w:sz w:val="32"/>
          <w:szCs w:val="32"/>
        </w:rPr>
        <w:t>硝基呋喃类药物及其代谢物为禁止使用的药物，在动物性食品中均不得检出。</w:t>
      </w:r>
      <w:r>
        <w:rPr>
          <w:rFonts w:hint="eastAsia" w:ascii="仿宋" w:hAnsi="仿宋" w:eastAsia="仿宋"/>
          <w:sz w:val="32"/>
          <w:szCs w:val="32"/>
        </w:rPr>
        <w:t>硝基呋喃类药物当中的"呋喃西林、呋喃唑酮"及其代谢物在动物源性食品中的残留可以通过食物链传递给人类，</w:t>
      </w:r>
      <w:r>
        <w:rPr>
          <w:rFonts w:ascii="仿宋" w:hAnsi="仿宋" w:eastAsia="仿宋"/>
          <w:sz w:val="32"/>
          <w:szCs w:val="32"/>
        </w:rPr>
        <w:t>硝基呋喃类药物及其代谢物可引起溶血性贫血、多发性神经炎、眼部损害和急性肝坏死等</w:t>
      </w:r>
      <w:r>
        <w:rPr>
          <w:rFonts w:hint="eastAsia" w:ascii="仿宋" w:hAnsi="仿宋" w:eastAsia="仿宋"/>
          <w:sz w:val="32"/>
          <w:szCs w:val="32"/>
        </w:rPr>
        <w:t>病症及</w:t>
      </w:r>
      <w:r>
        <w:rPr>
          <w:rFonts w:ascii="仿宋" w:hAnsi="仿宋" w:eastAsia="仿宋"/>
          <w:sz w:val="32"/>
          <w:szCs w:val="32"/>
        </w:rPr>
        <w:t>致癌、致畸</w:t>
      </w:r>
      <w:r>
        <w:rPr>
          <w:rFonts w:hint="eastAsia" w:ascii="仿宋" w:hAnsi="仿宋" w:eastAsia="仿宋"/>
          <w:sz w:val="32"/>
          <w:szCs w:val="32"/>
        </w:rPr>
        <w:t>等健康危害。</w:t>
      </w:r>
      <w:r>
        <w:rPr>
          <w:rFonts w:ascii="仿宋" w:hAnsi="仿宋" w:eastAsia="仿宋"/>
          <w:sz w:val="32"/>
          <w:szCs w:val="32"/>
        </w:rPr>
        <w:t>2010 年《食品中可能违法添加的非食用物质和易滥用的食品添加剂名单（第四批）》（整顿办函〔2010〕50号</w:t>
      </w:r>
      <w:r>
        <w:rPr>
          <w:rFonts w:hint="eastAsia" w:ascii="仿宋" w:hAnsi="仿宋" w:eastAsia="仿宋"/>
          <w:sz w:val="32"/>
          <w:szCs w:val="32"/>
        </w:rPr>
        <w:t>）又</w:t>
      </w:r>
      <w:r>
        <w:rPr>
          <w:rFonts w:ascii="仿宋" w:hAnsi="仿宋" w:eastAsia="仿宋"/>
          <w:sz w:val="32"/>
          <w:szCs w:val="32"/>
        </w:rPr>
        <w:t>将其纳入黑名单。</w:t>
      </w:r>
    </w:p>
    <w:p>
      <w:pPr>
        <w:keepNext w:val="0"/>
        <w:keepLines w:val="0"/>
        <w:pageBreakBefore w:val="0"/>
        <w:numPr>
          <w:ilvl w:val="0"/>
          <w:numId w:val="0"/>
        </w:numPr>
        <w:kinsoku/>
        <w:wordWrap/>
        <w:overflowPunct/>
        <w:topLinePunct w:val="0"/>
        <w:autoSpaceDE/>
        <w:autoSpaceDN/>
        <w:bidi w:val="0"/>
        <w:spacing w:line="600" w:lineRule="exact"/>
        <w:ind w:firstLine="420" w:firstLineChars="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五、磺胺类（总量）</w:t>
      </w:r>
    </w:p>
    <w:p>
      <w:pPr>
        <w:keepNext w:val="0"/>
        <w:keepLines w:val="0"/>
        <w:pageBreakBefore w:val="0"/>
        <w:kinsoku/>
        <w:wordWrap/>
        <w:overflowPunct/>
        <w:topLinePunct w:val="0"/>
        <w:autoSpaceDE/>
        <w:autoSpaceDN/>
        <w:bidi w:val="0"/>
        <w:spacing w:line="600" w:lineRule="exact"/>
        <w:ind w:firstLine="420" w:firstLineChars="0"/>
        <w:textAlignment w:val="auto"/>
        <w:rPr>
          <w:rFonts w:ascii="仿宋" w:hAnsi="仿宋" w:eastAsia="仿宋" w:cs="Times New Roman"/>
          <w:sz w:val="32"/>
          <w:szCs w:val="32"/>
        </w:rPr>
      </w:pPr>
      <w:r>
        <w:rPr>
          <w:rFonts w:ascii="仿宋" w:hAnsi="仿宋" w:eastAsia="仿宋" w:cs="Times New Roman"/>
          <w:sz w:val="32"/>
          <w:szCs w:val="32"/>
        </w:rPr>
        <w:t>磺胺类（总量）是合成广谱抑菌药，对大多数革兰氏阳性和革兰氏阴性细菌有效。对于治疗禽类球虫病和鸡白细胞虫病疗效较好。《动物性食品中兽药最高残留限量》（农业部公告第235号）</w:t>
      </w:r>
      <w:r>
        <w:rPr>
          <w:rFonts w:hint="eastAsia" w:ascii="仿宋" w:hAnsi="仿宋" w:eastAsia="仿宋" w:cs="Times New Roman"/>
          <w:sz w:val="32"/>
          <w:szCs w:val="32"/>
        </w:rPr>
        <w:t>中</w:t>
      </w:r>
      <w:r>
        <w:rPr>
          <w:rFonts w:ascii="仿宋" w:hAnsi="仿宋" w:eastAsia="仿宋" w:cs="Times New Roman"/>
          <w:sz w:val="32"/>
          <w:szCs w:val="32"/>
        </w:rPr>
        <w:t>规定</w:t>
      </w:r>
      <w:r>
        <w:rPr>
          <w:rFonts w:hint="eastAsia" w:ascii="仿宋" w:hAnsi="仿宋" w:eastAsia="仿宋" w:cs="Times New Roman"/>
          <w:sz w:val="32"/>
          <w:szCs w:val="32"/>
        </w:rPr>
        <w:t>，</w:t>
      </w:r>
      <w:r>
        <w:rPr>
          <w:rFonts w:ascii="仿宋" w:hAnsi="仿宋" w:eastAsia="仿宋" w:cs="Times New Roman"/>
          <w:sz w:val="32"/>
          <w:szCs w:val="32"/>
        </w:rPr>
        <w:t>该类药物在</w:t>
      </w:r>
      <w:r>
        <w:rPr>
          <w:rFonts w:hint="eastAsia" w:ascii="仿宋" w:hAnsi="仿宋" w:eastAsia="仿宋" w:cs="Times New Roman"/>
          <w:sz w:val="32"/>
          <w:szCs w:val="32"/>
        </w:rPr>
        <w:t>所有食品动物的肌肉、脂肪、肝、肾以及牛/羊奶</w:t>
      </w:r>
      <w:r>
        <w:rPr>
          <w:rFonts w:ascii="仿宋" w:hAnsi="仿宋" w:eastAsia="仿宋" w:cs="Times New Roman"/>
          <w:sz w:val="32"/>
          <w:szCs w:val="32"/>
        </w:rPr>
        <w:t>中残留限量不得超过100</w:t>
      </w:r>
      <w:r>
        <w:rPr>
          <w:rFonts w:ascii="Calibri" w:hAnsi="Calibri" w:eastAsia="仿宋" w:cs="Calibri"/>
          <w:sz w:val="32"/>
          <w:szCs w:val="32"/>
        </w:rPr>
        <w:t>µ</w:t>
      </w:r>
      <w:r>
        <w:rPr>
          <w:rFonts w:ascii="仿宋" w:hAnsi="仿宋" w:eastAsia="仿宋" w:cs="Times New Roman"/>
          <w:sz w:val="32"/>
          <w:szCs w:val="32"/>
        </w:rPr>
        <w:t>g/kg。磺胺类（总量）超标可能是养殖过程中，没有严格遵守停药期规定。长期摄入磺胺类（总量）超标的动物性食品，可能导致泌尿系统和肝脏损伤，以及过敏反应等。</w:t>
      </w:r>
    </w:p>
    <w:p>
      <w:pPr>
        <w:keepNext w:val="0"/>
        <w:keepLines w:val="0"/>
        <w:pageBreakBefore w:val="0"/>
        <w:numPr>
          <w:ilvl w:val="0"/>
          <w:numId w:val="0"/>
        </w:numPr>
        <w:kinsoku/>
        <w:wordWrap/>
        <w:overflowPunct/>
        <w:topLinePunct w:val="0"/>
        <w:autoSpaceDE/>
        <w:autoSpaceDN/>
        <w:bidi w:val="0"/>
        <w:spacing w:line="600" w:lineRule="exact"/>
        <w:ind w:firstLine="420" w:firstLineChars="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六、五氯酚酸钠（以五氯酚计）</w:t>
      </w:r>
    </w:p>
    <w:p>
      <w:pPr>
        <w:keepNext w:val="0"/>
        <w:keepLines w:val="0"/>
        <w:pageBreakBefore w:val="0"/>
        <w:kinsoku/>
        <w:wordWrap/>
        <w:overflowPunct/>
        <w:topLinePunct w:val="0"/>
        <w:autoSpaceDE/>
        <w:autoSpaceDN/>
        <w:bidi w:val="0"/>
        <w:spacing w:line="600" w:lineRule="exact"/>
        <w:ind w:firstLine="420" w:firstLineChars="0"/>
        <w:textAlignment w:val="auto"/>
        <w:rPr>
          <w:rFonts w:ascii="仿宋" w:hAnsi="仿宋" w:eastAsia="仿宋"/>
          <w:sz w:val="32"/>
          <w:szCs w:val="32"/>
        </w:rPr>
      </w:pPr>
      <w:r>
        <w:rPr>
          <w:rFonts w:ascii="仿宋" w:hAnsi="仿宋" w:eastAsia="仿宋"/>
          <w:sz w:val="32"/>
          <w:szCs w:val="32"/>
        </w:rPr>
        <w:t>五氯酚酸钠属于有机氯农药，是氯代烃类杀虫剂和杀真菌剂。《动物性食品中兽药最高残留限量》（农业部公告第235号）中规定</w:t>
      </w:r>
      <w:r>
        <w:rPr>
          <w:rFonts w:hint="eastAsia" w:ascii="仿宋" w:hAnsi="仿宋" w:eastAsia="仿宋"/>
          <w:sz w:val="32"/>
          <w:szCs w:val="32"/>
        </w:rPr>
        <w:t>，</w:t>
      </w:r>
      <w:r>
        <w:rPr>
          <w:rFonts w:ascii="仿宋" w:hAnsi="仿宋" w:eastAsia="仿宋"/>
          <w:sz w:val="32"/>
          <w:szCs w:val="32"/>
        </w:rPr>
        <w:t>五氯酚酸钠为禁止使用的药物，在动物性食品中不得</w:t>
      </w:r>
      <w:r>
        <w:rPr>
          <w:rFonts w:hint="eastAsia" w:ascii="仿宋" w:hAnsi="仿宋" w:eastAsia="仿宋"/>
          <w:sz w:val="32"/>
          <w:szCs w:val="32"/>
        </w:rPr>
        <w:t>检出。五氯酚酸钠能抑制生物代谢过程中氧化磷酸化作用, 会造成人体的肝、肾及中枢神经系统的损害。</w:t>
      </w:r>
      <w:r>
        <w:rPr>
          <w:rFonts w:ascii="仿宋" w:hAnsi="仿宋" w:eastAsia="仿宋"/>
          <w:sz w:val="32"/>
          <w:szCs w:val="32"/>
        </w:rPr>
        <w:t>检出</w:t>
      </w:r>
      <w:r>
        <w:rPr>
          <w:rFonts w:hint="eastAsia" w:ascii="仿宋" w:hAnsi="仿宋" w:eastAsia="仿宋"/>
          <w:sz w:val="32"/>
          <w:szCs w:val="32"/>
        </w:rPr>
        <w:t>五氯酚酸钠不合格</w:t>
      </w:r>
      <w:r>
        <w:rPr>
          <w:rFonts w:ascii="仿宋" w:hAnsi="仿宋" w:eastAsia="仿宋"/>
          <w:sz w:val="32"/>
          <w:szCs w:val="32"/>
        </w:rPr>
        <w:t>可能</w:t>
      </w:r>
      <w:r>
        <w:rPr>
          <w:rFonts w:hint="eastAsia" w:ascii="仿宋" w:hAnsi="仿宋" w:eastAsia="仿宋"/>
          <w:sz w:val="32"/>
          <w:szCs w:val="32"/>
        </w:rPr>
        <w:t>是养殖户在养殖过程中为防治疾病而违法使用所致。</w:t>
      </w:r>
    </w:p>
    <w:p>
      <w:pPr>
        <w:keepNext w:val="0"/>
        <w:keepLines w:val="0"/>
        <w:pageBreakBefore w:val="0"/>
        <w:numPr>
          <w:ilvl w:val="0"/>
          <w:numId w:val="0"/>
        </w:numPr>
        <w:kinsoku/>
        <w:wordWrap/>
        <w:overflowPunct/>
        <w:topLinePunct w:val="0"/>
        <w:autoSpaceDE/>
        <w:autoSpaceDN/>
        <w:bidi w:val="0"/>
        <w:spacing w:line="600" w:lineRule="exact"/>
        <w:ind w:firstLine="420" w:firstLineChars="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七、呋喃西林代谢物</w:t>
      </w:r>
    </w:p>
    <w:p>
      <w:pPr>
        <w:keepNext w:val="0"/>
        <w:keepLines w:val="0"/>
        <w:pageBreakBefore w:val="0"/>
        <w:numPr>
          <w:ilvl w:val="0"/>
          <w:numId w:val="0"/>
        </w:numPr>
        <w:kinsoku/>
        <w:wordWrap/>
        <w:overflowPunct/>
        <w:topLinePunct w:val="0"/>
        <w:autoSpaceDE/>
        <w:autoSpaceDN/>
        <w:bidi w:val="0"/>
        <w:spacing w:line="600" w:lineRule="exact"/>
        <w:ind w:firstLine="420" w:firstLineChars="0"/>
        <w:textAlignment w:val="auto"/>
        <w:rPr>
          <w:rFonts w:hint="default" w:ascii="黑体" w:hAnsi="黑体" w:eastAsia="黑体" w:cs="黑体"/>
          <w:sz w:val="32"/>
          <w:szCs w:val="32"/>
          <w:lang w:val="en-US" w:eastAsia="zh-CN"/>
        </w:rPr>
      </w:pPr>
      <w:r>
        <w:rPr>
          <w:rFonts w:ascii="仿宋" w:hAnsi="仿宋" w:eastAsia="仿宋"/>
          <w:sz w:val="32"/>
          <w:szCs w:val="32"/>
        </w:rPr>
        <w:t>呋喃西林属于硝基呋喃类药物，是人工合成的广谱抗菌药。《兽药地方标准废止目录》（农业部公告第560号）</w:t>
      </w:r>
      <w:r>
        <w:rPr>
          <w:rFonts w:hint="eastAsia" w:ascii="仿宋" w:hAnsi="仿宋" w:eastAsia="仿宋"/>
          <w:sz w:val="32"/>
          <w:szCs w:val="32"/>
        </w:rPr>
        <w:t>中</w:t>
      </w:r>
      <w:r>
        <w:rPr>
          <w:rFonts w:ascii="仿宋" w:hAnsi="仿宋" w:eastAsia="仿宋"/>
          <w:sz w:val="32"/>
          <w:szCs w:val="32"/>
        </w:rPr>
        <w:t>规定</w:t>
      </w:r>
      <w:r>
        <w:rPr>
          <w:rFonts w:hint="eastAsia" w:ascii="仿宋" w:hAnsi="仿宋" w:eastAsia="仿宋"/>
          <w:sz w:val="32"/>
          <w:szCs w:val="32"/>
        </w:rPr>
        <w:t>，</w:t>
      </w:r>
      <w:r>
        <w:rPr>
          <w:rFonts w:ascii="仿宋" w:hAnsi="仿宋" w:eastAsia="仿宋"/>
          <w:sz w:val="32"/>
          <w:szCs w:val="32"/>
        </w:rPr>
        <w:t>该类药物为禁用兽药，在淡水鱼中不得检出。呋喃西林及其代谢物可通过食品动物传递给人，长期摄入可能会引起溶血性贫血、多发神经炎、眼部损害等。</w:t>
      </w:r>
    </w:p>
    <w:p>
      <w:pPr>
        <w:keepNext w:val="0"/>
        <w:keepLines w:val="0"/>
        <w:pageBreakBefore w:val="0"/>
        <w:numPr>
          <w:ilvl w:val="0"/>
          <w:numId w:val="0"/>
        </w:numPr>
        <w:kinsoku/>
        <w:wordWrap/>
        <w:overflowPunct/>
        <w:topLinePunct w:val="0"/>
        <w:autoSpaceDE/>
        <w:autoSpaceDN/>
        <w:bidi w:val="0"/>
        <w:spacing w:line="600" w:lineRule="exact"/>
        <w:ind w:firstLine="420" w:firstLineChars="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八、镉（以Cd计）</w:t>
      </w:r>
    </w:p>
    <w:p>
      <w:pPr>
        <w:keepNext w:val="0"/>
        <w:keepLines w:val="0"/>
        <w:pageBreakBefore w:val="0"/>
        <w:kinsoku/>
        <w:wordWrap/>
        <w:overflowPunct/>
        <w:topLinePunct w:val="0"/>
        <w:autoSpaceDE/>
        <w:autoSpaceDN/>
        <w:bidi w:val="0"/>
        <w:spacing w:line="600" w:lineRule="exact"/>
        <w:ind w:firstLine="420" w:firstLineChars="0"/>
        <w:textAlignment w:val="auto"/>
        <w:rPr>
          <w:rFonts w:ascii="仿宋" w:hAnsi="仿宋" w:eastAsia="仿宋" w:cs="宋体"/>
          <w:kern w:val="0"/>
          <w:sz w:val="32"/>
          <w:szCs w:val="32"/>
          <w:lang w:val="zh-CN"/>
        </w:rPr>
      </w:pPr>
      <w:r>
        <w:rPr>
          <w:rFonts w:hint="eastAsia" w:ascii="仿宋" w:hAnsi="仿宋" w:eastAsia="仿宋" w:cs="宋体"/>
          <w:kern w:val="0"/>
          <w:sz w:val="32"/>
          <w:szCs w:val="32"/>
          <w:lang w:val="zh-CN"/>
        </w:rPr>
        <w:t>镉（以Cd计）是最常见的重金属元素污染物之一。《食品安全国家标准 食品中污染物限量》（GB 2762—2017）中规定，镉（以Cd计）在鲜、冻水产动物的甲壳类中最大限量为0.5mg/kg。水产品中镉（以Cd计）超标可能是水产品养殖过程中对环境中镉元素的富集。镉对人体的危害主要是慢性蓄积性，长期大量摄入镉含量超标的食品可能导致肾和骨骼损伤等。</w:t>
      </w:r>
    </w:p>
    <w:p>
      <w:pPr>
        <w:keepNext w:val="0"/>
        <w:keepLines w:val="0"/>
        <w:pageBreakBefore w:val="0"/>
        <w:numPr>
          <w:ilvl w:val="0"/>
          <w:numId w:val="0"/>
        </w:numPr>
        <w:kinsoku/>
        <w:wordWrap/>
        <w:overflowPunct/>
        <w:topLinePunct w:val="0"/>
        <w:autoSpaceDE/>
        <w:autoSpaceDN/>
        <w:bidi w:val="0"/>
        <w:spacing w:line="600" w:lineRule="exact"/>
        <w:ind w:firstLine="420" w:firstLineChars="0"/>
        <w:textAlignment w:val="auto"/>
        <w:rPr>
          <w:rFonts w:hint="default" w:ascii="黑体" w:hAnsi="黑体" w:eastAsia="黑体" w:cs="黑体"/>
          <w:sz w:val="32"/>
          <w:szCs w:val="32"/>
          <w:lang w:val="en-US" w:eastAsia="zh-CN"/>
        </w:rPr>
      </w:pPr>
      <w:r>
        <w:rPr>
          <w:rFonts w:hint="eastAsia" w:ascii="Times New Roman" w:hAnsi="Times New Roman" w:eastAsia="仿宋_GB2312"/>
          <w:sz w:val="32"/>
          <w:szCs w:val="32"/>
        </w:rPr>
        <w:t>镉（以Cd计）是最常见的重金属元素污染物之一。镉对人体的危害主要是慢性蓄积性，长期大量摄入镉含量超标的食品可能导致肾和骨骼损伤等。《食品安全国家标准 食品中污染物限量》（GB 2762—2017）中规定，镉（以Cd计）在鲜、冻水产动物的甲壳类中最大限量值为0.5mg/kg。造成水产品中镉（以Cd计）超标的原因，可能是水产品养殖过程中对环境中镉元素的富集。</w:t>
      </w:r>
    </w:p>
    <w:p>
      <w:pPr>
        <w:keepNext w:val="0"/>
        <w:keepLines w:val="0"/>
        <w:pageBreakBefore w:val="0"/>
        <w:numPr>
          <w:ilvl w:val="0"/>
          <w:numId w:val="0"/>
        </w:numPr>
        <w:kinsoku/>
        <w:wordWrap/>
        <w:overflowPunct/>
        <w:topLinePunct w:val="0"/>
        <w:autoSpaceDE/>
        <w:autoSpaceDN/>
        <w:bidi w:val="0"/>
        <w:spacing w:line="600" w:lineRule="exact"/>
        <w:ind w:firstLine="420" w:firstLineChars="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九、组胺</w:t>
      </w:r>
    </w:p>
    <w:p>
      <w:pPr>
        <w:keepNext w:val="0"/>
        <w:keepLines w:val="0"/>
        <w:pageBreakBefore w:val="0"/>
        <w:numPr>
          <w:ilvl w:val="0"/>
          <w:numId w:val="0"/>
        </w:numPr>
        <w:kinsoku/>
        <w:wordWrap/>
        <w:overflowPunct/>
        <w:topLinePunct w:val="0"/>
        <w:autoSpaceDE/>
        <w:autoSpaceDN/>
        <w:bidi w:val="0"/>
        <w:spacing w:line="600" w:lineRule="exact"/>
        <w:ind w:firstLine="420" w:firstLineChars="0"/>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组胺是食品(主要为水产品，尤其是中上层鱼类)中游离组氨酸经组氨酸脱羧酶分解产生的一种胺类物质，主要是食品在储藏或加工过程中，体内自由组氨酸经过外源污染性或肠道微生物产生的脱羧酸酶降解后产生的对产品品质劣化和人体有一定毒害的化学物质。组胺中毒是水产食品存在的主要安全问题之一。如果吃了组胺含量高的鱼类，可能引起与机体过敏反应相似的中毒症状，并导致一系列临床症状，包括脸红、头痛、心慌、胸闷、腹泻、血压变化甚至休克等，严重者可能危及生命。</w:t>
      </w:r>
    </w:p>
    <w:p>
      <w:pPr>
        <w:keepNext w:val="0"/>
        <w:keepLines w:val="0"/>
        <w:pageBreakBefore w:val="0"/>
        <w:numPr>
          <w:ilvl w:val="0"/>
          <w:numId w:val="0"/>
        </w:numPr>
        <w:kinsoku/>
        <w:wordWrap/>
        <w:overflowPunct/>
        <w:topLinePunct w:val="0"/>
        <w:autoSpaceDE/>
        <w:autoSpaceDN/>
        <w:bidi w:val="0"/>
        <w:spacing w:line="600" w:lineRule="exact"/>
        <w:ind w:firstLine="420" w:firstLineChars="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十、土霉素/金霉素/四环素（组合含量）</w:t>
      </w:r>
    </w:p>
    <w:p>
      <w:pPr>
        <w:keepNext w:val="0"/>
        <w:keepLines w:val="0"/>
        <w:pageBreakBefore w:val="0"/>
        <w:numPr>
          <w:ilvl w:val="0"/>
          <w:numId w:val="0"/>
        </w:numPr>
        <w:kinsoku/>
        <w:wordWrap/>
        <w:overflowPunct/>
        <w:topLinePunct w:val="0"/>
        <w:autoSpaceDE/>
        <w:autoSpaceDN/>
        <w:bidi w:val="0"/>
        <w:spacing w:line="600" w:lineRule="exact"/>
        <w:ind w:firstLine="420" w:firstLineChars="0"/>
        <w:textAlignment w:val="auto"/>
        <w:rPr>
          <w:rFonts w:hint="eastAsia" w:ascii="仿宋" w:hAnsi="仿宋" w:eastAsia="仿宋"/>
          <w:sz w:val="32"/>
          <w:szCs w:val="32"/>
        </w:rPr>
      </w:pPr>
      <w:r>
        <w:rPr>
          <w:rFonts w:hint="eastAsia" w:ascii="仿宋" w:hAnsi="仿宋" w:eastAsia="仿宋"/>
          <w:sz w:val="32"/>
          <w:szCs w:val="32"/>
        </w:rPr>
        <w:t>土霉素、四环素和金霉素均属于四环素类抗生素，在畜禽生产中四环素类抗生素被广泛用作药物添加剂，用于防治肠道感染和促进生长，容易诱导耐药菌株和导致食品残留。四环素类抗生素在畜禽中滥用会使动物组织中残留超标，直接危害人体健康。</w:t>
      </w:r>
    </w:p>
    <w:p>
      <w:pPr>
        <w:keepNext w:val="0"/>
        <w:keepLines w:val="0"/>
        <w:pageBreakBefore w:val="0"/>
        <w:numPr>
          <w:ilvl w:val="0"/>
          <w:numId w:val="0"/>
        </w:numPr>
        <w:kinsoku/>
        <w:wordWrap/>
        <w:overflowPunct/>
        <w:topLinePunct w:val="0"/>
        <w:autoSpaceDE/>
        <w:autoSpaceDN/>
        <w:bidi w:val="0"/>
        <w:spacing w:line="600" w:lineRule="exact"/>
        <w:ind w:firstLine="420" w:firstLineChars="0"/>
        <w:textAlignment w:val="auto"/>
        <w:rPr>
          <w:rFonts w:hint="default" w:ascii="Times New Roman" w:hAnsi="Times New Roman" w:eastAsia="黑体" w:cs="Times New Roman"/>
          <w:sz w:val="32"/>
          <w:szCs w:val="32"/>
        </w:rPr>
      </w:pPr>
      <w:r>
        <w:rPr>
          <w:rFonts w:hint="eastAsia" w:ascii="仿宋" w:hAnsi="仿宋" w:eastAsia="仿宋"/>
          <w:sz w:val="32"/>
          <w:szCs w:val="32"/>
        </w:rPr>
        <w:t>检出不合格的原因可能是养殖户的用药习惯难以改变，并且对药物的禁用情况不了解，在养殖过程中违规使用；养殖户在给动物服用了药物后未经过间隔期等待药物被代谢排出动物体外就进行宰杀销售，造成</w:t>
      </w:r>
      <w:r>
        <w:rPr>
          <w:rFonts w:hint="eastAsia" w:ascii="仿宋" w:hAnsi="仿宋" w:eastAsia="仿宋"/>
          <w:sz w:val="32"/>
          <w:szCs w:val="32"/>
          <w:lang w:val="en-US" w:eastAsia="zh-CN"/>
        </w:rPr>
        <w:t>水产品</w:t>
      </w:r>
      <w:r>
        <w:rPr>
          <w:rFonts w:hint="eastAsia" w:ascii="仿宋" w:hAnsi="仿宋" w:eastAsia="仿宋"/>
          <w:sz w:val="32"/>
          <w:szCs w:val="32"/>
        </w:rPr>
        <w:t>中兽药残留超标。</w:t>
      </w:r>
    </w:p>
    <w:p>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黑体" w:cs="Times New Roman"/>
          <w:sz w:val="32"/>
          <w:szCs w:val="32"/>
          <w:lang w:eastAsia="zh-CN"/>
        </w:rPr>
      </w:pPr>
      <w:r>
        <w:rPr>
          <w:rFonts w:hint="eastAsia" w:eastAsia="黑体" w:cs="Times New Roman"/>
          <w:sz w:val="32"/>
          <w:szCs w:val="32"/>
          <w:lang w:eastAsia="zh-CN"/>
        </w:rPr>
        <w:t>十</w:t>
      </w:r>
      <w:r>
        <w:rPr>
          <w:rFonts w:hint="default" w:ascii="Times New Roman" w:hAnsi="Times New Roman" w:eastAsia="黑体" w:cs="Times New Roman"/>
          <w:sz w:val="32"/>
          <w:szCs w:val="32"/>
        </w:rPr>
        <w:t>一、菌落总数</w:t>
      </w:r>
    </w:p>
    <w:p>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指示性微生物指标，并非致病菌指标。主要用来评价食品清洁度，反映食品在生产过程中是否符合卫生要求。作为判定食品被污染程度的指标，菌落总数严重超标，说明其产品的卫生状况达不到基本的卫生要求，将会破坏食品的营养成分，加速食品的腐败变质。菌落总数包括致病菌和有益菌，对人体有损害的主要是其中的致病菌，这些病菌会破坏肠道里正常的菌落环境，一部分可能在肠道被杀灭，一部分会留在身体里引起腹泻、损伤肝脏等身体器官。菌落总数超标意味着致病菌超标的机会增大，增加危害人体健康的几率。</w:t>
      </w:r>
    </w:p>
    <w:p>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Times New Roman" w:hAnsi="Times New Roman" w:eastAsia="黑体" w:cs="Times New Roman"/>
          <w:sz w:val="32"/>
          <w:szCs w:val="32"/>
          <w:lang w:val="en-US" w:eastAsia="zh-CN"/>
        </w:rPr>
      </w:pPr>
      <w:r>
        <w:rPr>
          <w:rFonts w:hint="eastAsia" w:eastAsia="黑体" w:cs="Times New Roman"/>
          <w:sz w:val="32"/>
          <w:szCs w:val="32"/>
          <w:lang w:eastAsia="zh-CN"/>
        </w:rPr>
        <w:t>十</w:t>
      </w:r>
      <w:r>
        <w:rPr>
          <w:rFonts w:hint="eastAsia" w:eastAsia="黑体" w:cs="Times New Roman"/>
          <w:sz w:val="32"/>
          <w:szCs w:val="32"/>
          <w:lang w:val="en-US" w:eastAsia="zh-CN"/>
        </w:rPr>
        <w:t>二、</w:t>
      </w:r>
      <w:r>
        <w:rPr>
          <w:rFonts w:hint="eastAsia" w:ascii="Times New Roman" w:hAnsi="Times New Roman" w:eastAsia="黑体" w:cs="Times New Roman"/>
          <w:bCs/>
          <w:kern w:val="0"/>
          <w:sz w:val="32"/>
          <w:szCs w:val="32"/>
          <w:lang w:val="en-US" w:eastAsia="zh-CN"/>
        </w:rPr>
        <w:t>大肠菌群</w:t>
      </w:r>
    </w:p>
    <w:p>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指示食品污染状况常用的指标之一。食品中检出大肠菌群，提示食品被致病菌（如沙门氏菌、志贺氏菌、致病性大肠杆菌等）污染的可能性较大，食用后，就有可能发生食物中毒、腹泻等急性胃肠炎症状。</w:t>
      </w:r>
    </w:p>
    <w:p>
      <w:pPr>
        <w:keepNext w:val="0"/>
        <w:keepLines w:val="0"/>
        <w:pageBreakBefore w:val="0"/>
        <w:numPr>
          <w:ilvl w:val="0"/>
          <w:numId w:val="0"/>
        </w:numPr>
        <w:kinsoku/>
        <w:wordWrap/>
        <w:overflowPunct/>
        <w:topLinePunct w:val="0"/>
        <w:autoSpaceDE/>
        <w:autoSpaceDN/>
        <w:bidi w:val="0"/>
        <w:spacing w:line="600" w:lineRule="exact"/>
        <w:ind w:firstLine="640" w:firstLineChars="200"/>
        <w:textAlignment w:val="auto"/>
        <w:rPr>
          <w:rFonts w:hint="default" w:ascii="Times New Roman" w:hAnsi="Times New Roman" w:eastAsia="黑体" w:cs="Times New Roman"/>
          <w:bCs/>
          <w:kern w:val="0"/>
          <w:sz w:val="32"/>
          <w:szCs w:val="32"/>
          <w:lang w:val="en-US" w:eastAsia="zh-CN"/>
        </w:rPr>
      </w:pPr>
      <w:r>
        <w:rPr>
          <w:rFonts w:hint="eastAsia" w:eastAsia="黑体" w:cs="Times New Roman"/>
          <w:sz w:val="32"/>
          <w:szCs w:val="32"/>
          <w:lang w:eastAsia="zh-CN"/>
        </w:rPr>
        <w:t>十</w:t>
      </w:r>
      <w:r>
        <w:rPr>
          <w:rFonts w:hint="eastAsia" w:eastAsia="黑体" w:cs="Times New Roman"/>
          <w:sz w:val="32"/>
          <w:szCs w:val="32"/>
          <w:lang w:val="en-US" w:eastAsia="zh-CN"/>
        </w:rPr>
        <w:t>三、</w:t>
      </w:r>
      <w:r>
        <w:rPr>
          <w:rFonts w:hint="default" w:ascii="Times New Roman" w:hAnsi="Times New Roman" w:eastAsia="黑体" w:cs="Times New Roman"/>
          <w:bCs/>
          <w:kern w:val="0"/>
          <w:sz w:val="32"/>
          <w:szCs w:val="32"/>
          <w:lang w:val="en-US" w:eastAsia="zh-CN"/>
        </w:rPr>
        <w:t>霉菌数</w:t>
      </w:r>
    </w:p>
    <w:p>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评价食品卫生质量的指示性指标，其食品卫生学意义是作为判定食品被霉菌污染程度的标志。食品受霉菌污染后，不仅颜色、味道可能发生改变，其中的营养物质也会遭到破坏，降低其食用价值；且很多种霉菌能产生毒素，危害人体健康。</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jc w:val="both"/>
        <w:textAlignment w:val="auto"/>
        <w:outlineLvl w:val="3"/>
        <w:rPr>
          <w:rFonts w:hint="eastAsia"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微生物（菌落总数、大肠菌群、霉菌）不合格原因可能为：一是生产经营者食品安全意识淡薄，卫生控制不严格，如加工或经营场所卫生条件不符合要求，没有做好设备、设施和环境的清洁消毒工作，或者生产或销售的工作人员洗手消毒措施不到位，或员工感染生病依旧工作而污染食品；二是包装密封性不够或包装、贮运容器等不洁或破损造成了二次污染；三是生产加工过程中工艺参数设置不合理或未按规程操作，如高温灭菌温度不够高，时间不够长，未将微生物杀死；四是购买的原辅料已被污染，或者生产加工用水受到污染；五是储存、运输、销售等环节中产品的保存温、湿度不适当而导致。</w:t>
      </w:r>
    </w:p>
    <w:p>
      <w:pPr>
        <w:spacing w:line="600" w:lineRule="exact"/>
        <w:ind w:firstLine="640" w:firstLineChars="200"/>
        <w:rPr>
          <w:rFonts w:hint="eastAsia" w:eastAsia="黑体" w:cs="Times New Roman"/>
          <w:sz w:val="32"/>
          <w:szCs w:val="32"/>
          <w:lang w:val="en-US" w:eastAsia="zh-CN"/>
        </w:rPr>
      </w:pPr>
      <w:r>
        <w:rPr>
          <w:rFonts w:hint="eastAsia" w:eastAsia="黑体" w:cs="Times New Roman"/>
          <w:sz w:val="32"/>
          <w:szCs w:val="32"/>
          <w:lang w:val="en-US" w:eastAsia="zh-CN"/>
        </w:rPr>
        <w:t>十四、丙二醇</w:t>
      </w:r>
    </w:p>
    <w:p>
      <w:pPr>
        <w:spacing w:line="600" w:lineRule="exact"/>
        <w:ind w:firstLine="640" w:firstLineChars="200"/>
        <w:rPr>
          <w:rFonts w:hint="eastAsia" w:eastAsia="黑体" w:cs="Times New Roman"/>
          <w:sz w:val="32"/>
          <w:szCs w:val="32"/>
          <w:lang w:val="en-US" w:eastAsia="zh-CN"/>
        </w:rPr>
      </w:pPr>
      <w:r>
        <w:rPr>
          <w:rFonts w:hint="eastAsia" w:eastAsia="仿宋_GB2312" w:cs="Times New Roman"/>
          <w:kern w:val="0"/>
          <w:sz w:val="32"/>
          <w:szCs w:val="32"/>
          <w:lang w:val="en-US" w:eastAsia="zh-CN"/>
        </w:rPr>
        <w:t>根据GB 2760-2014《食品安全国家标准 食品添加剂使用标准》规定，糕点中丙二醇的限量值为3.0g/kg。丙二醇是食品加工中常用的食品添加剂，是食品中允许使用的合成香料，很多香精香料也以它为溶剂。丙二醇不符合要求的原因，可能是生产者为了改善产品风味、提高市场价值，违规添加到产品中。</w:t>
      </w:r>
    </w:p>
    <w:p>
      <w:pPr>
        <w:spacing w:line="600" w:lineRule="exact"/>
        <w:ind w:firstLine="640" w:firstLineChars="200"/>
        <w:rPr>
          <w:rFonts w:hint="eastAsia" w:ascii="Times New Roman" w:hAnsi="Times New Roman" w:eastAsia="黑体" w:cs="Times New Roman"/>
          <w:sz w:val="32"/>
          <w:szCs w:val="32"/>
          <w:lang w:val="en-US" w:eastAsia="zh-CN"/>
        </w:rPr>
      </w:pPr>
      <w:r>
        <w:rPr>
          <w:rFonts w:hint="eastAsia" w:eastAsia="黑体" w:cs="Times New Roman"/>
          <w:sz w:val="32"/>
          <w:szCs w:val="32"/>
          <w:lang w:val="en-US" w:eastAsia="zh-CN"/>
        </w:rPr>
        <w:t>十五、甜蜜素</w:t>
      </w:r>
    </w:p>
    <w:p>
      <w:pPr>
        <w:pStyle w:val="6"/>
        <w:snapToGrid w:val="0"/>
        <w:spacing w:line="360" w:lineRule="auto"/>
        <w:ind w:firstLine="600"/>
        <w:outlineLvl w:val="3"/>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根据GB 2760-2014《食品安全国家标准 食品添加剂使用标准》规定，甜蜜素在发酵性面制品中不得使用。甜蜜素，化学名称为环己基氨基磺酸钠，是食品生产中常用的甜味剂之一。甜蜜素不合格的原因，可能是生产企业对食品添加剂的使用标准不熟悉，为增加产品甜度，违规使用甜蜜素。长期摄入甜蜜素不符合要求的食品，可能会对人体的肝脏和神经系统造成一定危害。</w:t>
      </w:r>
    </w:p>
    <w:p>
      <w:pPr>
        <w:pStyle w:val="6"/>
        <w:numPr>
          <w:ilvl w:val="0"/>
          <w:numId w:val="0"/>
        </w:numPr>
        <w:snapToGrid w:val="0"/>
        <w:spacing w:line="360" w:lineRule="auto"/>
        <w:ind w:firstLine="640"/>
        <w:outlineLvl w:val="3"/>
        <w:rPr>
          <w:rFonts w:hint="eastAsia" w:ascii="Times New Roman" w:hAnsi="Times New Roman" w:eastAsia="黑体" w:cs="Times New Roman"/>
          <w:kern w:val="2"/>
          <w:sz w:val="32"/>
          <w:szCs w:val="32"/>
          <w:lang w:val="en-US" w:eastAsia="zh-CN" w:bidi="ar-SA"/>
        </w:rPr>
      </w:pPr>
      <w:r>
        <w:rPr>
          <w:rFonts w:hint="eastAsia" w:eastAsia="黑体" w:cs="Times New Roman"/>
          <w:kern w:val="2"/>
          <w:sz w:val="32"/>
          <w:szCs w:val="32"/>
          <w:lang w:val="en-US" w:eastAsia="zh-CN" w:bidi="ar-SA"/>
        </w:rPr>
        <w:t>十六、</w:t>
      </w:r>
      <w:r>
        <w:rPr>
          <w:rFonts w:hint="eastAsia" w:ascii="Times New Roman" w:hAnsi="Times New Roman" w:eastAsia="黑体" w:cs="Times New Roman"/>
          <w:kern w:val="2"/>
          <w:sz w:val="32"/>
          <w:szCs w:val="32"/>
          <w:lang w:val="en-US" w:eastAsia="zh-CN" w:bidi="ar-SA"/>
        </w:rPr>
        <w:t>酸价(以脂肪计)</w:t>
      </w:r>
    </w:p>
    <w:p>
      <w:pPr>
        <w:pStyle w:val="6"/>
        <w:numPr>
          <w:ilvl w:val="0"/>
          <w:numId w:val="0"/>
        </w:numPr>
        <w:snapToGrid w:val="0"/>
        <w:spacing w:line="360" w:lineRule="auto"/>
        <w:ind w:firstLine="640"/>
        <w:outlineLvl w:val="3"/>
        <w:rPr>
          <w:rFonts w:hint="default" w:eastAsia="仿宋_GB2312" w:cs="Times New Roman"/>
          <w:kern w:val="0"/>
          <w:sz w:val="32"/>
          <w:szCs w:val="32"/>
          <w:lang w:val="en-US" w:eastAsia="zh-CN" w:bidi="ar-SA"/>
        </w:rPr>
      </w:pPr>
      <w:r>
        <w:rPr>
          <w:rFonts w:hint="default" w:eastAsia="仿宋_GB2312" w:cs="Times New Roman"/>
          <w:kern w:val="0"/>
          <w:sz w:val="32"/>
          <w:szCs w:val="32"/>
          <w:lang w:val="en-US" w:eastAsia="zh-CN" w:bidi="ar-SA"/>
        </w:rPr>
        <w:t>根据GB 7099-2015《食品安全国家标准 糕点、面包》规定，糕点中酸价(以脂肪计)(KOH)的限量值为5mg/g。酸价，又称酸值，主要反映食品中的油脂酸败程度。糕点中酸价（以脂肪计）检测值超标的原因，可能是商家原料采购把关不严，也可能是生产工艺不达标，还可能与产品储藏条件不当有关。酸价超标会导致食品有哈喇味，超标严重时所产生的醛、酮、酸会破坏脂溶性维生素，导致肠胃不适。</w:t>
      </w:r>
    </w:p>
    <w:p>
      <w:pPr>
        <w:pStyle w:val="6"/>
        <w:numPr>
          <w:ilvl w:val="0"/>
          <w:numId w:val="0"/>
        </w:numPr>
        <w:snapToGrid w:val="0"/>
        <w:spacing w:line="360" w:lineRule="auto"/>
        <w:ind w:firstLine="640"/>
        <w:outlineLvl w:val="3"/>
        <w:rPr>
          <w:rFonts w:hint="eastAsia" w:eastAsia="黑体" w:cs="Times New Roman"/>
          <w:kern w:val="2"/>
          <w:sz w:val="32"/>
          <w:szCs w:val="32"/>
          <w:lang w:val="en-US" w:eastAsia="zh-CN" w:bidi="ar-SA"/>
        </w:rPr>
      </w:pPr>
      <w:r>
        <w:rPr>
          <w:rFonts w:hint="eastAsia" w:eastAsia="黑体" w:cs="Times New Roman"/>
          <w:kern w:val="2"/>
          <w:sz w:val="32"/>
          <w:szCs w:val="32"/>
          <w:lang w:val="en-US" w:eastAsia="zh-CN" w:bidi="ar-SA"/>
        </w:rPr>
        <w:t>十七、过氧化值(以脂肪计)</w:t>
      </w:r>
    </w:p>
    <w:p>
      <w:pPr>
        <w:pStyle w:val="6"/>
        <w:numPr>
          <w:ilvl w:val="0"/>
          <w:numId w:val="0"/>
        </w:numPr>
        <w:snapToGrid w:val="0"/>
        <w:spacing w:line="360" w:lineRule="auto"/>
        <w:outlineLvl w:val="3"/>
        <w:rPr>
          <w:rFonts w:hint="default" w:eastAsia="仿宋_GB2312" w:cs="Times New Roman"/>
          <w:kern w:val="0"/>
          <w:sz w:val="32"/>
          <w:szCs w:val="32"/>
          <w:lang w:val="en-US" w:eastAsia="zh-CN" w:bidi="ar-SA"/>
        </w:rPr>
      </w:pPr>
      <w:r>
        <w:rPr>
          <w:rFonts w:hint="eastAsia" w:eastAsia="仿宋_GB2312" w:cs="Times New Roman"/>
          <w:kern w:val="0"/>
          <w:sz w:val="32"/>
          <w:szCs w:val="32"/>
          <w:lang w:val="en-US" w:eastAsia="zh-CN" w:bidi="ar-SA"/>
        </w:rPr>
        <w:t xml:space="preserve">    根据GB 7099-2015《食品安全国家标准 糕点、面包》中规定，在糕点中过氧化值（以脂肪计）的最大限量值为0.25g/100g。过氧化值超标原</w:t>
      </w:r>
      <w:bookmarkStart w:id="0" w:name="_GoBack"/>
      <w:bookmarkEnd w:id="0"/>
      <w:r>
        <w:rPr>
          <w:rFonts w:hint="eastAsia" w:eastAsia="仿宋_GB2312" w:cs="Times New Roman"/>
          <w:kern w:val="0"/>
          <w:sz w:val="32"/>
          <w:szCs w:val="32"/>
          <w:lang w:val="en-US" w:eastAsia="zh-CN" w:bidi="ar-SA"/>
        </w:rPr>
        <w:t>因可能是原料储存不当导致脂肪过度氧化，还可能与产品储存运输条件控制不当有关。食用过氧化值超标的食品一般不会对人体健康造成损害，但长期食用过氧化值严重超标的食品可能导致肠胃不适、腹泻等。</w:t>
      </w:r>
    </w:p>
    <w:p>
      <w:pPr>
        <w:pStyle w:val="6"/>
        <w:keepNext w:val="0"/>
        <w:keepLines w:val="0"/>
        <w:pageBreakBefore w:val="0"/>
        <w:kinsoku/>
        <w:wordWrap/>
        <w:overflowPunct/>
        <w:topLinePunct w:val="0"/>
        <w:autoSpaceDE/>
        <w:autoSpaceDN/>
        <w:bidi w:val="0"/>
        <w:snapToGrid w:val="0"/>
        <w:spacing w:line="600" w:lineRule="exact"/>
        <w:ind w:firstLine="600"/>
        <w:textAlignment w:val="auto"/>
        <w:outlineLvl w:val="3"/>
        <w:rPr>
          <w:rFonts w:hint="eastAsia" w:ascii="Times New Roman" w:hAnsi="Times New Roman" w:eastAsia="仿宋_GB2312" w:cs="Times New Roman"/>
          <w:kern w:val="0"/>
          <w:sz w:val="32"/>
          <w:szCs w:val="32"/>
          <w:lang w:val="en-US" w:eastAsia="zh-CN" w:bidi="ar-SA"/>
        </w:rPr>
      </w:pPr>
    </w:p>
    <w:p>
      <w:pPr>
        <w:pStyle w:val="6"/>
        <w:keepNext w:val="0"/>
        <w:keepLines w:val="0"/>
        <w:pageBreakBefore w:val="0"/>
        <w:kinsoku/>
        <w:wordWrap/>
        <w:overflowPunct/>
        <w:topLinePunct w:val="0"/>
        <w:autoSpaceDE/>
        <w:autoSpaceDN/>
        <w:bidi w:val="0"/>
        <w:snapToGrid w:val="0"/>
        <w:spacing w:line="600" w:lineRule="exact"/>
        <w:ind w:firstLine="602"/>
        <w:textAlignment w:val="auto"/>
        <w:outlineLvl w:val="3"/>
        <w:rPr>
          <w:rFonts w:hint="default" w:ascii="Times New Roman" w:hAnsi="Times New Roman" w:eastAsia="仿宋_GB2312" w:cs="Times New Roman"/>
          <w:kern w:val="0"/>
          <w:sz w:val="32"/>
          <w:szCs w:val="32"/>
          <w:lang w:val="en-US" w:eastAsia="zh-CN" w:bidi="ar-SA"/>
        </w:rPr>
      </w:pPr>
    </w:p>
    <w:p>
      <w:pPr>
        <w:pStyle w:val="2"/>
        <w:keepNext w:val="0"/>
        <w:keepLines w:val="0"/>
        <w:pageBreakBefore w:val="0"/>
        <w:numPr>
          <w:ilvl w:val="0"/>
          <w:numId w:val="0"/>
        </w:numPr>
        <w:kinsoku/>
        <w:wordWrap/>
        <w:overflowPunct/>
        <w:topLinePunct w:val="0"/>
        <w:autoSpaceDE/>
        <w:autoSpaceDN/>
        <w:bidi w:val="0"/>
        <w:spacing w:line="600" w:lineRule="exact"/>
        <w:ind w:left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w:t>
      </w:r>
    </w:p>
    <w:p>
      <w:pPr>
        <w:pStyle w:val="2"/>
        <w:keepNext w:val="0"/>
        <w:keepLines w:val="0"/>
        <w:pageBreakBefore w:val="0"/>
        <w:kinsoku/>
        <w:wordWrap/>
        <w:overflowPunct/>
        <w:topLinePunct w:val="0"/>
        <w:autoSpaceDE/>
        <w:autoSpaceDN/>
        <w:bidi w:val="0"/>
        <w:spacing w:line="600" w:lineRule="exact"/>
        <w:textAlignment w:val="auto"/>
        <w:rPr>
          <w:rFonts w:hint="default" w:ascii="Times New Roman" w:hAnsi="Times New Roman" w:cs="Times New Roman"/>
          <w:lang w:val="en-US" w:eastAsia="zh-CN"/>
        </w:rPr>
      </w:pPr>
    </w:p>
    <w:p>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kern w:val="0"/>
          <w:sz w:val="32"/>
          <w:szCs w:val="32"/>
        </w:rPr>
      </w:pPr>
    </w:p>
    <w:p>
      <w:pPr>
        <w:keepNext w:val="0"/>
        <w:keepLines w:val="0"/>
        <w:pageBreakBefore w:val="0"/>
        <w:kinsoku/>
        <w:wordWrap/>
        <w:overflowPunct/>
        <w:topLinePunct w:val="0"/>
        <w:autoSpaceDE/>
        <w:autoSpaceDN/>
        <w:bidi w:val="0"/>
        <w:spacing w:line="600" w:lineRule="exact"/>
        <w:textAlignment w:val="auto"/>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9A462F"/>
    <w:multiLevelType w:val="singleLevel"/>
    <w:tmpl w:val="B19A462F"/>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0OGI1MDRhNDhhMjVmMjIxNmJkMGUxYWRhNzg5MWQifQ=="/>
  </w:docVars>
  <w:rsids>
    <w:rsidRoot w:val="56A34853"/>
    <w:rsid w:val="05933CDF"/>
    <w:rsid w:val="1A95189F"/>
    <w:rsid w:val="302656B2"/>
    <w:rsid w:val="318B1557"/>
    <w:rsid w:val="34F8457F"/>
    <w:rsid w:val="3A2A6A34"/>
    <w:rsid w:val="3CDC12BB"/>
    <w:rsid w:val="41F408BC"/>
    <w:rsid w:val="46591278"/>
    <w:rsid w:val="4AF764BB"/>
    <w:rsid w:val="52BC721C"/>
    <w:rsid w:val="56A34853"/>
    <w:rsid w:val="577B6DD3"/>
    <w:rsid w:val="5FFDE505"/>
    <w:rsid w:val="613D7564"/>
    <w:rsid w:val="670E4E70"/>
    <w:rsid w:val="79835299"/>
    <w:rsid w:val="7BE51435"/>
    <w:rsid w:val="7D0B5E84"/>
    <w:rsid w:val="7E7A31B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adjustRightInd w:val="0"/>
      <w:ind w:left="0" w:leftChars="0" w:firstLine="880" w:firstLineChars="200"/>
    </w:pPr>
    <w:rPr>
      <w:rFonts w:eastAsia="仿宋"/>
      <w:sz w:val="32"/>
      <w:szCs w:val="22"/>
    </w:rPr>
  </w:style>
  <w:style w:type="paragraph" w:styleId="3">
    <w:name w:val="Body Text Indent"/>
    <w:basedOn w:val="1"/>
    <w:qFormat/>
    <w:uiPriority w:val="0"/>
    <w:pPr>
      <w:spacing w:after="120"/>
      <w:ind w:left="420" w:leftChars="200"/>
    </w:pPr>
  </w:style>
  <w:style w:type="paragraph" w:customStyle="1" w:styleId="6">
    <w:name w:val="列出段落1"/>
    <w:basedOn w:val="1"/>
    <w:qFormat/>
    <w:uiPriority w:val="99"/>
    <w:pPr>
      <w:ind w:firstLine="420" w:firstLineChars="200"/>
    </w:pPr>
  </w:style>
  <w:style w:type="paragraph" w:customStyle="1" w:styleId="7">
    <w:name w:val="列出段落2"/>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1702</Words>
  <Characters>1927</Characters>
  <Lines>0</Lines>
  <Paragraphs>0</Paragraphs>
  <TotalTime>1</TotalTime>
  <ScaleCrop>false</ScaleCrop>
  <LinksUpToDate>false</LinksUpToDate>
  <CharactersWithSpaces>1951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2017-04-07T08:43:00Z</dcterms:created>
  <dc:creator>gdfda</dc:creator>
  <cp:lastModifiedBy>scj</cp:lastModifiedBy>
  <dcterms:modified xsi:type="dcterms:W3CDTF">2023-01-05T11:24:33Z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1CE0F5A15C59415FB88990618ED131CB</vt:lpwstr>
  </property>
</Properties>
</file>