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02-078</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晋江市金井镇小阿妹餐饮店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92350582MABU29M18A</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玉山村草湖埔区167号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沈国军</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经查实，当事人依法持有《营业执照》（统一社会信用代码：92350582MABU29M18A）、《食品经营许可证》（许可证编号：JY23505820</w:t>
      </w:r>
      <w:r>
        <w:rPr>
          <w:rFonts w:hint="eastAsia" w:ascii="仿宋" w:hAnsi="仿宋" w:eastAsia="仿宋" w:cs="仿宋"/>
          <w:spacing w:val="0"/>
          <w:sz w:val="32"/>
          <w:szCs w:val="32"/>
          <w:lang w:val="en-US" w:eastAsia="zh-CN"/>
        </w:rPr>
        <w:t>678311</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26</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2022年11月23日，本局向当事人送达了《行政处罚告知书》(晋市监告字[2022]02-060号)，当事人在法定期限内未提出陈述或申辩意见。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4E090C13"/>
    <w:rsid w:val="5C8C3188"/>
    <w:rsid w:val="5DD87CAD"/>
    <w:rsid w:val="5F2027C4"/>
    <w:rsid w:val="62CC3759"/>
    <w:rsid w:val="6C980DC9"/>
    <w:rsid w:val="73951B1D"/>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2022-11-30T09:09:27Z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