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3：</w:t>
      </w:r>
    </w:p>
    <w:p>
      <w:pPr>
        <w:widowControl/>
        <w:spacing w:line="360" w:lineRule="auto"/>
        <w:jc w:val="center"/>
        <w:rPr>
          <w:rFonts w:ascii="宋体" w:hAnsi="宋体" w:eastAsia="宋体" w:cs="Helvetica"/>
          <w:b/>
          <w:sz w:val="44"/>
          <w:szCs w:val="44"/>
        </w:rPr>
      </w:pPr>
      <w:r>
        <w:rPr>
          <w:rFonts w:hint="eastAsia" w:ascii="宋体" w:hAnsi="宋体" w:eastAsia="宋体" w:cs="Helvetica"/>
          <w:b/>
          <w:sz w:val="44"/>
          <w:szCs w:val="44"/>
        </w:rPr>
        <w:t>本次检验项目</w:t>
      </w:r>
    </w:p>
    <w:p>
      <w:pPr>
        <w:widowControl/>
        <w:spacing w:line="360" w:lineRule="auto"/>
        <w:rPr>
          <w:rFonts w:ascii="宋体" w:hAnsi="宋体" w:eastAsia="宋体" w:cs="Helvetica"/>
          <w:b/>
          <w:sz w:val="24"/>
          <w:szCs w:val="24"/>
        </w:rPr>
      </w:pPr>
    </w:p>
    <w:p>
      <w:pPr>
        <w:pStyle w:val="2"/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炒货食品及坚果制品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widowControl/>
        <w:numPr>
          <w:ilvl w:val="0"/>
          <w:numId w:val="1"/>
        </w:num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widowControl/>
        <w:numPr>
          <w:ilvl w:val="0"/>
          <w:numId w:val="0"/>
        </w:numPr>
        <w:spacing w:line="240" w:lineRule="auto"/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酸价(以脂肪计)(KOH),过氧化值（以脂肪计）,铅(以Pb计),黄曲霉毒素B1,苯甲酸及其钠盐(以苯甲酸计),山梨酸及其钾盐(以山梨酸计),脱氢乙酸及其钠盐(以脱氢乙酸计),糖精钠(以糖精计),甜蜜素（以环己基氨基磺酸计）。</w:t>
      </w:r>
    </w:p>
    <w:p>
      <w:pPr>
        <w:pStyle w:val="2"/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、方便食品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Style w:val="2"/>
        <w:ind w:firstLine="42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食品标签,水分,酸价(以脂肪计)(KOH),过氧化值（以脂肪计）,菌落总数,大肠菌群。</w:t>
      </w:r>
    </w:p>
    <w:p>
      <w:pPr>
        <w:pStyle w:val="2"/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三、酒类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食品标签,甲醇,氰化物（以HCN计）,甜蜜素（以环己基氨基磺酸计）,酒精度。</w:t>
      </w:r>
    </w:p>
    <w:p>
      <w:pPr>
        <w:pStyle w:val="2"/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四、粮食加工品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挂面：脱氢乙酸及其钠盐(以脱氢乙酸计),铅(以Pb计),食品标签。</w:t>
      </w:r>
    </w:p>
    <w:p>
      <w:pPr>
        <w:pStyle w:val="2"/>
        <w:ind w:firstLine="600" w:firstLineChars="200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大米：镉(以Cd计),铅(以Pb计),黄曲霉毒素B1。</w:t>
      </w:r>
    </w:p>
    <w:p>
      <w:pPr>
        <w:pStyle w:val="2"/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五、肉制品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镉(以Cd计),铬(以Cr计),总砷(以As计),铅(以Pb计),亚硝酸盐(以亚硝酸钠计),苯甲酸及其钠盐(以苯甲酸计),山梨酸及其钾盐(以山梨酸计),脱氢乙酸及其钠盐(以脱氢乙酸计),胭脂红,糖精钠(以糖精计),氯霉素,酸性橙Ⅱ,菌落总数,沙门氏菌,金黄色葡萄球菌,单核细胞增生李斯特氏菌,大肠菌群</w:t>
      </w:r>
    </w:p>
    <w:p>
      <w:pPr>
        <w:pStyle w:val="2"/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六、水果制品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29921-2021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蜜饯：铅(以Pb计),苯甲酸及其钠盐(以苯甲酸计),山梨酸及其钾盐(以山梨酸计),脱氢乙酸及其钠盐(以脱氢乙酸计),糖精钠(以糖精计),甜蜜素（以环己基氨基磺酸计）,胭脂红,苋菜红,菌落总数,大肠菌群,霉菌,柠檬黄,日落黄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水果干制品：铅(以Pb计),山梨酸及其钾盐(以山梨酸计),糖精钠(以糖精计),食品标签,净含量,亚硫酸盐(以SO₂计)。</w:t>
      </w:r>
    </w:p>
    <w:p>
      <w:pPr>
        <w:pStyle w:val="2"/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七、食用农产品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畜禽肉及副产品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2707-2016，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GB 31650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-2019，整顿办函〔2010〕50 号，农业农村部公告第 250 号，GB 2762 -2017，农业部公告第 560 号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挥发性盐基氮、恩诺沙星、替米考星、呋喃唑酮代谢物、呋喃西林代谢物、呋喃妥因代谢物、磺胺类（总量）、甲氧苄啶、氯霉素、氟苯尼考、五氯酚酸钠（以五氯酚计）、多西环素、土霉素、克伦特罗、莱克多巴胺、沙丁胺醇、地塞米松、利巴韦林、金刚烷胺、甲硝唑、喹乙醇、氯丙嗪、土霉素/金霉素/四环素（组合含量）、林可霉素、沙拉沙星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蔬菜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2762-2017，国家食品药品监督管理总局农业部国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家卫生和计划生育委员会关于豆芽生产过程中禁止使用 6-苄基腺嘌呤等物质的公告（2015 年 第 11 号）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，GB 22556-2008，GB 2763-2021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铅（以 Pb 计）、镉（以 Cd 计）、铬（以 Cr 计）、总汞（以 Hg 计）、总砷（以As 计）、4-氯苯氧乙酸钠（以 4-氯苯氧乙酸计）、6-苄基腺嘌呤（6-BA）、亚硫酸盐（以 SO2 计），氯氟氰菊酯和高效氯氟氰菊酯、氯氰菊酯和高效氯氰菊酯、甲氨基阿维菌素苯甲酸盐、灭蝇胺，阿维菌素、敌敌畏、啶虫脒、毒死蜱、多菌灵、二甲戊灵、氟虫腈、腐霉利、甲胺磷、甲拌磷、甲基异柳磷、克百威、灭线磷、水胺硫磷、肟菌酯、辛硫磷、氧乐果、乙酰甲胺磷 、烯酰吗啉、辛硫磷、溴氰菊酯、吡虫啉、吡蚜酮、丙环唑、敌百虫、嘧菌酯。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水产品</w:t>
      </w:r>
    </w:p>
    <w:p>
      <w:pPr>
        <w:keepNext w:val="0"/>
        <w:keepLines w:val="0"/>
        <w:widowControl/>
        <w:suppressLineNumbers w:val="0"/>
        <w:ind w:left="596" w:leftChars="284" w:firstLine="0" w:firstLineChars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left="596" w:leftChars="284" w:firstLine="0" w:firstLineChars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2733-2015，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GB 31650 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-2019，农业农村部公告第 250 号，GB 2762 -2017，农业部公告第 560 号 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挥发性盐基氮、组胺、镉（以 Cd 计）、孔雀石绿、氯霉素、呋喃唑酮代谢物、呋喃西林代谢物、恩诺沙星、土霉素/金霉素/四环素（组合含量）、磺胺类（总量）、甲氧苄啶、甲硝唑、五氯酚酸钠（以五氯酚计）。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水果类</w:t>
      </w:r>
    </w:p>
    <w:p>
      <w:pPr>
        <w:keepNext w:val="0"/>
        <w:keepLines w:val="0"/>
        <w:widowControl/>
        <w:suppressLineNumbers w:val="0"/>
        <w:ind w:left="596" w:leftChars="284" w:firstLine="0" w:firstLineChars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left="596" w:leftChars="284" w:firstLine="0" w:firstLineChars="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2760-2014，GB 2763-2021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苯醚甲环唑、己唑醇、甲胺磷、克百威、氯氰菊酯和高效氯氰菊酯、嘧霉胺、氰戊菊酯和 S-氰戊菊酯、霜霉威和霜霉威盐酸盐、辛硫磷、氧乐果、氯氟氰菊酯和高效氯氟氰菊酯、烯酰吗啉、氟虫腈、甲基异柳磷、克百威、烯酰吗啉、乙酰甲胺磷、噻虫嗪、多菌灵、嘧菌酯、戊唑醇、糖精钠（以糖精计）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鲜蛋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农业农村部公告第 250 号，GB 31650-2019，农业部公告第 560 号，GB 2763-2021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氯霉素、氟苯尼考、甲砜霉素、恩诺沙星、沙拉沙星、金刚烷胺、金刚乙胺、甲硝唑、地美硝唑、磺胺类（总量）、呋喃唑酮代谢物、氟虫腈。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豆类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检验依据：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 w:firstLine="420" w:firstLineChars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GB 2762 -2017，GB 2761-2017，GB 2763-2021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铅（以 Pb 计）、铬（以 Cr 计）、赭曲霉毒素 A、吡虫啉、2,4-滴和 2,4-滴钠盐。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生干坚果与籽类食品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检验依据：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 w:firstLine="420" w:firstLineChars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GB 19300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-2014，GB 2762 -2017，GB 2761-2017，GB 2763-2021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="420" w:leftChars="0" w:firstLine="420" w:firstLineChars="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酸价（以脂肪计）、过氧化值（以脂肪计）、铅（以 Pb 计）、螺螨酯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、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镉（以 Cd 计）、黄曲霉毒素 B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1、克百威、溴氰菊酯。</w:t>
      </w:r>
    </w:p>
    <w:p>
      <w:pPr>
        <w:pStyle w:val="2"/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八、水产制品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（一）检验依据：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2762-2017，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GB 27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60-2014</w:t>
      </w:r>
      <w:r>
        <w:rPr>
          <w:rFonts w:hint="eastAsia" w:ascii="仿宋" w:hAnsi="仿宋" w:eastAsia="仿宋" w:cs="仿宋"/>
          <w:sz w:val="30"/>
          <w:szCs w:val="30"/>
        </w:rPr>
        <w:t>等相关标准。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（二）检验项目：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挥发性盐基氮,菌落总数,大肠菌群,沙门氏菌,副溶血性弧菌,净含量,苯甲酸及其钠盐(以苯甲酸计),山梨酸及其钾盐(以山梨酸计),单核细胞增生李斯特氏菌。</w:t>
      </w:r>
    </w:p>
    <w:p>
      <w:pPr>
        <w:pStyle w:val="2"/>
        <w:numPr>
          <w:ilvl w:val="0"/>
          <w:numId w:val="0"/>
        </w:numPr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蜂产品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GB 2762-2017、</w:t>
      </w:r>
      <w:r>
        <w:rPr>
          <w:rFonts w:hint="eastAsia" w:ascii="仿宋" w:hAnsi="仿宋" w:eastAsia="仿宋" w:cs="仿宋"/>
          <w:sz w:val="30"/>
          <w:szCs w:val="30"/>
        </w:rPr>
        <w:t>GB 2760-2014等相关标准。</w:t>
      </w:r>
    </w:p>
    <w:p>
      <w:pPr>
        <w:widowControl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pStyle w:val="2"/>
        <w:ind w:firstLine="420" w:firstLineChars="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果糖和葡萄糖,蔗糖,氯霉素,甲硝唑,地美硝唑,山梨酸及其钾盐(以山梨酸计),菌落总数,嗜渗酵母计数,霉菌计数,食品标签,洛硝达唑,呋喃唑酮代谢物,呋喃西林代谢物,呋喃妥因代谢物。</w:t>
      </w:r>
    </w:p>
    <w:p>
      <w:pPr>
        <w:pStyle w:val="2"/>
        <w:ind w:firstLine="600" w:firstLineChars="200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、、、、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1EEF4"/>
    <w:multiLevelType w:val="singleLevel"/>
    <w:tmpl w:val="28F1EEF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28166F4"/>
    <w:multiLevelType w:val="singleLevel"/>
    <w:tmpl w:val="628166F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BC30E4E"/>
    <w:multiLevelType w:val="singleLevel"/>
    <w:tmpl w:val="7BC30E4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5N2U5N2RlZWZlNTdlMDEzYzFhMGEyYjVkNWFlYzEifQ=="/>
  </w:docVars>
  <w:rsids>
    <w:rsidRoot w:val="000E3F47"/>
    <w:rsid w:val="00004559"/>
    <w:rsid w:val="00025BD2"/>
    <w:rsid w:val="0003517D"/>
    <w:rsid w:val="00066606"/>
    <w:rsid w:val="00071FF2"/>
    <w:rsid w:val="00077548"/>
    <w:rsid w:val="00082858"/>
    <w:rsid w:val="000829D4"/>
    <w:rsid w:val="00085C5B"/>
    <w:rsid w:val="00086258"/>
    <w:rsid w:val="000942F7"/>
    <w:rsid w:val="000952B9"/>
    <w:rsid w:val="000A4D5C"/>
    <w:rsid w:val="000B431B"/>
    <w:rsid w:val="000E0481"/>
    <w:rsid w:val="000E3F47"/>
    <w:rsid w:val="000E67CB"/>
    <w:rsid w:val="000F1483"/>
    <w:rsid w:val="00103D94"/>
    <w:rsid w:val="00121537"/>
    <w:rsid w:val="00121F57"/>
    <w:rsid w:val="0012632F"/>
    <w:rsid w:val="00130244"/>
    <w:rsid w:val="0013073D"/>
    <w:rsid w:val="00137D93"/>
    <w:rsid w:val="00153EDC"/>
    <w:rsid w:val="001763CE"/>
    <w:rsid w:val="00180F18"/>
    <w:rsid w:val="001A1166"/>
    <w:rsid w:val="001C662B"/>
    <w:rsid w:val="001C7B16"/>
    <w:rsid w:val="001E2D52"/>
    <w:rsid w:val="001E38CE"/>
    <w:rsid w:val="001F4EDD"/>
    <w:rsid w:val="001F7F9A"/>
    <w:rsid w:val="002019B6"/>
    <w:rsid w:val="00202C7E"/>
    <w:rsid w:val="002142C9"/>
    <w:rsid w:val="00245C35"/>
    <w:rsid w:val="00265A64"/>
    <w:rsid w:val="00266B45"/>
    <w:rsid w:val="002917E4"/>
    <w:rsid w:val="002A0D7B"/>
    <w:rsid w:val="002A17F4"/>
    <w:rsid w:val="002A6832"/>
    <w:rsid w:val="002C358D"/>
    <w:rsid w:val="002D58C1"/>
    <w:rsid w:val="003069C2"/>
    <w:rsid w:val="00325DA1"/>
    <w:rsid w:val="0033422E"/>
    <w:rsid w:val="0033499E"/>
    <w:rsid w:val="003446B7"/>
    <w:rsid w:val="003A38F1"/>
    <w:rsid w:val="003B6643"/>
    <w:rsid w:val="003C7BE4"/>
    <w:rsid w:val="003D314E"/>
    <w:rsid w:val="003E02AD"/>
    <w:rsid w:val="003E5B7F"/>
    <w:rsid w:val="003F569F"/>
    <w:rsid w:val="004010D3"/>
    <w:rsid w:val="00402249"/>
    <w:rsid w:val="004026D1"/>
    <w:rsid w:val="004148E8"/>
    <w:rsid w:val="00422942"/>
    <w:rsid w:val="00424F93"/>
    <w:rsid w:val="004644B1"/>
    <w:rsid w:val="00480188"/>
    <w:rsid w:val="004942E6"/>
    <w:rsid w:val="004A7306"/>
    <w:rsid w:val="004C026D"/>
    <w:rsid w:val="004C06BB"/>
    <w:rsid w:val="004C4723"/>
    <w:rsid w:val="00502F06"/>
    <w:rsid w:val="00516EE1"/>
    <w:rsid w:val="00531AFC"/>
    <w:rsid w:val="00534C6B"/>
    <w:rsid w:val="0054479E"/>
    <w:rsid w:val="00545375"/>
    <w:rsid w:val="00563F32"/>
    <w:rsid w:val="005645C0"/>
    <w:rsid w:val="00581695"/>
    <w:rsid w:val="00586F62"/>
    <w:rsid w:val="005A03AB"/>
    <w:rsid w:val="005A6388"/>
    <w:rsid w:val="005B5FAB"/>
    <w:rsid w:val="005C3F46"/>
    <w:rsid w:val="005D7BDC"/>
    <w:rsid w:val="00607718"/>
    <w:rsid w:val="00612D78"/>
    <w:rsid w:val="00636B38"/>
    <w:rsid w:val="00637ABF"/>
    <w:rsid w:val="00637C57"/>
    <w:rsid w:val="00645DD7"/>
    <w:rsid w:val="00653B5E"/>
    <w:rsid w:val="0066193B"/>
    <w:rsid w:val="00662842"/>
    <w:rsid w:val="00662D6E"/>
    <w:rsid w:val="006A2728"/>
    <w:rsid w:val="006A62E7"/>
    <w:rsid w:val="006B20C5"/>
    <w:rsid w:val="006B4051"/>
    <w:rsid w:val="006D51CD"/>
    <w:rsid w:val="006F014D"/>
    <w:rsid w:val="006F1F09"/>
    <w:rsid w:val="006F7B3D"/>
    <w:rsid w:val="00707ACD"/>
    <w:rsid w:val="0071468D"/>
    <w:rsid w:val="0076207A"/>
    <w:rsid w:val="00766A0A"/>
    <w:rsid w:val="0076792C"/>
    <w:rsid w:val="00767B09"/>
    <w:rsid w:val="007765DF"/>
    <w:rsid w:val="00776831"/>
    <w:rsid w:val="007A1705"/>
    <w:rsid w:val="007B17CD"/>
    <w:rsid w:val="007B1D13"/>
    <w:rsid w:val="007B5516"/>
    <w:rsid w:val="007D006F"/>
    <w:rsid w:val="007D1BC4"/>
    <w:rsid w:val="007F2160"/>
    <w:rsid w:val="0081381C"/>
    <w:rsid w:val="0081406F"/>
    <w:rsid w:val="008147F6"/>
    <w:rsid w:val="0081796A"/>
    <w:rsid w:val="00840A57"/>
    <w:rsid w:val="0085462B"/>
    <w:rsid w:val="0085463F"/>
    <w:rsid w:val="00860F25"/>
    <w:rsid w:val="008614FA"/>
    <w:rsid w:val="00866EA8"/>
    <w:rsid w:val="008744A2"/>
    <w:rsid w:val="00877FD8"/>
    <w:rsid w:val="008A14F0"/>
    <w:rsid w:val="008A75E5"/>
    <w:rsid w:val="008C3136"/>
    <w:rsid w:val="008D06BF"/>
    <w:rsid w:val="008D2973"/>
    <w:rsid w:val="008E02EB"/>
    <w:rsid w:val="008E0337"/>
    <w:rsid w:val="008E1451"/>
    <w:rsid w:val="008E7CFA"/>
    <w:rsid w:val="008F02DF"/>
    <w:rsid w:val="008F2DAE"/>
    <w:rsid w:val="00900402"/>
    <w:rsid w:val="009069D7"/>
    <w:rsid w:val="0091209B"/>
    <w:rsid w:val="00913190"/>
    <w:rsid w:val="0093201D"/>
    <w:rsid w:val="00945E48"/>
    <w:rsid w:val="009725E6"/>
    <w:rsid w:val="00974DBB"/>
    <w:rsid w:val="009830BC"/>
    <w:rsid w:val="00985591"/>
    <w:rsid w:val="009920FA"/>
    <w:rsid w:val="0099536F"/>
    <w:rsid w:val="009E1C48"/>
    <w:rsid w:val="009E4B0F"/>
    <w:rsid w:val="009E532A"/>
    <w:rsid w:val="009F0193"/>
    <w:rsid w:val="00A005AF"/>
    <w:rsid w:val="00A0219C"/>
    <w:rsid w:val="00A07159"/>
    <w:rsid w:val="00A14A67"/>
    <w:rsid w:val="00A231B2"/>
    <w:rsid w:val="00A34148"/>
    <w:rsid w:val="00A34AB8"/>
    <w:rsid w:val="00A34EF3"/>
    <w:rsid w:val="00A545CE"/>
    <w:rsid w:val="00A72FA6"/>
    <w:rsid w:val="00A90F04"/>
    <w:rsid w:val="00AA0C3B"/>
    <w:rsid w:val="00AA53BB"/>
    <w:rsid w:val="00AA66E4"/>
    <w:rsid w:val="00AA6AF5"/>
    <w:rsid w:val="00AC64C6"/>
    <w:rsid w:val="00AD4435"/>
    <w:rsid w:val="00AE1516"/>
    <w:rsid w:val="00AE55F0"/>
    <w:rsid w:val="00AF2490"/>
    <w:rsid w:val="00B11548"/>
    <w:rsid w:val="00B206B9"/>
    <w:rsid w:val="00B22935"/>
    <w:rsid w:val="00B319DC"/>
    <w:rsid w:val="00B3264E"/>
    <w:rsid w:val="00B33B64"/>
    <w:rsid w:val="00B40434"/>
    <w:rsid w:val="00B65026"/>
    <w:rsid w:val="00B74DE4"/>
    <w:rsid w:val="00B81372"/>
    <w:rsid w:val="00B87770"/>
    <w:rsid w:val="00B94592"/>
    <w:rsid w:val="00BA1FA5"/>
    <w:rsid w:val="00BB1614"/>
    <w:rsid w:val="00BC038F"/>
    <w:rsid w:val="00BC5E07"/>
    <w:rsid w:val="00BC73DD"/>
    <w:rsid w:val="00BC750B"/>
    <w:rsid w:val="00BD0A4E"/>
    <w:rsid w:val="00BD18AF"/>
    <w:rsid w:val="00BF08B3"/>
    <w:rsid w:val="00BF6C8D"/>
    <w:rsid w:val="00C37FDA"/>
    <w:rsid w:val="00C7380F"/>
    <w:rsid w:val="00C80F26"/>
    <w:rsid w:val="00C81CB5"/>
    <w:rsid w:val="00C90EDE"/>
    <w:rsid w:val="00C97ED3"/>
    <w:rsid w:val="00CA4A12"/>
    <w:rsid w:val="00CA6428"/>
    <w:rsid w:val="00CA6D23"/>
    <w:rsid w:val="00CA783E"/>
    <w:rsid w:val="00CB0173"/>
    <w:rsid w:val="00CB08CF"/>
    <w:rsid w:val="00CB17BA"/>
    <w:rsid w:val="00CC2EB7"/>
    <w:rsid w:val="00CD389C"/>
    <w:rsid w:val="00CE47DA"/>
    <w:rsid w:val="00CE5B64"/>
    <w:rsid w:val="00CE61E9"/>
    <w:rsid w:val="00CF4AAD"/>
    <w:rsid w:val="00CF544A"/>
    <w:rsid w:val="00D064CC"/>
    <w:rsid w:val="00D065F3"/>
    <w:rsid w:val="00D122A4"/>
    <w:rsid w:val="00D14C87"/>
    <w:rsid w:val="00D25068"/>
    <w:rsid w:val="00D25F04"/>
    <w:rsid w:val="00D577B6"/>
    <w:rsid w:val="00D6463B"/>
    <w:rsid w:val="00D753A8"/>
    <w:rsid w:val="00D9024D"/>
    <w:rsid w:val="00D92A4F"/>
    <w:rsid w:val="00DA5426"/>
    <w:rsid w:val="00DC6AEC"/>
    <w:rsid w:val="00DD4F39"/>
    <w:rsid w:val="00DE6A7B"/>
    <w:rsid w:val="00DF3AAC"/>
    <w:rsid w:val="00E0535B"/>
    <w:rsid w:val="00E10DE7"/>
    <w:rsid w:val="00E151A4"/>
    <w:rsid w:val="00E20D9C"/>
    <w:rsid w:val="00E247EE"/>
    <w:rsid w:val="00E31ED3"/>
    <w:rsid w:val="00E341FC"/>
    <w:rsid w:val="00E525D6"/>
    <w:rsid w:val="00E56082"/>
    <w:rsid w:val="00E62D97"/>
    <w:rsid w:val="00E737BB"/>
    <w:rsid w:val="00E85025"/>
    <w:rsid w:val="00E94DC1"/>
    <w:rsid w:val="00EA4A0B"/>
    <w:rsid w:val="00EC736E"/>
    <w:rsid w:val="00ED044D"/>
    <w:rsid w:val="00EF038F"/>
    <w:rsid w:val="00EF1454"/>
    <w:rsid w:val="00EF7E00"/>
    <w:rsid w:val="00F0642C"/>
    <w:rsid w:val="00F1133E"/>
    <w:rsid w:val="00F174AA"/>
    <w:rsid w:val="00F33571"/>
    <w:rsid w:val="00F40F2B"/>
    <w:rsid w:val="00F41C1F"/>
    <w:rsid w:val="00F45A38"/>
    <w:rsid w:val="00F473AE"/>
    <w:rsid w:val="00F575CC"/>
    <w:rsid w:val="00F665AD"/>
    <w:rsid w:val="00F72869"/>
    <w:rsid w:val="00F9679A"/>
    <w:rsid w:val="00FA7673"/>
    <w:rsid w:val="00FC2C85"/>
    <w:rsid w:val="00FC3DFC"/>
    <w:rsid w:val="00FD5103"/>
    <w:rsid w:val="02777A1E"/>
    <w:rsid w:val="064851A9"/>
    <w:rsid w:val="064D1A0C"/>
    <w:rsid w:val="06D710E8"/>
    <w:rsid w:val="07972798"/>
    <w:rsid w:val="09A848D3"/>
    <w:rsid w:val="09BD3A1B"/>
    <w:rsid w:val="0AE161D0"/>
    <w:rsid w:val="0B1779E0"/>
    <w:rsid w:val="0E1D714D"/>
    <w:rsid w:val="18423240"/>
    <w:rsid w:val="244B5D86"/>
    <w:rsid w:val="24563AE9"/>
    <w:rsid w:val="275D6683"/>
    <w:rsid w:val="280B4E25"/>
    <w:rsid w:val="330B2F89"/>
    <w:rsid w:val="34BF75A8"/>
    <w:rsid w:val="3A466A4C"/>
    <w:rsid w:val="3B685D90"/>
    <w:rsid w:val="3CFE759A"/>
    <w:rsid w:val="3DE55C2E"/>
    <w:rsid w:val="3E8C542B"/>
    <w:rsid w:val="41282C79"/>
    <w:rsid w:val="428D54D0"/>
    <w:rsid w:val="43D152A8"/>
    <w:rsid w:val="43D4276C"/>
    <w:rsid w:val="45A5722B"/>
    <w:rsid w:val="47BE5522"/>
    <w:rsid w:val="516A74B5"/>
    <w:rsid w:val="5D111A98"/>
    <w:rsid w:val="5ED43DEF"/>
    <w:rsid w:val="5F7F4DC4"/>
    <w:rsid w:val="60B07CF6"/>
    <w:rsid w:val="61DD744A"/>
    <w:rsid w:val="628C396C"/>
    <w:rsid w:val="650C76A0"/>
    <w:rsid w:val="6B3D65E2"/>
    <w:rsid w:val="742D09C8"/>
    <w:rsid w:val="76B04ED0"/>
    <w:rsid w:val="790B7F90"/>
    <w:rsid w:val="7B5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/>
    </w:pPr>
    <w:rPr>
      <w:rFonts w:ascii="Times New Roman" w:hAnsi="Times New Roman" w:eastAsia="宋体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99"/>
  </w:style>
  <w:style w:type="character" w:styleId="9">
    <w:name w:val="Hyperlink"/>
    <w:basedOn w:val="7"/>
    <w:semiHidden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3"/>
    <w:qFormat/>
    <w:locked/>
    <w:uiPriority w:val="99"/>
    <w:rPr>
      <w:rFonts w:ascii="宋体" w:hAnsi="宋体" w:eastAsia="宋体" w:cs="宋体"/>
      <w:kern w:val="36"/>
      <w:sz w:val="24"/>
      <w:szCs w:val="24"/>
    </w:rPr>
  </w:style>
  <w:style w:type="character" w:customStyle="1" w:styleId="11">
    <w:name w:val="页脚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页眉 Char"/>
    <w:basedOn w:val="7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chan_newsinfo_comment"/>
    <w:basedOn w:val="7"/>
    <w:qFormat/>
    <w:uiPriority w:val="99"/>
  </w:style>
  <w:style w:type="paragraph" w:customStyle="1" w:styleId="14">
    <w:name w:val="Table Paragraph"/>
    <w:basedOn w:val="1"/>
    <w:qFormat/>
    <w:uiPriority w:val="99"/>
    <w:pPr>
      <w:jc w:val="center"/>
    </w:pPr>
    <w:rPr>
      <w:rFonts w:ascii="宋体" w:hAnsi="宋体" w:cs="宋体"/>
      <w:lang w:val="zh-CN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3509</Words>
  <Characters>4256</Characters>
  <Lines>2</Lines>
  <Paragraphs>1</Paragraphs>
  <TotalTime>0</TotalTime>
  <ScaleCrop>false</ScaleCrop>
  <LinksUpToDate>false</LinksUpToDate>
  <CharactersWithSpaces>4374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2017-08-30T08:35:00Z</dcterms:created>
  <dc:creator>陈</dc:creator>
  <cp:lastModifiedBy>tf</cp:lastModifiedBy>
  <cp:lastPrinted>2022-10-20T02:30:00Z</cp:lastPrinted>
  <dcterms:modified xsi:type="dcterms:W3CDTF">2022-12-19T00:47:37Z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6FE33B1274854649BC2F301D8A15A37E</vt:lpwstr>
  </property>
  <property fmtid="{D5CDD505-2E9C-101B-9397-08002B2CF9AE}" pid="4" name="commondata">
    <vt:lpwstr>eyJoZGlkIjoiNWQ5N2U5N2RlZWZlNTdlMDEzYzFhMGEyYjVkNWFlYzEifQ==</vt:lpwstr>
  </property>
</Properties>
</file>