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2400" w:firstLineChars="750"/>
        <w:rPr>
          <w:rFonts w:hint="eastAsia" w:ascii="黑体" w:hAnsi="宋体" w:eastAsia="黑体" w:cs="仿宋"/>
          <w:b/>
          <w:sz w:val="32"/>
          <w:szCs w:val="32"/>
          <w:shd w:val="clear" w:color="auto" w:fill="FFFFFF"/>
        </w:rPr>
      </w:pPr>
      <w:r>
        <w:rPr>
          <w:rFonts w:hint="eastAsia" w:ascii="黑体" w:hAnsi="ˎ̥" w:eastAsia="黑体" w:cs="Arial"/>
          <w:sz w:val="32"/>
          <w:szCs w:val="32"/>
        </w:rPr>
        <w:t>关于部分检验项目的说明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毒死蜱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毒死蜱是一种新型高效植物杀虫剂，收获前需要有一段时间的休药期。样品中检出毒死蜱超标的原因，可能是在将近采收的样品上不当使用。《食品安全国家标准食品中农药最大残留限量》（GB/T 20769-2008）中规定，毒死蜱在白菜中最大残留限量为0.02mg/kg。毒死蜱在麦芹中最大残留限量为0.05mg/kg。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腐霉利</w:t>
      </w:r>
    </w:p>
    <w:p>
      <w:pPr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腐霉利是一种新型高效植物杀虫剂，收获前需要有一段时间的休药期。韭菜样品中检出腐霉利超标的原因，可能是在将近采收的韭菜上不当使用。《食品安全国家标准食品中农药最大残留限量》（GB/T 20769-2008）中规定，腐霉利中最大残留限量为0.2mg/kg。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jU0NGE1YjNjN2IzY2JjZWUxOGRhYjRjODYxM2Y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DC7609"/>
    <w:rsid w:val="02F241BE"/>
    <w:rsid w:val="16EF4AC1"/>
    <w:rsid w:val="1C7323BF"/>
    <w:rsid w:val="25347E29"/>
    <w:rsid w:val="29E934B5"/>
    <w:rsid w:val="2B2C33CC"/>
    <w:rsid w:val="2B5427A6"/>
    <w:rsid w:val="2CA91AD3"/>
    <w:rsid w:val="2ECF037A"/>
    <w:rsid w:val="2F4D7666"/>
    <w:rsid w:val="38E815C5"/>
    <w:rsid w:val="41F25B82"/>
    <w:rsid w:val="43D309EF"/>
    <w:rsid w:val="496E39C3"/>
    <w:rsid w:val="4FBC44AA"/>
    <w:rsid w:val="50251217"/>
    <w:rsid w:val="517C2D6F"/>
    <w:rsid w:val="60A045C4"/>
    <w:rsid w:val="67BC540F"/>
    <w:rsid w:val="6E6F65C8"/>
    <w:rsid w:val="74655E82"/>
    <w:rsid w:val="78585585"/>
    <w:rsid w:val="78F053E4"/>
    <w:rsid w:val="79DB2142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7"/>
    <w:link w:val="4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296</Characters>
  <Lines>24</Lines>
  <Paragraphs>6</Paragraphs>
  <TotalTime>2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SKR</cp:lastModifiedBy>
  <dcterms:modified xsi:type="dcterms:W3CDTF">2022-11-28T03:49:11Z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DF76126DB864452FA8D14BDF4F12EF51</vt:lpwstr>
  </property>
</Properties>
</file>