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outlineLvl w:val="0"/>
        <w:rPr>
          <w:rFonts w:ascii="Times New Roman" w:hAnsi="Times New Roman" w:eastAsia="仿宋_GB2312" w:cs="Times New Roman"/>
          <w:color w:val="000000" w:themeColor="text1"/>
          <w:spacing w:val="-6"/>
          <w:sz w:val="30"/>
          <w:szCs w:val="30"/>
          <w14:textFill>
            <w14:solidFill>
              <w14:schemeClr w14:val="tx1"/>
            </w14:solidFill>
          </w14:textFill>
        </w:rPr>
      </w:pPr>
      <w:bookmarkStart w:id="0" w:name="_GoBack"/>
      <w:bookmarkEnd w:id="0"/>
      <w:r>
        <w:rPr>
          <w:rFonts w:hint="eastAsia" w:ascii="Times New Roman" w:hAnsi="Times New Roman" w:eastAsia="仿宋_GB2312" w:cs="Times New Roman"/>
          <w:color w:val="000000" w:themeColor="text1"/>
          <w:spacing w:val="-6"/>
          <w:sz w:val="30"/>
          <w:szCs w:val="30"/>
          <w14:textFill>
            <w14:solidFill>
              <w14:schemeClr w14:val="tx1"/>
            </w14:solidFill>
          </w14:textFill>
        </w:rPr>
        <w:t>附件1</w:t>
      </w:r>
    </w:p>
    <w:p>
      <w:pPr>
        <w:spacing w:line="720" w:lineRule="exact"/>
        <w:ind w:firstLine="696" w:firstLineChars="200"/>
        <w:jc w:val="center"/>
        <w:rPr>
          <w:rFonts w:ascii="方正小标宋简体" w:hAnsi="黑体" w:eastAsia="方正小标宋简体"/>
          <w:bCs/>
          <w:color w:val="000000" w:themeColor="text1"/>
          <w:spacing w:val="-6"/>
          <w:sz w:val="36"/>
          <w:szCs w:val="36"/>
          <w14:textFill>
            <w14:solidFill>
              <w14:schemeClr w14:val="tx1"/>
            </w14:solidFill>
          </w14:textFill>
        </w:rPr>
      </w:pPr>
      <w:r>
        <w:rPr>
          <w:rFonts w:ascii="方正小标宋简体" w:hAnsi="黑体" w:eastAsia="方正小标宋简体"/>
          <w:bCs/>
          <w:color w:val="000000" w:themeColor="text1"/>
          <w:spacing w:val="-6"/>
          <w:sz w:val="36"/>
          <w:szCs w:val="36"/>
          <w14:textFill>
            <w14:solidFill>
              <w14:schemeClr w14:val="tx1"/>
            </w14:solidFill>
          </w14:textFill>
        </w:rPr>
        <w:t>本次检验项目</w:t>
      </w:r>
    </w:p>
    <w:p>
      <w:pPr>
        <w:spacing w:line="720" w:lineRule="exact"/>
        <w:ind w:firstLine="616" w:firstLineChars="200"/>
        <w:rPr>
          <w:rFonts w:ascii="黑体" w:hAnsi="黑体" w:eastAsia="黑体" w:cs="Times New Roman"/>
          <w:bCs/>
          <w:color w:val="000000" w:themeColor="text1"/>
          <w:spacing w:val="-6"/>
          <w:sz w:val="32"/>
          <w:szCs w:val="32"/>
          <w14:textFill>
            <w14:solidFill>
              <w14:schemeClr w14:val="tx1"/>
            </w14:solidFill>
          </w14:textFill>
        </w:rPr>
      </w:pPr>
      <w:r>
        <w:rPr>
          <w:rFonts w:hint="eastAsia" w:ascii="黑体" w:hAnsi="黑体" w:eastAsia="黑体" w:cs="Times New Roman"/>
          <w:bCs/>
          <w:color w:val="000000" w:themeColor="text1"/>
          <w:spacing w:val="-6"/>
          <w:sz w:val="32"/>
          <w:szCs w:val="32"/>
          <w14:textFill>
            <w14:solidFill>
              <w14:schemeClr w14:val="tx1"/>
            </w14:solidFill>
          </w14:textFill>
        </w:rPr>
        <w:t>一、食用农产品</w:t>
      </w:r>
    </w:p>
    <w:p>
      <w:pPr>
        <w:spacing w:line="720" w:lineRule="exact"/>
        <w:ind w:firstLine="616" w:firstLineChars="200"/>
        <w:rPr>
          <w:rFonts w:ascii="楷体" w:hAnsi="楷体" w:eastAsia="楷体" w:cs="Times New Roman"/>
          <w:bCs/>
          <w:spacing w:val="-6"/>
          <w:sz w:val="32"/>
          <w:szCs w:val="32"/>
        </w:rPr>
      </w:pPr>
      <w:r>
        <w:rPr>
          <w:rFonts w:ascii="楷体" w:hAnsi="楷体" w:eastAsia="楷体" w:cs="Times New Roman"/>
          <w:bCs/>
          <w:spacing w:val="-6"/>
          <w:sz w:val="32"/>
          <w:szCs w:val="32"/>
        </w:rPr>
        <w:t>（一）抽检依据</w:t>
      </w:r>
    </w:p>
    <w:p>
      <w:pPr>
        <w:numPr>
          <w:ilvl w:val="0"/>
          <w:numId w:val="0"/>
        </w:numPr>
        <w:ind w:leftChars="200" w:firstLine="616" w:firstLineChars="200"/>
        <w:rPr>
          <w:rFonts w:hint="eastAsia" w:ascii="Times New Roman" w:hAnsi="Times New Roman" w:eastAsia="仿宋_GB2312" w:cs="Times New Roman"/>
          <w:bCs/>
          <w:color w:val="000000" w:themeColor="text1"/>
          <w:spacing w:val="-6"/>
          <w:sz w:val="32"/>
          <w:szCs w:val="32"/>
          <w14:textFill>
            <w14:solidFill>
              <w14:schemeClr w14:val="tx1"/>
            </w14:solidFill>
          </w14:textFill>
        </w:rPr>
      </w:pPr>
      <w:r>
        <w:rPr>
          <w:rFonts w:hint="eastAsia" w:ascii="Times New Roman" w:hAnsi="Times New Roman" w:eastAsia="仿宋_GB2312" w:cs="Times New Roman"/>
          <w:bCs/>
          <w:color w:val="000000" w:themeColor="text1"/>
          <w:spacing w:val="-6"/>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pacing w:val="-6"/>
          <w:sz w:val="32"/>
          <w:szCs w:val="32"/>
          <w:lang w:eastAsia="zh-CN"/>
          <w14:textFill>
            <w14:solidFill>
              <w14:schemeClr w14:val="tx1"/>
            </w14:solidFill>
          </w14:textFill>
        </w:rPr>
        <w:t>《食品安全国家标准 食品中兽药最大残留限量》（GB 31650-2019）、农业农村部公告第250号《食品动物中禁止使用的药品及其他化合物清单》、整顿办函〔2010〕50 号 《食品中可能违法添加的非食用物质和易滥用的食品添加剂名单（第四批）》、《食品安全国家标准 食品添加剂使用标准》（GB 2760-2014 ）、《食品安全国家标准 食品中农药最大残留限量》（GB 2763-2021）、《食品安全国家标准 食品中污染物限量》（GB 2762-2017）、</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《豆芽卫生标准》</w:t>
      </w:r>
      <w:r>
        <w:rPr>
          <w:rFonts w:hint="eastAsia" w:ascii="Times New Roman" w:hAnsi="Times New Roman" w:eastAsia="仿宋_GB2312" w:cs="Times New Roman"/>
          <w:bCs/>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GB 22556-2008</w:t>
      </w:r>
      <w:r>
        <w:rPr>
          <w:rFonts w:hint="eastAsia" w:ascii="Times New Roman" w:hAnsi="Times New Roman" w:eastAsia="仿宋_GB2312" w:cs="Times New Roman"/>
          <w:bCs/>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、国家食品药品监督管理总局农业部国家卫生和计划生育委员会关于豆芽生产过程中禁止使用6-苄基腺嘌呤等物质的公告(2015年第11号)等标准及产品明示标准和指标的要求。</w:t>
      </w:r>
    </w:p>
    <w:p>
      <w:pPr>
        <w:spacing w:line="720" w:lineRule="exact"/>
        <w:ind w:firstLine="616" w:firstLineChars="200"/>
        <w:rPr>
          <w:rFonts w:ascii="Times New Roman" w:hAnsi="Times New Roman" w:eastAsia="仿宋_GB2312" w:cs="Times New Roman"/>
          <w:bCs/>
          <w:color w:val="000000" w:themeColor="text1"/>
          <w:spacing w:val="-6"/>
          <w:sz w:val="32"/>
          <w:szCs w:val="32"/>
          <w14:textFill>
            <w14:solidFill>
              <w14:schemeClr w14:val="tx1"/>
            </w14:solidFill>
          </w14:textFill>
        </w:rPr>
      </w:pPr>
      <w:r>
        <w:rPr>
          <w:rFonts w:ascii="楷体" w:hAnsi="楷体" w:eastAsia="楷体" w:cs="Times New Roman"/>
          <w:bCs/>
          <w:color w:val="000000" w:themeColor="text1"/>
          <w:spacing w:val="-6"/>
          <w:sz w:val="32"/>
          <w:szCs w:val="32"/>
          <w14:textFill>
            <w14:solidFill>
              <w14:schemeClr w14:val="tx1"/>
            </w14:solidFill>
          </w14:textFill>
        </w:rPr>
        <w:t>（二）检验项目</w:t>
      </w:r>
    </w:p>
    <w:p>
      <w:pPr>
        <w:numPr>
          <w:ilvl w:val="0"/>
          <w:numId w:val="0"/>
        </w:numPr>
        <w:ind w:leftChars="200" w:firstLine="616" w:firstLineChars="200"/>
        <w:rPr>
          <w:rFonts w:ascii="Times New Roman" w:hAnsi="Times New Roman" w:eastAsia="仿宋_GB2312" w:cs="Times New Roman"/>
          <w:bCs/>
          <w:color w:val="000000" w:themeColor="text1"/>
          <w:spacing w:val="-6"/>
          <w:sz w:val="32"/>
          <w:szCs w:val="32"/>
          <w14:textFill>
            <w14:solidFill>
              <w14:schemeClr w14:val="tx1"/>
            </w14:solidFill>
          </w14:textFill>
        </w:rPr>
      </w:pPr>
      <w:r>
        <w:rPr>
          <w:rFonts w:hint="eastAsia" w:ascii="Times New Roman" w:hAnsi="Times New Roman" w:eastAsia="仿宋_GB2312" w:cs="Times New Roman"/>
          <w:bCs/>
          <w:color w:val="000000" w:themeColor="text1"/>
          <w:spacing w:val="-6"/>
          <w:sz w:val="32"/>
          <w:szCs w:val="32"/>
          <w14:textFill>
            <w14:solidFill>
              <w14:schemeClr w14:val="tx1"/>
            </w14:solidFill>
          </w14:textFill>
        </w:rPr>
        <w:t>畜禽肉及副产品</w:t>
      </w:r>
      <w:r>
        <w:rPr>
          <w:rFonts w:ascii="Times New Roman" w:hAnsi="Times New Roman" w:eastAsia="仿宋_GB2312" w:cs="Times New Roman"/>
          <w:bCs/>
          <w:color w:val="000000" w:themeColor="text1"/>
          <w:spacing w:val="-6"/>
          <w:sz w:val="32"/>
          <w:szCs w:val="32"/>
          <w14:textFill>
            <w14:solidFill>
              <w14:schemeClr w14:val="tx1"/>
            </w14:solidFill>
          </w14:textFill>
        </w:rPr>
        <w:t>抽检项目包括</w:t>
      </w:r>
      <w:r>
        <w:rPr>
          <w:rFonts w:hint="eastAsia" w:ascii="Times New Roman" w:hAnsi="Times New Roman" w:eastAsia="仿宋_GB2312" w:cs="Times New Roman"/>
          <w:bCs/>
          <w:color w:val="000000" w:themeColor="text1"/>
          <w:spacing w:val="-6"/>
          <w:sz w:val="32"/>
          <w:szCs w:val="32"/>
          <w:lang w:eastAsia="zh-CN"/>
          <w14:textFill>
            <w14:solidFill>
              <w14:schemeClr w14:val="tx1"/>
            </w14:solidFill>
          </w14:textFill>
        </w:rPr>
        <w:t>磺胺类(总量)、恩诺沙星、克伦特罗、莱克多巴胺、沙丁胺醇、地塞米松、苯甲酸及其钠盐（以苯甲酸计）、多西环素、甲氧苄啶、氯霉素、土霉素、金霉素、四环素、沙拉沙星、五氯酚酸钠(以五氯酚计)</w:t>
      </w:r>
      <w:r>
        <w:rPr>
          <w:rFonts w:ascii="Times New Roman" w:hAnsi="Times New Roman" w:eastAsia="仿宋_GB2312" w:cs="Times New Roman"/>
          <w:bCs/>
          <w:color w:val="000000" w:themeColor="text1"/>
          <w:spacing w:val="-6"/>
          <w:sz w:val="32"/>
          <w:szCs w:val="32"/>
          <w14:textFill>
            <w14:solidFill>
              <w14:schemeClr w14:val="tx1"/>
            </w14:solidFill>
          </w14:textFill>
        </w:rPr>
        <w:t>等</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15</w:t>
      </w:r>
      <w:r>
        <w:rPr>
          <w:rFonts w:ascii="Times New Roman" w:hAnsi="Times New Roman" w:eastAsia="仿宋_GB2312" w:cs="Times New Roman"/>
          <w:bCs/>
          <w:color w:val="000000" w:themeColor="text1"/>
          <w:spacing w:val="-6"/>
          <w:sz w:val="32"/>
          <w:szCs w:val="32"/>
          <w14:textFill>
            <w14:solidFill>
              <w14:schemeClr w14:val="tx1"/>
            </w14:solidFill>
          </w14:textFill>
        </w:rPr>
        <w:t>个指标。</w:t>
      </w:r>
    </w:p>
    <w:p>
      <w:pPr>
        <w:numPr>
          <w:ilvl w:val="0"/>
          <w:numId w:val="0"/>
        </w:numPr>
        <w:ind w:leftChars="200" w:firstLine="616" w:firstLineChars="200"/>
        <w:rPr>
          <w:rFonts w:hint="eastAsia" w:ascii="Times New Roman" w:hAnsi="Times New Roman" w:eastAsia="仿宋_GB2312" w:cs="Times New Roman"/>
          <w:bCs/>
          <w:color w:val="000000" w:themeColor="text1"/>
          <w:spacing w:val="-6"/>
          <w:sz w:val="32"/>
          <w:szCs w:val="32"/>
          <w14:textFill>
            <w14:solidFill>
              <w14:schemeClr w14:val="tx1"/>
            </w14:solidFill>
          </w14:textFill>
        </w:rPr>
      </w:pP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豆类</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抽检项目包括铅(以Pb计)</w:t>
      </w:r>
      <w:r>
        <w:rPr>
          <w:rFonts w:hint="eastAsia" w:ascii="Times New Roman" w:hAnsi="Times New Roman" w:eastAsia="仿宋_GB2312" w:cs="Times New Roman"/>
          <w:bCs/>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铬(以Cr计)</w:t>
      </w:r>
      <w:r>
        <w:rPr>
          <w:rFonts w:hint="eastAsia" w:ascii="Times New Roman" w:hAnsi="Times New Roman" w:eastAsia="仿宋_GB2312" w:cs="Times New Roman"/>
          <w:bCs/>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吡虫啉等</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个指标。</w:t>
      </w:r>
    </w:p>
    <w:p>
      <w:pPr>
        <w:numPr>
          <w:ilvl w:val="0"/>
          <w:numId w:val="0"/>
        </w:numPr>
        <w:ind w:leftChars="200" w:firstLine="616" w:firstLineChars="200"/>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蔬菜抽检项目包括敌敌畏、甲胺磷、氧乐果、甲拌磷、水胺硫磷、噻虫胺、吡虫啉、甲基异柳磷、甲基对硫磷、氯唑磷、噻虫嗪、腐霉利、毒死蜱、倍硫磷、甲氰菊酯、镉(以Cd计)、乙酰甲胺磷、多菌灵、克百威、啶虫脒、灭线磷、铅(以Pb计)、氟虫腈、灭蝇胺、氯氟氰菊酯和高效氯氟氰菊酯、氯氰菊酯和高效氯氰菊酯、辛硫磷、总汞(以Hg计)、4-氯苯氧乙酸钠(以4-氯苯氧乙酸计)、6-苄基腺嘌呤(6-BA)、亚硫酸盐(以SO₂计)、丙溴磷、对硫磷、久效磷、乐果、异丙威</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等</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36</w:t>
      </w:r>
      <w:r>
        <w:rPr>
          <w:rFonts w:hint="eastAsia" w:ascii="Times New Roman" w:hAnsi="Times New Roman" w:eastAsia="仿宋_GB2312" w:cs="Times New Roman"/>
          <w:bCs/>
          <w:color w:val="000000" w:themeColor="text1"/>
          <w:spacing w:val="-6"/>
          <w:sz w:val="32"/>
          <w:szCs w:val="32"/>
          <w14:textFill>
            <w14:solidFill>
              <w14:schemeClr w14:val="tx1"/>
            </w14:solidFill>
          </w14:textFill>
        </w:rPr>
        <w:t>个指标。</w:t>
      </w:r>
    </w:p>
    <w:p>
      <w:pPr>
        <w:numPr>
          <w:ilvl w:val="0"/>
          <w:numId w:val="0"/>
        </w:numPr>
        <w:ind w:leftChars="200" w:firstLine="616" w:firstLineChars="200"/>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水</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产</w:t>
      </w: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类</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抽检项目包括镉(以Cd计)、孔雀石绿、氯霉素、呋喃妥因代谢物、五氯酚酸钠(以五氯酚计)</w:t>
      </w: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等</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5</w:t>
      </w: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个指标</w:t>
      </w:r>
    </w:p>
    <w:p>
      <w:pPr>
        <w:numPr>
          <w:ilvl w:val="0"/>
          <w:numId w:val="0"/>
        </w:numPr>
        <w:ind w:leftChars="200" w:firstLine="616" w:firstLineChars="200"/>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水果类</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抽检项目包括对硫磷、吡虫啉、噻虫嗪、腈苯唑、甲拌磷、联苯菊酯、氯氰菊酯和高效氯氰菊酯、氯氟氰菊酯和高效氯氟氰菊酯、丙溴磷、苯醚甲环唑、三唑磷、氧乐果、毒死蜱、狄氏剂、多菌灵、水胺硫磷、杀扑磷、嘧霉胺、甲基对硫磷、灭线磷、敌敌畏、克百威、氰戊菊酯和S-氰戊菊酯、烯酰吗啉、辛硫磷、戊唑醇、氟虫腈、甲胺磷、啶虫脒、倍硫磷30</w:t>
      </w: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个指标。</w:t>
      </w:r>
    </w:p>
    <w:p>
      <w:pPr>
        <w:numPr>
          <w:ilvl w:val="0"/>
          <w:numId w:val="0"/>
        </w:numPr>
        <w:ind w:leftChars="200" w:firstLine="616" w:firstLineChars="200"/>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鲜蛋</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抽检项目包括甲硝唑、氯霉素、呋喃唑酮代谢物、氟虫腈</w:t>
      </w: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等</w:t>
      </w:r>
      <w:r>
        <w:rPr>
          <w:rFonts w:hint="eastAsia" w:ascii="Times New Roman" w:hAnsi="Times New Roman" w:eastAsia="仿宋_GB2312" w:cs="Times New Roman"/>
          <w:bCs/>
          <w:color w:val="000000" w:themeColor="text1"/>
          <w:spacing w:val="-6"/>
          <w:sz w:val="32"/>
          <w:szCs w:val="32"/>
          <w:lang w:val="en-US" w:eastAsia="zh-CN"/>
          <w14:textFill>
            <w14:solidFill>
              <w14:schemeClr w14:val="tx1"/>
            </w14:solidFill>
          </w14:textFill>
        </w:rPr>
        <w:t>4</w:t>
      </w:r>
      <w:r>
        <w:rPr>
          <w:rFonts w:hint="default" w:ascii="Times New Roman" w:hAnsi="Times New Roman" w:eastAsia="仿宋_GB2312" w:cs="Times New Roman"/>
          <w:bCs/>
          <w:color w:val="000000" w:themeColor="text1"/>
          <w:spacing w:val="-6"/>
          <w:sz w:val="32"/>
          <w:szCs w:val="32"/>
          <w:lang w:val="en-US" w:eastAsia="zh-CN"/>
          <w14:textFill>
            <w14:solidFill>
              <w14:schemeClr w14:val="tx1"/>
            </w14:solidFill>
          </w14:textFill>
        </w:rPr>
        <w:t>个指标。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99946C-0C03-4E20-960A-B8E25753D5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embedRegular r:id="rId2" w:fontKey="{5FD2D01E-45EE-4B91-B12F-13D1B465E136}"/>
  </w:font>
  <w:font w:name="方正小标宋简体">
    <w:panose1 w:val="03000509000000000000"/>
    <w:charset w:val="86"/>
    <w:family w:val="script"/>
    <w:pitch w:val="default"/>
    <w:sig w:usb0="00000000" w:usb1="00000000" w:usb2="00000000" w:usb3="00000000" w:csb0="00000000" w:csb1="00000000"/>
    <w:embedRegular r:id="rId3" w:fontKey="{6B4B774D-D3BB-42F6-94A9-9F5CD444D829}"/>
  </w:font>
  <w:font w:name="楷体">
    <w:panose1 w:val="02010609060101010101"/>
    <w:charset w:val="86"/>
    <w:family w:val="modern"/>
    <w:pitch w:val="default"/>
    <w:sig w:usb0="800002BF" w:usb1="38CF7CFA" w:usb2="00000016" w:usb3="00000000" w:csb0="00040001" w:csb1="00000000"/>
    <w:embedRegular r:id="rId4" w:fontKey="{21AEA0DD-6C7E-43FF-B51C-942D25EB0BF4}"/>
  </w:font>
  <w:font w:name="Verdan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E1YmRlYjllMjExNmE2ODFkMzVjZDRkMzNjZjkifQ=="/>
    <w:docVar w:name="KSO_WPS_MARK_KEY" w:val="e9f38f50-6800-4bf2-bf11-fb5950df676c"/>
  </w:docVars>
  <w:rsids>
    <w:rsidRoot w:val="00CE101E"/>
    <w:rsid w:val="000014DD"/>
    <w:rsid w:val="00007B2A"/>
    <w:rsid w:val="00042004"/>
    <w:rsid w:val="00055B74"/>
    <w:rsid w:val="0007646D"/>
    <w:rsid w:val="0009511B"/>
    <w:rsid w:val="000B285D"/>
    <w:rsid w:val="00160DA3"/>
    <w:rsid w:val="00166F06"/>
    <w:rsid w:val="001B6B86"/>
    <w:rsid w:val="001D5823"/>
    <w:rsid w:val="001F2556"/>
    <w:rsid w:val="00265DA2"/>
    <w:rsid w:val="00281629"/>
    <w:rsid w:val="002829BF"/>
    <w:rsid w:val="00290D58"/>
    <w:rsid w:val="002A022B"/>
    <w:rsid w:val="002C1C29"/>
    <w:rsid w:val="002D6C35"/>
    <w:rsid w:val="00311D1D"/>
    <w:rsid w:val="003760FB"/>
    <w:rsid w:val="003763C0"/>
    <w:rsid w:val="003966CC"/>
    <w:rsid w:val="003E5FC7"/>
    <w:rsid w:val="0045502F"/>
    <w:rsid w:val="004562E6"/>
    <w:rsid w:val="0046125E"/>
    <w:rsid w:val="004770E7"/>
    <w:rsid w:val="0048681C"/>
    <w:rsid w:val="005705D0"/>
    <w:rsid w:val="00571970"/>
    <w:rsid w:val="00582790"/>
    <w:rsid w:val="005A5FB7"/>
    <w:rsid w:val="006030F6"/>
    <w:rsid w:val="00603C30"/>
    <w:rsid w:val="00640B85"/>
    <w:rsid w:val="00641991"/>
    <w:rsid w:val="0068107E"/>
    <w:rsid w:val="006B7023"/>
    <w:rsid w:val="006D0F63"/>
    <w:rsid w:val="00750C11"/>
    <w:rsid w:val="007A5980"/>
    <w:rsid w:val="00857284"/>
    <w:rsid w:val="00867CC1"/>
    <w:rsid w:val="00904921"/>
    <w:rsid w:val="009778E9"/>
    <w:rsid w:val="009A6362"/>
    <w:rsid w:val="009B678B"/>
    <w:rsid w:val="009F4C1B"/>
    <w:rsid w:val="00A30560"/>
    <w:rsid w:val="00A626C5"/>
    <w:rsid w:val="00A72131"/>
    <w:rsid w:val="00AA14BB"/>
    <w:rsid w:val="00B04055"/>
    <w:rsid w:val="00B241B8"/>
    <w:rsid w:val="00B27031"/>
    <w:rsid w:val="00B312C4"/>
    <w:rsid w:val="00B37A32"/>
    <w:rsid w:val="00B528B1"/>
    <w:rsid w:val="00B56E76"/>
    <w:rsid w:val="00B93295"/>
    <w:rsid w:val="00C139F9"/>
    <w:rsid w:val="00CB7CC6"/>
    <w:rsid w:val="00CE101E"/>
    <w:rsid w:val="00CF144A"/>
    <w:rsid w:val="00D25DEE"/>
    <w:rsid w:val="00D40A2E"/>
    <w:rsid w:val="00DB3A0A"/>
    <w:rsid w:val="00DD06BA"/>
    <w:rsid w:val="00E87532"/>
    <w:rsid w:val="00F368CF"/>
    <w:rsid w:val="00F657E7"/>
    <w:rsid w:val="00F80CCB"/>
    <w:rsid w:val="00F831CF"/>
    <w:rsid w:val="00F92BCC"/>
    <w:rsid w:val="00FC7EBA"/>
    <w:rsid w:val="02AF383B"/>
    <w:rsid w:val="03E203E0"/>
    <w:rsid w:val="05810D93"/>
    <w:rsid w:val="062E4A77"/>
    <w:rsid w:val="065B5A88"/>
    <w:rsid w:val="0B1C3A38"/>
    <w:rsid w:val="107A6B0B"/>
    <w:rsid w:val="115F2E9D"/>
    <w:rsid w:val="1356560D"/>
    <w:rsid w:val="13651A67"/>
    <w:rsid w:val="17626C76"/>
    <w:rsid w:val="182F467F"/>
    <w:rsid w:val="1A0F4768"/>
    <w:rsid w:val="1B5E59A7"/>
    <w:rsid w:val="1BA65613"/>
    <w:rsid w:val="1E351E01"/>
    <w:rsid w:val="1FB35C74"/>
    <w:rsid w:val="21614525"/>
    <w:rsid w:val="223642F2"/>
    <w:rsid w:val="247632C9"/>
    <w:rsid w:val="25DE1BBE"/>
    <w:rsid w:val="264D28A0"/>
    <w:rsid w:val="26BC17D3"/>
    <w:rsid w:val="26FC7E22"/>
    <w:rsid w:val="28DA4193"/>
    <w:rsid w:val="28FE60D3"/>
    <w:rsid w:val="2A646B52"/>
    <w:rsid w:val="2EDD678B"/>
    <w:rsid w:val="2FB96CCA"/>
    <w:rsid w:val="305D2219"/>
    <w:rsid w:val="30AC28B9"/>
    <w:rsid w:val="3171582F"/>
    <w:rsid w:val="328C0BC3"/>
    <w:rsid w:val="3316226B"/>
    <w:rsid w:val="33B201E6"/>
    <w:rsid w:val="34362BC5"/>
    <w:rsid w:val="348C5690"/>
    <w:rsid w:val="34C401D1"/>
    <w:rsid w:val="34E02B31"/>
    <w:rsid w:val="35BA009A"/>
    <w:rsid w:val="36282FE3"/>
    <w:rsid w:val="36FD5201"/>
    <w:rsid w:val="37A442EA"/>
    <w:rsid w:val="38BE13DB"/>
    <w:rsid w:val="3CAB1C76"/>
    <w:rsid w:val="3FB83028"/>
    <w:rsid w:val="405A5E8D"/>
    <w:rsid w:val="409229ED"/>
    <w:rsid w:val="414A5F80"/>
    <w:rsid w:val="415029BB"/>
    <w:rsid w:val="419158DF"/>
    <w:rsid w:val="42FE6FA4"/>
    <w:rsid w:val="440A3726"/>
    <w:rsid w:val="448314F8"/>
    <w:rsid w:val="45160299"/>
    <w:rsid w:val="459B6D2C"/>
    <w:rsid w:val="461940F5"/>
    <w:rsid w:val="47FB4D7B"/>
    <w:rsid w:val="495A0CAC"/>
    <w:rsid w:val="4B792602"/>
    <w:rsid w:val="4BD44D46"/>
    <w:rsid w:val="4BF4363A"/>
    <w:rsid w:val="4CFA65C0"/>
    <w:rsid w:val="52696DC1"/>
    <w:rsid w:val="528F5E6A"/>
    <w:rsid w:val="537D0B55"/>
    <w:rsid w:val="55CE0A58"/>
    <w:rsid w:val="566D64C3"/>
    <w:rsid w:val="578F1872"/>
    <w:rsid w:val="598D29D8"/>
    <w:rsid w:val="5FCD0963"/>
    <w:rsid w:val="5FD650D9"/>
    <w:rsid w:val="60CF0CF8"/>
    <w:rsid w:val="61E57855"/>
    <w:rsid w:val="61EF5593"/>
    <w:rsid w:val="62A14A9E"/>
    <w:rsid w:val="65420B1A"/>
    <w:rsid w:val="69CA10DE"/>
    <w:rsid w:val="6BED4862"/>
    <w:rsid w:val="6E6935BC"/>
    <w:rsid w:val="70441BEA"/>
    <w:rsid w:val="709E2325"/>
    <w:rsid w:val="72A921D9"/>
    <w:rsid w:val="761B163F"/>
    <w:rsid w:val="786C4819"/>
    <w:rsid w:val="7B614C24"/>
    <w:rsid w:val="7D3134F6"/>
    <w:rsid w:val="7E097FCF"/>
    <w:rsid w:val="7E6D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3"/>
    <w:qFormat/>
    <w:uiPriority w:val="9"/>
    <w:rPr>
      <w:rFonts w:ascii="宋体" w:hAnsi="宋体" w:cs="宋体"/>
      <w:b/>
      <w:bCs/>
      <w:kern w:val="36"/>
      <w:sz w:val="48"/>
      <w:szCs w:val="48"/>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fontstyle01"/>
    <w:basedOn w:val="6"/>
    <w:qFormat/>
    <w:uiPriority w:val="0"/>
    <w:rPr>
      <w:rFonts w:hint="eastAsia" w:ascii="宋体" w:hAnsi="宋体" w:eastAsia="宋体"/>
      <w:color w:val="000000"/>
      <w:sz w:val="20"/>
      <w:szCs w:val="20"/>
    </w:rPr>
  </w:style>
  <w:style w:type="paragraph" w:customStyle="1" w:styleId="12">
    <w:name w:val="列出段落1"/>
    <w:basedOn w:val="1"/>
    <w:qFormat/>
    <w:uiPriority w:val="34"/>
    <w:pPr>
      <w:ind w:firstLine="420" w:firstLineChars="200"/>
    </w:pPr>
    <w:rPr>
      <w:rFonts w:ascii="Calibri" w:hAnsi="Calibri" w:eastAsia="宋体" w:cs="Times New Roman"/>
    </w:rPr>
  </w:style>
  <w:style w:type="character" w:customStyle="1" w:styleId="13">
    <w:name w:val="fontstyle11"/>
    <w:basedOn w:val="6"/>
    <w:qFormat/>
    <w:uiPriority w:val="0"/>
    <w:rPr>
      <w:rFonts w:hint="default" w:ascii="TimesNewRomanPSMT" w:hAnsi="TimesNewRomanPSMT"/>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887</Words>
  <Characters>965</Characters>
  <Lines>59</Lines>
  <Paragraphs>16</Paragraphs>
  <TotalTime>0</TotalTime>
  <ScaleCrop>false</ScaleCrop>
  <LinksUpToDate>false</LinksUpToDate>
  <CharactersWithSpaces>977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2019-10-14T02:26:00Z</dcterms:created>
  <dc:creator>user</dc:creator>
  <cp:lastModifiedBy>管理人员</cp:lastModifiedBy>
  <dcterms:modified xsi:type="dcterms:W3CDTF">2022-12-28T02:34:01Z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89C441F170434E26B77AF64F704B5E6A</vt:lpwstr>
  </property>
</Properties>
</file>