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Times New Roman" w:hAnsi="Times New Roman" w:eastAsia="黑体" w:cs="Times New Roman"/>
          <w:kern w:val="1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1"/>
          <w:sz w:val="32"/>
          <w:szCs w:val="32"/>
        </w:rPr>
        <w:t>附件</w:t>
      </w:r>
      <w:r>
        <w:rPr>
          <w:rFonts w:hint="eastAsia" w:eastAsia="黑体" w:cs="Times New Roman"/>
          <w:kern w:val="1"/>
          <w:sz w:val="32"/>
          <w:szCs w:val="32"/>
          <w:lang w:val="en-US" w:eastAsia="zh-CN"/>
        </w:rPr>
        <w:t>2</w:t>
      </w:r>
    </w:p>
    <w:p>
      <w:pPr>
        <w:suppressAutoHyphens/>
        <w:spacing w:line="240" w:lineRule="exact"/>
        <w:rPr>
          <w:rFonts w:ascii="Times New Roman" w:hAnsi="Times New Roman" w:eastAsia="黑体" w:cs="Times New Roman"/>
          <w:kern w:val="1"/>
          <w:sz w:val="32"/>
          <w:szCs w:val="32"/>
        </w:rPr>
      </w:pPr>
    </w:p>
    <w:p>
      <w:pPr>
        <w:suppressAutoHyphens/>
        <w:spacing w:line="640" w:lineRule="exact"/>
        <w:ind w:firstLine="2200" w:firstLineChars="500"/>
        <w:rPr>
          <w:rFonts w:hint="default" w:ascii="Times New Roman" w:hAnsi="Times New Roman" w:eastAsia="仿宋_GB2312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kern w:val="0"/>
          <w:sz w:val="44"/>
          <w:szCs w:val="44"/>
        </w:rPr>
        <w:t>年</w:t>
      </w:r>
      <w:r>
        <w:rPr>
          <w:rFonts w:hint="eastAsia" w:eastAsia="方正小标宋简体" w:cs="Times New Roman"/>
          <w:bCs/>
          <w:color w:val="auto"/>
          <w:spacing w:val="0"/>
          <w:kern w:val="0"/>
          <w:sz w:val="44"/>
          <w:szCs w:val="44"/>
          <w:lang w:eastAsia="zh-CN"/>
        </w:rPr>
        <w:t>来宾市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kern w:val="0"/>
          <w:sz w:val="44"/>
          <w:szCs w:val="44"/>
        </w:rPr>
        <w:t>食品安全监督抽检品种及检验项目表</w:t>
      </w:r>
    </w:p>
    <w:p>
      <w:pPr>
        <w:widowControl/>
        <w:spacing w:line="300" w:lineRule="exact"/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</w:pPr>
    </w:p>
    <w:tbl>
      <w:tblPr>
        <w:tblStyle w:val="4"/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325"/>
        <w:gridCol w:w="1030"/>
        <w:gridCol w:w="1545"/>
        <w:gridCol w:w="2263"/>
        <w:gridCol w:w="835"/>
        <w:gridCol w:w="6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5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  <w:t>食品大类（一级）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  <w:t>食品亚类（二级）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  <w:t>食品品种（三级）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  <w:t>食品细类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  <w:t>（四级）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  <w:t>风险等级</w:t>
            </w:r>
          </w:p>
        </w:tc>
        <w:tc>
          <w:tcPr>
            <w:tcW w:w="65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  <w:highlight w:val="none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保健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食品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保健食品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保健食品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保健食品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较高</w:t>
            </w:r>
          </w:p>
        </w:tc>
        <w:tc>
          <w:tcPr>
            <w:tcW w:w="65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功效/标志性成分、水分、可溶性固形物、酸价、过氧化值、崩解时限、铅（Pb）、总砷（As）、总汞（Hg）、胶囊壳中的铬、西布曲明、N-单去甲基西布曲明、N，N-双去甲基西布曲明、麻黄碱、芬氟拉明、酚酞、甲苯磺丁脲、格列苯脲、格列齐特、格列吡嗪、格列喹酮、格列美脲、马来酸罗格列酮、瑞格列奈、盐酸吡格列酮、盐酸二甲双胍、盐酸苯乙双胍、盐酸丁二胍、格列波脲、那红地那非、红地那非、伐地那非、羟基豪莫西地那非、西地那非、豪莫西地那非、氨基他达拉非、他达拉非、硫代艾地那非、伪伐地那非、那莫西地那非、阿替洛尔、盐酸可乐定、氢氯噻嗪、卡托普利、哌唑嗪、利血平、硝苯地平、氨氯地平、尼群地平、尼莫地平、尼索地平、非洛地平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硝西泮、奥沙西泮、劳拉西泮、氯硝西泮、地西泮、巴比妥、苯巴比妥、司可巴比妥、异戊巴比妥、褪黑素、洛伐他汀、辛伐他汀、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菌落总数、大肠菌群、霉菌和酵母、金黄色葡萄球菌、沙门氏菌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619F5"/>
    <w:rsid w:val="01B9224E"/>
    <w:rsid w:val="12C619F5"/>
    <w:rsid w:val="6B382E18"/>
    <w:rsid w:val="783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2022-09-29T01:45:00Z</dcterms:created>
  <dc:creator>Administrator</dc:creator>
  <cp:lastModifiedBy>Administrator</cp:lastModifiedBy>
  <dcterms:modified xsi:type="dcterms:W3CDTF">2022-10-31T09:24:03Z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