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lang w:eastAsia="zh-CN"/>
        </w:rPr>
        <w:t>关于</w:t>
      </w:r>
      <w:r>
        <w:rPr>
          <w:rFonts w:hint="eastAsia" w:ascii="方正小标宋简体" w:hAnsi="方正小标宋简体" w:eastAsia="方正小标宋简体" w:cs="方正小标宋简体"/>
          <w:sz w:val="44"/>
          <w:szCs w:val="44"/>
        </w:rPr>
        <w:t>《广东省举报侵犯知识产权和制售</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假冒伪劣商品违法行为奖励办法</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（修订征求意见稿）</w:t>
      </w: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的修订说明</w:t>
      </w:r>
    </w:p>
    <w:bookmarkEnd w:id="0"/>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textAlignment w:val="auto"/>
        <w:outlineLvl w:val="9"/>
        <w:rPr>
          <w:rFonts w:hint="eastAsia" w:ascii="Times New Roman" w:hAnsi="Times New Roman" w:cs="Times New Roman"/>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 xml:space="preserve"> </w:t>
      </w:r>
      <w:r>
        <w:rPr>
          <w:rFonts w:hint="eastAsia" w:ascii="黑体" w:hAnsi="黑体" w:eastAsia="黑体" w:cs="黑体"/>
          <w:kern w:val="2"/>
          <w:sz w:val="32"/>
          <w:szCs w:val="32"/>
          <w:lang w:val="en-US" w:eastAsia="zh-CN" w:bidi="ar-SA"/>
        </w:rPr>
        <w:t xml:space="preserve"> 一、修订的必要性</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 xml:space="preserve">  2018年，习近平总书记在视察广东重要讲话中，对广东提出了推动高质量发展的工作要求。发动社会公众积极举报制售假冒伪劣商品违法行为，是推动打假治劣和社会高质量发展的必然选择。1999年颁布的《广东省查处生产假冒伪劣商品违法行为条例》（下称《查假条例》）明确鼓励社会公众举报制售假冒伪劣商品行为，但因各有关职能部门纷纷出台本部门奖励制度，缺乏统一奖励标准，实施随意性较大，影响了社会公众的举报积极性。为解决上述问题，2019年，我省制定出台了《广东省举报侵犯知识产权和制售假冒伪劣商品违法行为奖励办法》（下称《奖励办法》），将其作为贯彻落实习近平总书记重要讲话精神的一项具体举措，助力推动广东高质量发展、营造共建共治共享社会治理格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both"/>
        <w:textAlignment w:val="auto"/>
        <w:outlineLvl w:val="9"/>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pP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近年来，随着社会经济的不断发展，监督管理的客观环境不断发生变化，</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打击侵权假冒工作</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体制机制、法律法规、监督管理等进行了一系列的改革和完善。党中央、国务院全面</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部署</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加强知识产权保护</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，相继出台</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《知识产权强国建设纲要（2021—2035年）》《“十四五”国家知识产权保护和运用规划》和《关于强化知识产权保护的意见》</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等文件</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为进一步</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加强知识产权保护，优化创新环境和营商环境</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提供了制度保障。</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奖励办法</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》实施以来，</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各级各部门</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严格按照《</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奖励办法</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》有关要求实施</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并取得积极成效</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，但在实施过程发现部分条款不</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尽</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完善，有些内容需要</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进一步</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明确。同时，通过近几年的监管实践，有一些新的有效做法需要</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提炼</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总结，因此，为</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深入</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贯彻落实习近平总书记在中央政治局第二十五次集体学习时的重要讲话精神，</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更好激发人民群众举报侵权假冒行为的积极性，构建共治共享工作格局</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，我们研究对《</w:t>
      </w:r>
      <w:r>
        <w:rPr>
          <w:rFonts w:hint="eastAsia" w:ascii="Times New Roman" w:hAnsi="Times New Roman" w:cstheme="minorBidi"/>
          <w:color w:val="000000" w:themeColor="text1"/>
          <w:kern w:val="0"/>
          <w:sz w:val="32"/>
          <w:szCs w:val="32"/>
          <w:lang w:val="en-US" w:eastAsia="zh-CN" w:bidi="ar"/>
          <w14:textFill>
            <w14:solidFill>
              <w14:schemeClr w14:val="tx1"/>
            </w14:solidFill>
          </w14:textFill>
        </w:rPr>
        <w:t>奖励办法</w:t>
      </w:r>
      <w:r>
        <w:rPr>
          <w:rFonts w:hint="eastAsia" w:ascii="Times New Roman" w:hAnsi="Times New Roman" w:eastAsia="仿宋_GB2312" w:cstheme="minorBidi"/>
          <w:color w:val="000000" w:themeColor="text1"/>
          <w:kern w:val="0"/>
          <w:sz w:val="32"/>
          <w:szCs w:val="32"/>
          <w:lang w:val="en-US" w:eastAsia="zh-CN" w:bidi="ar"/>
          <w14:textFill>
            <w14:solidFill>
              <w14:schemeClr w14:val="tx1"/>
            </w14:solidFill>
          </w14:textFill>
        </w:rPr>
        <w:t>》进行修订。</w:t>
      </w:r>
    </w:p>
    <w:p>
      <w:pPr>
        <w:pStyle w:val="6"/>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both"/>
        <w:textAlignment w:val="auto"/>
        <w:outlineLvl w:val="9"/>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pPr>
      <w:r>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t>设定依据</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both"/>
        <w:textAlignment w:val="auto"/>
        <w:outlineLvl w:val="9"/>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《中人民共和国产品质量法》</w:t>
      </w:r>
      <w:r>
        <w:rPr>
          <w:rFonts w:hint="eastAsia" w:ascii="Times New Roman" w:hAnsi="Times New Roman" w:eastAsia="仿宋_GB2312"/>
          <w:color w:val="000000" w:themeColor="text1"/>
          <w:sz w:val="32"/>
          <w:szCs w:val="32"/>
          <w:lang w:val="en-US" w:eastAsia="zh-CN"/>
          <w14:textFill>
            <w14:solidFill>
              <w14:schemeClr w14:val="tx1"/>
            </w14:solidFill>
          </w14:textFill>
        </w:rPr>
        <w:t>第十条　任何单位和个人有权对违反本法规定的行为，向市场监督管理部门或者其他有关部门检举。</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both"/>
        <w:textAlignment w:val="auto"/>
        <w:outlineLvl w:val="9"/>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olor w:val="000000" w:themeColor="text1"/>
          <w:sz w:val="32"/>
          <w:szCs w:val="32"/>
          <w:lang w:val="en-US" w:eastAsia="zh-CN"/>
          <w14:textFill>
            <w14:solidFill>
              <w14:schemeClr w14:val="tx1"/>
            </w14:solidFill>
          </w14:textFill>
        </w:rPr>
        <w:t>市场监督管理部门和有关部门应当为检举人保密，并按照省、自治区、直辖市人民政府的规定给予奖励。</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《查假条例》第五十二条 案件依法查处后，监督管理部门给予举报人罚没款数额百分之一以上、百分之十以下的奖励；没有罚没款的，给予适当奖励。奖金在办案经费中列支。</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奖励的具体办法由省人民政府另行制定。</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三、所需解决的主要问题</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（一）解决《奖励办法》实施过程中遇到的操作性不强、执行堵点等问题。</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（二）解决现实中存在的奖励范围模糊的问题。</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both"/>
        <w:textAlignment w:val="auto"/>
        <w:outlineLvl w:val="9"/>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pPr>
      <w:r>
        <w:rPr>
          <w:rFonts w:hint="eastAsia" w:ascii="Times New Roman" w:hAnsi="Times New Roman" w:eastAsia="黑体" w:cs="黑体"/>
          <w:color w:val="000000" w:themeColor="text1"/>
          <w:kern w:val="0"/>
          <w:sz w:val="32"/>
          <w:szCs w:val="32"/>
          <w:lang w:val="en-US" w:eastAsia="zh-CN" w:bidi="ar-SA"/>
          <w14:textFill>
            <w14:solidFill>
              <w14:schemeClr w14:val="tx1"/>
            </w14:solidFill>
          </w14:textFill>
        </w:rPr>
        <w:t>四、拟修订的主要内容</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一）根据现行国家法律法规，修订了立法依据。《举报制售假冒伪劣产品违法犯罪活动有功人员奖励办法》《食品药品违法行为举报奖励办法》已于2021年12月1日起废止。2021年12月1日起，市场监管总局、财政部联合印发的《市场监管领域重大违法行为举报奖励暂行办法》正式施行。</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二）修订举报受理部门以及奖励金管理、审核、发放部门。根据《国务院办公厅进一步优化地方政务服务便民热线的指导意见》和《广东省人民政府办公厅关于印发进一步优化地方政务服务便民热线工作实施方案的通知》要求，我省96315热线已于2021年10月30日归并入12345热线，相关职能也一并转入。市场监管部门和各级有关行政部门都是按照职责分工承担相应的“双打”职能，按照权责对等原则，各级有关行政部门都应该承担相应的线索受理和举报奖励职责，如果统一由市场监管部门受理线索和发放举报奖励金，不仅手续繁琐，而且也违背了权责对等原则。</w:t>
      </w:r>
    </w:p>
    <w:p>
      <w:pPr>
        <w:keepNext w:val="0"/>
        <w:keepLines w:val="0"/>
        <w:pageBreakBefore w:val="0"/>
        <w:widowControl w:val="0"/>
        <w:kinsoku/>
        <w:wordWrap/>
        <w:overflowPunct/>
        <w:topLinePunct w:val="0"/>
        <w:autoSpaceDE/>
        <w:autoSpaceDN/>
        <w:bidi w:val="0"/>
        <w:adjustRightInd/>
        <w:snapToGrid w:val="0"/>
        <w:spacing w:line="640" w:lineRule="exact"/>
        <w:ind w:left="0" w:leftChars="0" w:right="0" w:rightChars="0" w:firstLine="640" w:firstLineChars="20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（三）删除</w:t>
      </w:r>
      <w:r>
        <w:rPr>
          <w:rFonts w:hint="eastAsia" w:ascii="Times New Roman" w:hAnsi="Times New Roman" w:eastAsia="仿宋_GB2312" w:cs="Times New Roman"/>
          <w:color w:val="auto"/>
          <w:sz w:val="32"/>
          <w:szCs w:val="32"/>
        </w:rPr>
        <w:t>诬告或虚假举报的纳入其个人信用记录</w:t>
      </w:r>
      <w:r>
        <w:rPr>
          <w:rFonts w:hint="eastAsia" w:ascii="Times New Roman" w:hAnsi="Times New Roman" w:cs="Times New Roman"/>
          <w:color w:val="auto"/>
          <w:sz w:val="32"/>
          <w:szCs w:val="32"/>
          <w:lang w:eastAsia="zh-CN"/>
        </w:rPr>
        <w:t>内容</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2021年出台的《广东省社会信用条例》对规范社会信用管理作出了更明确的规定，要求“社会信用信息的归集、采集、公开、共享、查询和应用等活动，应当遵循合法、正当、必要、审慎的原则”。考虑到上位法尚未对举报人诬告、虚假举报的信用管理及社会公示作出规定，</w:t>
      </w:r>
      <w:r>
        <w:rPr>
          <w:rFonts w:hint="eastAsia" w:ascii="Times New Roman" w:hAnsi="Times New Roman" w:eastAsia="仿宋_GB2312" w:cs="Times New Roman"/>
          <w:color w:val="auto"/>
          <w:sz w:val="32"/>
          <w:szCs w:val="32"/>
          <w:lang w:eastAsia="zh-CN"/>
        </w:rPr>
        <w:t>因此</w:t>
      </w:r>
      <w:r>
        <w:rPr>
          <w:rFonts w:hint="default" w:ascii="Times New Roman" w:hAnsi="Times New Roman" w:eastAsia="仿宋_GB2312" w:cs="Times New Roman"/>
          <w:color w:val="auto"/>
          <w:sz w:val="32"/>
          <w:szCs w:val="32"/>
        </w:rPr>
        <w:t>删除相关内容。</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20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（四）修订部分奖励范围。明确国家明令淘汰并禁止生产、销售的产品为奖励范围，因为并非所有国家禁止生产、销售的产品均为假冒伪劣产品，采用并列关系表述更为准确；</w:t>
      </w:r>
      <w:r>
        <w:rPr>
          <w:rFonts w:hint="eastAsia" w:ascii="Times New Roman" w:hAnsi="Times New Roman" w:eastAsia="仿宋_GB2312" w:cs="仿宋_GB2312"/>
          <w:color w:val="auto"/>
          <w:sz w:val="32"/>
          <w:szCs w:val="32"/>
          <w:lang w:val="en-US" w:eastAsia="zh-CN"/>
        </w:rPr>
        <w:t>国家知识产权局已经出台了《地理标志专用标志使用管理办法（试行）》，统一名称为地理标志专用标志，所以去掉“产品”两个字。</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五）修订部分不属于奖励范围的情形。由于申诉概念源于《工商行政管理机关受理消费者申诉暂行办法》，该办法目前已废止，根据《市场监督管理投诉举报处理暂行办法》，对应表述为消费纠纷投诉；同时根据《市场监督管理投诉举报处理暂行办法》增加“有证据证明举报人因举报行为获得其他市场主体给予的任何形式的报酬、奖励”不属于奖励范围的内容。</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六）明确违法行为轻微，主动纠正，未造成社会危害后果的不属于奖励范围。部分被举报的违法行为轻微，甚至在举报之前已经主动纠正，此类违法行为并未造成社会危害后果，此类举报也未带来社会效益，若将此类举报列为奖励范围，不利于奖励办法与社会效益的相统一，而作出数额较大罚没的行政处罚和追究刑事责任恰好是能衡量违法行为社会危害性的重要指标。</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olor w:val="000000" w:themeColor="text1"/>
          <w:sz w:val="32"/>
          <w:szCs w:val="32"/>
          <w:lang w:val="en-US" w:eastAsia="zh-CN"/>
          <w14:textFill>
            <w14:solidFill>
              <w14:schemeClr w14:val="tx1"/>
            </w14:solidFill>
          </w14:textFill>
        </w:rPr>
      </w:pPr>
      <w:r>
        <w:rPr>
          <w:rFonts w:hint="eastAsia" w:ascii="Times New Roman" w:hAnsi="Times New Roman"/>
          <w:color w:val="000000" w:themeColor="text1"/>
          <w:sz w:val="32"/>
          <w:szCs w:val="32"/>
          <w:lang w:val="en-US" w:eastAsia="zh-CN"/>
          <w14:textFill>
            <w14:solidFill>
              <w14:schemeClr w14:val="tx1"/>
            </w14:solidFill>
          </w14:textFill>
        </w:rPr>
        <w:t>（七）增加重大贡献范围。</w:t>
      </w:r>
      <w:r>
        <w:rPr>
          <w:rFonts w:hint="eastAsia" w:ascii="Times New Roman" w:hAnsi="Times New Roman" w:cs="仿宋_GB2312"/>
          <w:color w:val="auto"/>
          <w:sz w:val="32"/>
          <w:szCs w:val="32"/>
          <w:lang w:val="en-US" w:eastAsia="zh-CN"/>
        </w:rPr>
        <w:t>假冒伪劣儿童用品，严重影响儿童身心健康。为加强对未成年人保护，侵权盗版行为具有严重恶意、情节十分严重，造成重大社会影响，损害我国版权保护国际形象。应鼓励举报相关违法行为。</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olor w:val="000000" w:themeColor="text1"/>
          <w:sz w:val="32"/>
          <w:szCs w:val="32"/>
          <w:lang w:val="en-US" w:eastAsia="zh-CN"/>
          <w14:textFill>
            <w14:solidFill>
              <w14:schemeClr w14:val="tx1"/>
            </w14:solidFill>
          </w14:textFill>
        </w:rPr>
        <w:t>（八）明确积极主动参与配合线索核查工作范围。</w:t>
      </w:r>
      <w:r>
        <w:rPr>
          <w:rFonts w:hint="eastAsia" w:ascii="Times New Roman" w:hAnsi="Times New Roman" w:cs="仿宋_GB2312"/>
          <w:color w:val="auto"/>
          <w:sz w:val="32"/>
          <w:szCs w:val="32"/>
          <w:lang w:val="en-US" w:eastAsia="zh-CN"/>
        </w:rPr>
        <w:t>实际操作中，对于是否认定举报人“积极主动参与配合线索核查工作”，受主观影响比较大，容易引起行政机关与举报人之间的分歧，应以行政机关的认定为主。</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仿宋_GB2312"/>
          <w:color w:val="auto"/>
          <w:sz w:val="32"/>
          <w:szCs w:val="32"/>
          <w:lang w:val="en-US" w:eastAsia="zh-CN"/>
        </w:rPr>
        <w:t>（九）明确广东省市场监督管理系统受理的重大违法行为的举报奖励参照本办法相关规定执行，便于各级市场监管部门统一奖励标准。</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五、修订过程</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2019年7月，《奖励办法》正式实施。</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2021年9月，省“双打”办开展组织修订《奖励办法》工作，向各地“双打”办、省“双打”领导小组各成员单位意见。</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2022年4月，省市场监督管理局征求各地级以上市市场监管局修订意见。</w:t>
      </w:r>
    </w:p>
    <w:p>
      <w:pPr>
        <w:pStyle w:val="2"/>
        <w:keepNext w:val="0"/>
        <w:keepLines w:val="0"/>
        <w:pageBreakBefore w:val="0"/>
        <w:widowControl w:val="0"/>
        <w:kinsoku/>
        <w:wordWrap/>
        <w:overflowPunct/>
        <w:topLinePunct w:val="0"/>
        <w:autoSpaceDE/>
        <w:autoSpaceDN/>
        <w:bidi w:val="0"/>
        <w:adjustRightInd/>
        <w:snapToGrid/>
        <w:spacing w:after="0" w:afterLines="0"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2022年4月省市场监督管理局征求社会公众修订意见。</w:t>
      </w:r>
    </w:p>
    <w:p>
      <w:pPr>
        <w:pStyle w:val="2"/>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2021年6月，省“双打”办再次征求各地双打办、各成员单位、各地市场监管局意见。</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E4E5E"/>
    <w:multiLevelType w:val="singleLevel"/>
    <w:tmpl w:val="5F1E4E5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3C4812"/>
    <w:rsid w:val="0FB71E5B"/>
    <w:rsid w:val="201F6A4F"/>
    <w:rsid w:val="20441E0A"/>
    <w:rsid w:val="26F356C5"/>
    <w:rsid w:val="33C12CAF"/>
    <w:rsid w:val="350573D9"/>
    <w:rsid w:val="391E2F10"/>
    <w:rsid w:val="39BC4CDC"/>
    <w:rsid w:val="3DFED45A"/>
    <w:rsid w:val="54CF0D8A"/>
    <w:rsid w:val="553C4812"/>
    <w:rsid w:val="59EF33DE"/>
    <w:rsid w:val="5AA32FC9"/>
    <w:rsid w:val="5EBA0187"/>
    <w:rsid w:val="60491E66"/>
    <w:rsid w:val="667660CD"/>
    <w:rsid w:val="70B70CD5"/>
    <w:rsid w:val="77E81C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2022-04-03T06:37:00Z</dcterms:created>
  <dc:creator>肖理</dc:creator>
  <cp:lastModifiedBy>一咦已翌</cp:lastModifiedBy>
  <cp:lastPrinted>2022-04-30T07:27:00Z</cp:lastPrinted>
  <dcterms:modified xsi:type="dcterms:W3CDTF">2022-12-14T07:50:07Z</dcterms:modified>
  <dc:title>关于《广东省举报侵犯知识产权和制售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