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576"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市市场监管局发布</w:t>
      </w:r>
    </w:p>
    <w:p>
      <w:pPr>
        <w:autoSpaceDE w:val="0"/>
        <w:autoSpaceDN w:val="0"/>
        <w:spacing w:line="700" w:lineRule="exact"/>
        <w:jc w:val="center"/>
        <w:rPr>
          <w:rFonts w:hint="default" w:ascii="Times New Roman" w:hAnsi="Times New Roman" w:eastAsia="方正小标宋_GBK" w:cs="Times New Roman"/>
          <w:kern w:val="0"/>
          <w:sz w:val="44"/>
          <w:szCs w:val="44"/>
        </w:rPr>
      </w:pPr>
    </w:p>
    <w:p>
      <w:pPr>
        <w:autoSpaceDE w:val="0"/>
        <w:autoSpaceDN w:val="0"/>
        <w:spacing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手提式干粉灭火器</w:t>
      </w:r>
      <w:r>
        <w:rPr>
          <w:rFonts w:hint="default" w:ascii="Times New Roman" w:hAnsi="Times New Roman" w:eastAsia="方正小标宋_GBK" w:cs="Times New Roman"/>
          <w:kern w:val="0"/>
          <w:sz w:val="44"/>
          <w:szCs w:val="44"/>
        </w:rPr>
        <w:t>产品质量监督抽查分析报告</w:t>
      </w:r>
    </w:p>
    <w:p>
      <w:pPr>
        <w:autoSpaceDE w:val="0"/>
        <w:autoSpaceDN w:val="0"/>
        <w:spacing w:line="700" w:lineRule="exact"/>
        <w:jc w:val="center"/>
        <w:rPr>
          <w:rFonts w:hint="default" w:ascii="Times New Roman" w:hAnsi="Times New Roman" w:eastAsia="方正小标宋_GBK" w:cs="Times New Roman"/>
          <w:kern w:val="0"/>
          <w:sz w:val="44"/>
          <w:szCs w:val="44"/>
        </w:rPr>
      </w:pPr>
    </w:p>
    <w:p>
      <w:pPr>
        <w:spacing w:line="576" w:lineRule="exact"/>
        <w:ind w:firstLine="560"/>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2022年度盐城市市场监督管理局委托盐城市产品质量监督检验所</w:t>
      </w:r>
      <w:r>
        <w:rPr>
          <w:rFonts w:hint="default" w:ascii="Times New Roman" w:hAnsi="Times New Roman" w:eastAsia="方正仿宋_GBK" w:cs="Times New Roman"/>
          <w:sz w:val="32"/>
          <w:szCs w:val="32"/>
        </w:rPr>
        <w:t>组织实施手提式干粉灭火器</w:t>
      </w:r>
      <w:r>
        <w:rPr>
          <w:rFonts w:hint="default" w:ascii="Times New Roman" w:hAnsi="Times New Roman" w:eastAsia="方正仿宋_GBK" w:cs="Times New Roman"/>
          <w:sz w:val="32"/>
          <w:szCs w:val="32"/>
        </w:rPr>
        <w:t>产品市级监督抽查。本次抽查</w:t>
      </w:r>
      <w:r>
        <w:rPr>
          <w:rFonts w:hint="default" w:ascii="Times New Roman" w:hAnsi="Times New Roman" w:eastAsia="方正仿宋_GBK" w:cs="Times New Roman"/>
          <w:sz w:val="32"/>
          <w:szCs w:val="32"/>
        </w:rPr>
        <w:t>计划</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抽到1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批次，经检验</w:t>
      </w:r>
      <w:r>
        <w:rPr>
          <w:rFonts w:hint="default" w:ascii="Times New Roman" w:hAnsi="Times New Roman" w:eastAsia="方正仿宋_GBK" w:cs="Times New Roman"/>
          <w:sz w:val="32"/>
          <w:szCs w:val="32"/>
        </w:rPr>
        <w:t>合格</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，不合格6批次，不合格项目为灭火剂中磷酸二氢铵含量、爆破压力、筒体壁厚</w:t>
      </w:r>
      <w:r>
        <w:rPr>
          <w:rFonts w:hint="default" w:ascii="Times New Roman" w:hAnsi="Times New Roman" w:eastAsia="方正仿宋_GBK" w:cs="Times New Roman"/>
          <w:sz w:val="32"/>
          <w:szCs w:val="32"/>
        </w:rPr>
        <w:t>。</w:t>
      </w:r>
    </w:p>
    <w:p>
      <w:pPr>
        <w:adjustRightInd w:val="0"/>
        <w:snapToGrid w:val="0"/>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一、产品和产业概况</w:t>
      </w:r>
    </w:p>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（一）产品概况</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手提式干粉灭火器是能在其内部压力作用下，将所装的灭火剂喷出以扑救火灾，并可手提移动的灭火器具，</w:t>
      </w:r>
      <w:r>
        <w:rPr>
          <w:rFonts w:hint="default" w:ascii="Times New Roman" w:hAnsi="Times New Roman" w:eastAsia="方正仿宋_GBK" w:cs="Times New Roman"/>
          <w:sz w:val="32"/>
          <w:szCs w:val="32"/>
        </w:rPr>
        <w:t>它是</w:t>
      </w:r>
      <w:r>
        <w:rPr>
          <w:rFonts w:hint="default" w:ascii="Times New Roman" w:hAnsi="Times New Roman" w:eastAsia="方正仿宋_GBK" w:cs="Times New Roman"/>
          <w:sz w:val="32"/>
          <w:szCs w:val="32"/>
        </w:rPr>
        <w:t>扑救初期火灾的重要消防器材，是一种量大面广的群众性消防工具，其使用方法简单且应用广泛，在商场、交通工具、民用住宅等各类场所均有配备。</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粉灭火器内充装的是磷酸铵盐干粉灭火剂。干粉灭火剂是用于灭火的干燥且易于流动的微细粉末，由具有灭火效能的无机盐和少量的添加剂经干燥、粉碎、混合而成微细固体粉末组成。它是一种在消防中得到广泛应用的灭火剂，且主要用于灭火器中。除扑救金属火灾的专用干粉化学灭火剂外，干粉灭火剂一般分为BC干粉灭火剂（碳酸氢钠等）和ABC干粉（磷酸铵盐等）两大类。干粉灭火器一是靠干粉中的无机盐的挥发性分解物，与燃烧过程中燃料所产生的自由基或活性基团发生化学抑制和负催化作用，使燃烧的链反应中断而灭火；二是靠干粉的粉末落在可燃物表面，发生化学反应，并在高温作用下形成一层玻璃状覆盖层，从而隔绝氧，进而窒息灭火。另外，还有部分稀释氧和冷却作用。</w:t>
      </w:r>
    </w:p>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（二）产业概况</w:t>
      </w:r>
    </w:p>
    <w:p>
      <w:pPr>
        <w:spacing w:line="576" w:lineRule="exact"/>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1.产业分布</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我国目前手提式干粉灭火器产品</w:t>
      </w:r>
      <w:r>
        <w:rPr>
          <w:rFonts w:hint="default" w:ascii="Times New Roman" w:hAnsi="Times New Roman" w:eastAsia="方正仿宋_GBK" w:cs="Times New Roman"/>
          <w:sz w:val="32"/>
          <w:szCs w:val="32"/>
        </w:rPr>
        <w:t>生产企业</w:t>
      </w:r>
      <w:r>
        <w:rPr>
          <w:rFonts w:hint="default" w:ascii="Times New Roman" w:hAnsi="Times New Roman" w:eastAsia="方正仿宋_GBK" w:cs="Times New Roman"/>
          <w:sz w:val="32"/>
          <w:szCs w:val="32"/>
        </w:rPr>
        <w:t>约有500家，分布在全国的28个省（自治区、直辖市）中，其中以山东省、浙江省的企业最多，江苏省约有20家企业，约占全国4%。</w:t>
      </w:r>
    </w:p>
    <w:p>
      <w:pPr>
        <w:spacing w:line="576" w:lineRule="exact"/>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2.销售渠道</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提式灭火器应用广泛，其不仅应用于工程上，普通群众也能在市场和电子商务平台购买得到。江苏省灭火器比较知名的品牌有：南京国泰消防科技股份有限公司的“国泰”牌，南京南消消防控股有限公司的“金枪鱼”牌等。</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盐城市灭火器市场主要销售地集中在消防用品市场，各消防中队周围等地。</w:t>
      </w:r>
      <w:r>
        <w:rPr>
          <w:rFonts w:hint="default" w:ascii="Times New Roman" w:hAnsi="Times New Roman" w:eastAsia="方正仿宋_GBK" w:cs="Times New Roman"/>
          <w:sz w:val="32"/>
          <w:szCs w:val="32"/>
        </w:rPr>
        <w:t>主要销售渠道为直供用户、代理销售、市场门市现货等。</w:t>
      </w:r>
    </w:p>
    <w:p>
      <w:pPr>
        <w:adjustRightInd w:val="0"/>
        <w:snapToGrid w:val="0"/>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二、检验检测概况</w:t>
      </w:r>
    </w:p>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（一）样品来源</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本次任务共</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批次，实际抽到样</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批次，分别在生产企业和实体店抽取。具体情况见表1。</w:t>
      </w:r>
    </w:p>
    <w:p>
      <w:pPr>
        <w:spacing w:line="576" w:lineRule="exact"/>
        <w:ind w:firstLine="2128" w:firstLineChars="66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表1 </w:t>
      </w:r>
      <w:r>
        <w:rPr>
          <w:rFonts w:hint="default" w:ascii="Times New Roman" w:hAnsi="Times New Roman" w:eastAsia="方正仿宋_GBK" w:cs="Times New Roman"/>
          <w:sz w:val="32"/>
          <w:szCs w:val="32"/>
        </w:rPr>
        <w:t>手提式干粉灭火器</w:t>
      </w:r>
      <w:r>
        <w:rPr>
          <w:rFonts w:hint="default" w:ascii="Times New Roman" w:hAnsi="Times New Roman" w:eastAsia="方正仿宋_GBK" w:cs="Times New Roman"/>
          <w:sz w:val="32"/>
          <w:szCs w:val="32"/>
        </w:rPr>
        <w:t>样品来源</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2167"/>
        <w:gridCol w:w="215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91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产品类别</w:t>
            </w:r>
          </w:p>
        </w:tc>
        <w:tc>
          <w:tcPr>
            <w:tcW w:w="2167"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样品来源</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样品来源方式</w:t>
            </w:r>
          </w:p>
        </w:tc>
        <w:tc>
          <w:tcPr>
            <w:tcW w:w="1808" w:type="dxa"/>
            <w:vAlign w:val="center"/>
          </w:tcPr>
          <w:p>
            <w:pPr>
              <w:spacing w:line="576" w:lineRule="exact"/>
              <w:ind w:firstLine="3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914" w:type="dxa"/>
            <w:vMerge w:val="restart"/>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手提式干粉灭火器</w:t>
            </w:r>
          </w:p>
        </w:tc>
        <w:tc>
          <w:tcPr>
            <w:tcW w:w="2167"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生产企业</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w:t>
            </w:r>
          </w:p>
        </w:tc>
        <w:tc>
          <w:tcPr>
            <w:tcW w:w="1808" w:type="dxa"/>
            <w:vAlign w:val="center"/>
          </w:tcPr>
          <w:p>
            <w:pPr>
              <w:spacing w:line="576" w:lineRule="exact"/>
              <w:ind w:firstLine="3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914" w:type="dxa"/>
            <w:vMerge w:val="continue"/>
          </w:tcPr>
          <w:p>
            <w:pPr>
              <w:spacing w:line="576" w:lineRule="exact"/>
              <w:ind w:firstLine="560"/>
              <w:jc w:val="center"/>
              <w:rPr>
                <w:rFonts w:hint="default" w:ascii="Times New Roman" w:hAnsi="Times New Roman" w:eastAsia="方正仿宋_GBK" w:cs="Times New Roman"/>
                <w:sz w:val="32"/>
                <w:szCs w:val="32"/>
              </w:rPr>
            </w:pPr>
          </w:p>
        </w:tc>
        <w:tc>
          <w:tcPr>
            <w:tcW w:w="2167"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实体店</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购样</w:t>
            </w:r>
          </w:p>
        </w:tc>
        <w:tc>
          <w:tcPr>
            <w:tcW w:w="1808" w:type="dxa"/>
            <w:vAlign w:val="center"/>
          </w:tcPr>
          <w:p>
            <w:pPr>
              <w:spacing w:line="576" w:lineRule="exact"/>
              <w:ind w:firstLine="3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31" w:type="dxa"/>
            <w:gridSpan w:val="3"/>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共计</w:t>
            </w:r>
          </w:p>
        </w:tc>
        <w:tc>
          <w:tcPr>
            <w:tcW w:w="1808" w:type="dxa"/>
            <w:vAlign w:val="center"/>
          </w:tcPr>
          <w:p>
            <w:pPr>
              <w:spacing w:line="576" w:lineRule="exact"/>
              <w:ind w:firstLine="3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bl>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（二）检验检测项目概况</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本次监督抽查检验检测依据如下：</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4351.1-2005《手提式灭火器 第一部分：性能和结构的要求》</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相关的法律法规、部门规章和规范</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经备案现行有效的企业标准及产品明示质量要求</w:t>
      </w:r>
    </w:p>
    <w:p>
      <w:pPr>
        <w:spacing w:line="576" w:lineRule="exact"/>
        <w:ind w:firstLine="5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本次监督抽查涉及的具体检验检测项目、方法和判定依据见表2</w:t>
      </w:r>
      <w:r>
        <w:rPr>
          <w:rFonts w:hint="default" w:ascii="Times New Roman" w:hAnsi="Times New Roman" w:eastAsia="方正仿宋_GBK" w:cs="Times New Roman"/>
          <w:sz w:val="32"/>
          <w:szCs w:val="32"/>
          <w:lang w:eastAsia="zh-CN"/>
        </w:rPr>
        <w:t>。</w:t>
      </w:r>
    </w:p>
    <w:p>
      <w:pPr>
        <w:spacing w:line="576" w:lineRule="exact"/>
        <w:ind w:firstLine="56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  手提式干粉灭火器产品检验检测项目及依据</w:t>
      </w:r>
    </w:p>
    <w:tbl>
      <w:tblPr>
        <w:tblStyle w:val="12"/>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725"/>
        <w:gridCol w:w="250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产品类别</w:t>
            </w: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检验检测项目</w:t>
            </w:r>
          </w:p>
        </w:tc>
        <w:tc>
          <w:tcPr>
            <w:tcW w:w="129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检验检测依据</w:t>
            </w: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restart"/>
            <w:tcBorders>
              <w:top w:val="single" w:color="auto" w:sz="4" w:space="0"/>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手提式干粉灭火器</w:t>
            </w: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有效喷射时间</w:t>
            </w:r>
          </w:p>
        </w:tc>
        <w:tc>
          <w:tcPr>
            <w:tcW w:w="1292" w:type="pct"/>
            <w:vMerge w:val="restart"/>
            <w:tcBorders>
              <w:top w:val="single" w:color="auto" w:sz="4" w:space="0"/>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喷射距离</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喷射滞后时间</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喷射剩余率</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灭火剂充装量检查</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结构检查</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水压试验</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筒体爆破压力</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筒体容积膨胀率（爆破）</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筒体爆破口情况</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筒体壁厚测量</w:t>
            </w:r>
          </w:p>
        </w:tc>
        <w:tc>
          <w:tcPr>
            <w:tcW w:w="1292" w:type="pct"/>
            <w:vMerge w:val="continue"/>
            <w:tcBorders>
              <w:left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pct"/>
            <w:vMerge w:val="continue"/>
            <w:tcBorders>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406"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灭火剂组分（磷酸二氢铵）含量</w:t>
            </w:r>
          </w:p>
        </w:tc>
        <w:tc>
          <w:tcPr>
            <w:tcW w:w="1292" w:type="pct"/>
            <w:vMerge w:val="continue"/>
            <w:tcBorders>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p>
        </w:tc>
        <w:tc>
          <w:tcPr>
            <w:tcW w:w="1312" w:type="pct"/>
            <w:tcBorders>
              <w:top w:val="single" w:color="auto" w:sz="4" w:space="0"/>
              <w:left w:val="single" w:color="auto" w:sz="4" w:space="0"/>
              <w:bottom w:val="single" w:color="auto" w:sz="4" w:space="0"/>
              <w:right w:val="single" w:color="auto" w:sz="4" w:space="0"/>
            </w:tcBorders>
            <w:noWrap/>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4066-2017</w:t>
            </w:r>
          </w:p>
        </w:tc>
      </w:tr>
    </w:tbl>
    <w:p>
      <w:pPr>
        <w:adjustRightInd w:val="0"/>
        <w:snapToGrid w:val="0"/>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三、监督抽查结果分析</w:t>
      </w:r>
    </w:p>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(一）综合分析</w:t>
      </w:r>
    </w:p>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1.按样品来源</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本次监督抽查样品</w:t>
      </w:r>
      <w:r>
        <w:rPr>
          <w:rFonts w:hint="default" w:ascii="Times New Roman" w:hAnsi="Times New Roman" w:eastAsia="方正仿宋_GBK" w:cs="Times New Roman"/>
          <w:sz w:val="32"/>
          <w:szCs w:val="32"/>
        </w:rPr>
        <w:t>全部从</w:t>
      </w:r>
      <w:r>
        <w:rPr>
          <w:rFonts w:hint="default" w:ascii="Times New Roman" w:hAnsi="Times New Roman" w:eastAsia="方正仿宋_GBK" w:cs="Times New Roman"/>
          <w:sz w:val="32"/>
          <w:szCs w:val="32"/>
        </w:rPr>
        <w:t>实体店抽取。具体情况见表3。</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 按样品来源分析抽查结果</w:t>
      </w:r>
    </w:p>
    <w:tbl>
      <w:tblPr>
        <w:tblStyle w:val="1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150"/>
        <w:gridCol w:w="202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4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样品来源</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0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14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4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生产企业</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4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实体店</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20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214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215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20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14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bl>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2.按价格区间</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本次监督抽查产品10批次，单价整体上在</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60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具</w:t>
      </w:r>
      <w:r>
        <w:rPr>
          <w:rFonts w:hint="default" w:ascii="Times New Roman" w:hAnsi="Times New Roman" w:eastAsia="方正仿宋_GBK" w:cs="Times New Roman"/>
          <w:sz w:val="32"/>
          <w:szCs w:val="32"/>
        </w:rPr>
        <w:t>之间，具体情况见表4。</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 按价格区间分析抽查结果</w:t>
      </w:r>
    </w:p>
    <w:tbl>
      <w:tblPr>
        <w:tblStyle w:val="13"/>
        <w:tblW w:w="88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020"/>
        <w:gridCol w:w="211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pStyle w:val="5"/>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价格区间，元/</w:t>
            </w:r>
            <w:r>
              <w:rPr>
                <w:rFonts w:hint="default" w:ascii="Times New Roman" w:hAnsi="Times New Roman" w:eastAsia="方正仿宋_GBK" w:cs="Times New Roman"/>
                <w:sz w:val="32"/>
                <w:szCs w:val="32"/>
              </w:rPr>
              <w:t>具</w:t>
            </w:r>
          </w:p>
        </w:tc>
        <w:tc>
          <w:tcPr>
            <w:tcW w:w="202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pStyle w:val="5"/>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50及</w:t>
            </w:r>
            <w:r>
              <w:rPr>
                <w:rFonts w:hint="default" w:ascii="Times New Roman" w:hAnsi="Times New Roman" w:eastAsia="方正仿宋_GBK" w:cs="Times New Roman"/>
                <w:sz w:val="32"/>
                <w:szCs w:val="32"/>
              </w:rPr>
              <w:t>以下</w:t>
            </w:r>
          </w:p>
        </w:tc>
        <w:tc>
          <w:tcPr>
            <w:tcW w:w="202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pStyle w:val="5"/>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rPr>
              <w:t>上</w:t>
            </w:r>
          </w:p>
        </w:tc>
        <w:tc>
          <w:tcPr>
            <w:tcW w:w="202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202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11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bl>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3.按抽样地区</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本次监督抽查产品10批次，抽样地区涉及</w:t>
      </w:r>
      <w:r>
        <w:rPr>
          <w:rFonts w:hint="default" w:ascii="Times New Roman" w:hAnsi="Times New Roman" w:eastAsia="方正仿宋_GBK" w:cs="Times New Roman"/>
          <w:sz w:val="32"/>
          <w:szCs w:val="32"/>
        </w:rPr>
        <w:t>响水县、滨海县、射阳县、阜宁县、建湖县、盐都区、亭湖区、大丰区、东台市九</w:t>
      </w:r>
      <w:r>
        <w:rPr>
          <w:rFonts w:hint="default" w:ascii="Times New Roman" w:hAnsi="Times New Roman" w:eastAsia="方正仿宋_GBK" w:cs="Times New Roman"/>
          <w:sz w:val="32"/>
          <w:szCs w:val="32"/>
        </w:rPr>
        <w:t>个地区，具体情况见表5</w:t>
      </w:r>
    </w:p>
    <w:p>
      <w:pPr>
        <w:pStyle w:val="5"/>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按抽样地区分析抽查结果</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221"/>
        <w:gridCol w:w="215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抽样地区</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响水县</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滨海县</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射阳县</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阜宁县</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建湖县</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盐都区</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亭湖区</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大丰区</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东台市</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34" w:type="dxa"/>
            <w:tcBorders>
              <w:bottom w:val="single" w:color="auto" w:sz="4" w:space="0"/>
            </w:tcBorders>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222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15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bl>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4.按产品</w:t>
      </w:r>
      <w:r>
        <w:rPr>
          <w:rFonts w:hint="default" w:ascii="Times New Roman" w:hAnsi="Times New Roman" w:eastAsia="方正仿宋_GBK" w:cs="Times New Roman"/>
          <w:b/>
          <w:sz w:val="32"/>
          <w:szCs w:val="32"/>
        </w:rPr>
        <w:t>产地</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批次，产品牌号涉及</w:t>
      </w:r>
      <w:r>
        <w:rPr>
          <w:rFonts w:hint="default" w:ascii="Times New Roman" w:hAnsi="Times New Roman" w:eastAsia="方正仿宋_GBK" w:cs="Times New Roman"/>
          <w:sz w:val="32"/>
          <w:szCs w:val="32"/>
        </w:rPr>
        <w:t>江苏、浙江多个地区</w:t>
      </w:r>
      <w:r>
        <w:rPr>
          <w:rFonts w:hint="default" w:ascii="Times New Roman" w:hAnsi="Times New Roman" w:eastAsia="方正仿宋_GBK" w:cs="Times New Roman"/>
          <w:sz w:val="32"/>
          <w:szCs w:val="32"/>
        </w:rPr>
        <w:t>，具体情况见表6。</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 按产品</w:t>
      </w:r>
      <w:r>
        <w:rPr>
          <w:rFonts w:hint="default" w:ascii="Times New Roman" w:hAnsi="Times New Roman" w:eastAsia="方正仿宋_GBK" w:cs="Times New Roman"/>
          <w:sz w:val="32"/>
          <w:szCs w:val="32"/>
        </w:rPr>
        <w:t>产地</w:t>
      </w:r>
      <w:r>
        <w:rPr>
          <w:rFonts w:hint="default" w:ascii="Times New Roman" w:hAnsi="Times New Roman" w:eastAsia="方正仿宋_GBK" w:cs="Times New Roman"/>
          <w:sz w:val="32"/>
          <w:szCs w:val="32"/>
        </w:rPr>
        <w:t>分析抽查结果</w:t>
      </w:r>
    </w:p>
    <w:tbl>
      <w:tblPr>
        <w:tblStyle w:val="1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260"/>
        <w:gridCol w:w="218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w:t>
            </w:r>
            <w:r>
              <w:rPr>
                <w:rFonts w:hint="default" w:ascii="Times New Roman" w:hAnsi="Times New Roman" w:eastAsia="方正仿宋_GBK" w:cs="Times New Roman"/>
                <w:sz w:val="32"/>
                <w:szCs w:val="32"/>
              </w:rPr>
              <w:t>产地</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浙江衢州</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扬州</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泰州</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淮安</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徐州</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南京</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eastAsia" w:eastAsia="方正仿宋_GBK" w:cs="Times New Roman"/>
                <w:sz w:val="32"/>
                <w:szCs w:val="32"/>
                <w:lang w:eastAsia="zh-CN"/>
              </w:rPr>
              <w:t>江苏</w:t>
            </w:r>
            <w:r>
              <w:rPr>
                <w:rFonts w:hint="default" w:ascii="Times New Roman" w:hAnsi="Times New Roman" w:eastAsia="方正仿宋_GBK" w:cs="Times New Roman"/>
                <w:sz w:val="32"/>
                <w:szCs w:val="32"/>
              </w:rPr>
              <w:t>盐城</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226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183"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bl>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5.按</w:t>
      </w:r>
      <w:r>
        <w:rPr>
          <w:rFonts w:hint="default" w:ascii="Times New Roman" w:hAnsi="Times New Roman" w:eastAsia="方正仿宋_GBK" w:cs="Times New Roman"/>
          <w:b/>
          <w:sz w:val="32"/>
          <w:szCs w:val="32"/>
        </w:rPr>
        <w:t>品牌</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涉及9个品牌</w:t>
      </w:r>
      <w:r>
        <w:rPr>
          <w:rFonts w:hint="default" w:ascii="Times New Roman" w:hAnsi="Times New Roman" w:eastAsia="方正仿宋_GBK" w:cs="Times New Roman"/>
          <w:sz w:val="32"/>
          <w:szCs w:val="32"/>
        </w:rPr>
        <w:t>，具体情况见表7。</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 按</w:t>
      </w:r>
      <w:r>
        <w:rPr>
          <w:rFonts w:hint="default" w:ascii="Times New Roman" w:hAnsi="Times New Roman" w:eastAsia="方正仿宋_GBK" w:cs="Times New Roman"/>
          <w:sz w:val="32"/>
          <w:szCs w:val="32"/>
        </w:rPr>
        <w:t>品牌</w:t>
      </w:r>
      <w:r>
        <w:rPr>
          <w:rFonts w:hint="default" w:ascii="Times New Roman" w:hAnsi="Times New Roman" w:eastAsia="方正仿宋_GBK" w:cs="Times New Roman"/>
          <w:sz w:val="32"/>
          <w:szCs w:val="32"/>
        </w:rPr>
        <w:t>分析抽查结果</w:t>
      </w:r>
    </w:p>
    <w:tbl>
      <w:tblPr>
        <w:tblStyle w:val="1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985"/>
        <w:gridCol w:w="1984"/>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品牌</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冷火</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江苏名洲（厂名）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高邮市东消（厂名）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浙江鑫盾（厂名）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tabs>
                <w:tab w:val="center" w:pos="1427"/>
                <w:tab w:val="right" w:pos="2734"/>
              </w:tabs>
              <w:spacing w:line="576"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徐州双驰（厂名）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徐州淮海（厂名）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泰兴四新（厂名）</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恒防</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日明</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5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98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98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05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bl>
    <w:p>
      <w:pPr>
        <w:adjustRightInd w:val="0"/>
        <w:snapToGrid w:val="0"/>
        <w:spacing w:line="576" w:lineRule="exact"/>
        <w:ind w:firstLine="684" w:firstLineChars="214"/>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（二）检验检测项目分析</w:t>
      </w:r>
    </w:p>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1.检验检测结果情况</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本次监督抽查共抽查</w:t>
      </w:r>
      <w:r>
        <w:rPr>
          <w:rFonts w:hint="default" w:ascii="Times New Roman" w:hAnsi="Times New Roman" w:eastAsia="方正仿宋_GBK" w:cs="Times New Roman"/>
          <w:sz w:val="32"/>
          <w:szCs w:val="32"/>
        </w:rPr>
        <w:t>手提式干粉灭火器产品10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合格4批次，不合格6批次，不合格项目为灭火剂中磷酸二氢铵含量、爆破压力、筒体壁厚</w:t>
      </w:r>
      <w:r>
        <w:rPr>
          <w:rFonts w:hint="default" w:ascii="Times New Roman" w:hAnsi="Times New Roman" w:eastAsia="方正仿宋_GBK" w:cs="Times New Roman"/>
          <w:sz w:val="32"/>
          <w:szCs w:val="32"/>
        </w:rPr>
        <w:t>。</w:t>
      </w:r>
    </w:p>
    <w:p>
      <w:pPr>
        <w:spacing w:line="576" w:lineRule="exact"/>
        <w:ind w:firstLine="49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主要对</w:t>
      </w:r>
      <w:r>
        <w:rPr>
          <w:rFonts w:hint="default" w:ascii="Times New Roman" w:hAnsi="Times New Roman" w:eastAsia="方正仿宋_GBK" w:cs="Times New Roman"/>
          <w:sz w:val="32"/>
          <w:szCs w:val="32"/>
        </w:rPr>
        <w:t>20℃喷射性能（有效喷射时间、喷射距离、喷射滞后时间、喷射剩余率）、灭火剂充装量检查、结构检查、水压试验、筒体爆破压力、筒体容积膨胀率（爆破）、筒体爆破情况、筒体壁厚测量、灭火剂主要组分（磷酸二氢铵）含量，其中六批次样品灭火剂主要组分（磷酸二氢铵）含量不合格，一批次样品筒体爆破压力、筒体壁厚测量不合格。</w:t>
      </w:r>
    </w:p>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2.不合格的项目分析</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爆破压力及筒体壁厚</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灭火器产品质量检验检测结果，“筒体壁厚小于标准规定值”是一条常见的灭火器质量问题上。多数情况是生产厂家为降低成本，寻求利用筒体钢板厚度标准的下偏差时失去控制而导致的；也有少数不良企业甚至直接以次充好，以薄代厚。表面上看，这对于灭火器的灭火功能不产生影响，但使用寿命将大幅度缩短，还存在破损、爆炸等安全隐患。也直接导致筒体爆破压力低于标准规定值的情况。</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（b）灭火剂主要组分（磷酸二氢铵）含量</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粉灭火器的灭火原理是利用干粉中无机盐的挥发性分解物发生化学反应抑制灭火，或是靠干粉粉末落在可燃物表面，隔绝氧气灭火。干粉灭火器的主要是磷酸二氢铵和碳酸氢钠。我们此次抽检的灭火剂主组分是磷酸二氢铵。在实际生产中，一些厂家为了利润会把灭火剂的用量降低，造成实际灭火效果降低，严重威胁到人民群众的生命财产安全。</w:t>
      </w:r>
    </w:p>
    <w:p>
      <w:pPr>
        <w:adjustRightInd w:val="0"/>
        <w:snapToGrid w:val="0"/>
        <w:spacing w:line="57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四、消费提示</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1.灭火器上应贴有红色的身份证信息标签，通过手机扫描身份证信息标签上的二维码可进入到消防产品合格评定中心的官网，查看该灭火器的相关信息；</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2.通过消防产品合格评定中心官网，查询灭火器生产企业是否通过CCC认证，未通过CCC认证，则属于无证生产，此外</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注意CCC认证证书的状态是否有效</w:t>
      </w:r>
      <w:r>
        <w:rPr>
          <w:rFonts w:hint="default" w:ascii="Times New Roman" w:hAnsi="Times New Roman" w:eastAsia="方正仿宋_GBK" w:cs="Times New Roman"/>
          <w:sz w:val="32"/>
          <w:szCs w:val="32"/>
          <w:lang w:eastAsia="zh-CN"/>
        </w:rPr>
        <w:t>；</w:t>
      </w:r>
    </w:p>
    <w:p>
      <w:pPr>
        <w:widowControl/>
        <w:shd w:val="clear" w:color="auto" w:fill="FFFFFF"/>
        <w:spacing w:line="576" w:lineRule="exact"/>
        <w:ind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购买灭火器时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w:t>
      </w:r>
      <w:r>
        <w:rPr>
          <w:rFonts w:hint="default" w:ascii="Times New Roman" w:hAnsi="Times New Roman" w:eastAsia="方正仿宋_GBK" w:cs="Times New Roman"/>
          <w:sz w:val="32"/>
          <w:szCs w:val="32"/>
        </w:rPr>
        <w:t>选择</w:t>
      </w:r>
      <w:r>
        <w:rPr>
          <w:rFonts w:hint="default" w:ascii="Times New Roman" w:hAnsi="Times New Roman" w:eastAsia="方正仿宋_GBK" w:cs="Times New Roman"/>
          <w:sz w:val="32"/>
          <w:szCs w:val="32"/>
        </w:rPr>
        <w:t>当地市场监督管理局</w:t>
      </w:r>
      <w:r>
        <w:rPr>
          <w:rFonts w:hint="default" w:ascii="Times New Roman" w:hAnsi="Times New Roman" w:eastAsia="方正仿宋_GBK" w:cs="Times New Roman"/>
          <w:sz w:val="32"/>
          <w:szCs w:val="32"/>
        </w:rPr>
        <w:t>通报公布的合格产品。</w:t>
      </w:r>
    </w:p>
    <w:sectPr>
      <w:headerReference r:id="rId3" w:type="default"/>
      <w:footerReference r:id="rId4" w:type="default"/>
      <w:footerReference r:id="rId5" w:type="even"/>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0NWVlNTljOTZmNzBhYWJkNzdiMTdhNDdiNjgyMDYifQ=="/>
  </w:docVars>
  <w:rsids>
    <w:rsidRoot w:val="00172A27"/>
    <w:rsid w:val="000137B1"/>
    <w:rsid w:val="000160D5"/>
    <w:rsid w:val="0001674D"/>
    <w:rsid w:val="000167C2"/>
    <w:rsid w:val="000260E4"/>
    <w:rsid w:val="0003046B"/>
    <w:rsid w:val="00034D57"/>
    <w:rsid w:val="00053BCA"/>
    <w:rsid w:val="0006354F"/>
    <w:rsid w:val="00063E06"/>
    <w:rsid w:val="0007337C"/>
    <w:rsid w:val="00075B54"/>
    <w:rsid w:val="00076978"/>
    <w:rsid w:val="00080176"/>
    <w:rsid w:val="000818A5"/>
    <w:rsid w:val="000836CA"/>
    <w:rsid w:val="000846B2"/>
    <w:rsid w:val="000904CD"/>
    <w:rsid w:val="00090E0D"/>
    <w:rsid w:val="00091168"/>
    <w:rsid w:val="00091750"/>
    <w:rsid w:val="000A197F"/>
    <w:rsid w:val="000B3A3D"/>
    <w:rsid w:val="000E14D3"/>
    <w:rsid w:val="000E25A2"/>
    <w:rsid w:val="000E5730"/>
    <w:rsid w:val="000E749B"/>
    <w:rsid w:val="00106892"/>
    <w:rsid w:val="00124469"/>
    <w:rsid w:val="001337D5"/>
    <w:rsid w:val="00134922"/>
    <w:rsid w:val="00150548"/>
    <w:rsid w:val="001551FF"/>
    <w:rsid w:val="00156833"/>
    <w:rsid w:val="00165EA7"/>
    <w:rsid w:val="0016668C"/>
    <w:rsid w:val="00172A27"/>
    <w:rsid w:val="001855EC"/>
    <w:rsid w:val="00190DA0"/>
    <w:rsid w:val="0019257D"/>
    <w:rsid w:val="0019626B"/>
    <w:rsid w:val="001A2D4F"/>
    <w:rsid w:val="001A6C07"/>
    <w:rsid w:val="001B0896"/>
    <w:rsid w:val="001C0966"/>
    <w:rsid w:val="001C13B6"/>
    <w:rsid w:val="001C17A7"/>
    <w:rsid w:val="001C24F9"/>
    <w:rsid w:val="001C6955"/>
    <w:rsid w:val="001C7A71"/>
    <w:rsid w:val="001D6754"/>
    <w:rsid w:val="001E55EE"/>
    <w:rsid w:val="001E702B"/>
    <w:rsid w:val="001E7EE9"/>
    <w:rsid w:val="00201458"/>
    <w:rsid w:val="00206CE0"/>
    <w:rsid w:val="00207E51"/>
    <w:rsid w:val="00226968"/>
    <w:rsid w:val="002344AD"/>
    <w:rsid w:val="00235797"/>
    <w:rsid w:val="00236E33"/>
    <w:rsid w:val="00242921"/>
    <w:rsid w:val="00247FC4"/>
    <w:rsid w:val="0025493B"/>
    <w:rsid w:val="00265BFB"/>
    <w:rsid w:val="00275246"/>
    <w:rsid w:val="0027788A"/>
    <w:rsid w:val="0028245C"/>
    <w:rsid w:val="00290011"/>
    <w:rsid w:val="00296857"/>
    <w:rsid w:val="002A0C83"/>
    <w:rsid w:val="002A0F45"/>
    <w:rsid w:val="002B4807"/>
    <w:rsid w:val="002D094E"/>
    <w:rsid w:val="002E39AF"/>
    <w:rsid w:val="002E60E7"/>
    <w:rsid w:val="002F3046"/>
    <w:rsid w:val="002F717A"/>
    <w:rsid w:val="00314742"/>
    <w:rsid w:val="003160C4"/>
    <w:rsid w:val="00322674"/>
    <w:rsid w:val="00322D80"/>
    <w:rsid w:val="00332483"/>
    <w:rsid w:val="00334896"/>
    <w:rsid w:val="0033690F"/>
    <w:rsid w:val="00347443"/>
    <w:rsid w:val="00363E4D"/>
    <w:rsid w:val="00370238"/>
    <w:rsid w:val="00375CD9"/>
    <w:rsid w:val="00376318"/>
    <w:rsid w:val="0038080F"/>
    <w:rsid w:val="00384B4F"/>
    <w:rsid w:val="00393D14"/>
    <w:rsid w:val="00394740"/>
    <w:rsid w:val="00395E45"/>
    <w:rsid w:val="003A1FEC"/>
    <w:rsid w:val="003A4796"/>
    <w:rsid w:val="003B2B65"/>
    <w:rsid w:val="003E219E"/>
    <w:rsid w:val="003E6938"/>
    <w:rsid w:val="003E6ECE"/>
    <w:rsid w:val="003F5BCC"/>
    <w:rsid w:val="004022AC"/>
    <w:rsid w:val="0040311D"/>
    <w:rsid w:val="004051D5"/>
    <w:rsid w:val="00417829"/>
    <w:rsid w:val="00423C49"/>
    <w:rsid w:val="00433800"/>
    <w:rsid w:val="0045686E"/>
    <w:rsid w:val="00465C84"/>
    <w:rsid w:val="00491C84"/>
    <w:rsid w:val="004A11E2"/>
    <w:rsid w:val="004B01A9"/>
    <w:rsid w:val="004C3E7B"/>
    <w:rsid w:val="004C7D29"/>
    <w:rsid w:val="004E52EB"/>
    <w:rsid w:val="004F5CCA"/>
    <w:rsid w:val="0050372D"/>
    <w:rsid w:val="005039FA"/>
    <w:rsid w:val="0052155B"/>
    <w:rsid w:val="0052637A"/>
    <w:rsid w:val="00544A4A"/>
    <w:rsid w:val="005560CC"/>
    <w:rsid w:val="00576601"/>
    <w:rsid w:val="005F5144"/>
    <w:rsid w:val="00610C2C"/>
    <w:rsid w:val="00625879"/>
    <w:rsid w:val="00627477"/>
    <w:rsid w:val="00641C64"/>
    <w:rsid w:val="00644E10"/>
    <w:rsid w:val="00654570"/>
    <w:rsid w:val="00654593"/>
    <w:rsid w:val="006562E0"/>
    <w:rsid w:val="00660885"/>
    <w:rsid w:val="006677D2"/>
    <w:rsid w:val="00681546"/>
    <w:rsid w:val="00681EA1"/>
    <w:rsid w:val="0069560B"/>
    <w:rsid w:val="006A1736"/>
    <w:rsid w:val="006A29F5"/>
    <w:rsid w:val="006A4CB0"/>
    <w:rsid w:val="006B2380"/>
    <w:rsid w:val="006B40DD"/>
    <w:rsid w:val="006B5840"/>
    <w:rsid w:val="006B62F9"/>
    <w:rsid w:val="006D4010"/>
    <w:rsid w:val="006D612E"/>
    <w:rsid w:val="006E1396"/>
    <w:rsid w:val="006E1C70"/>
    <w:rsid w:val="006E2A41"/>
    <w:rsid w:val="006E311C"/>
    <w:rsid w:val="006E412B"/>
    <w:rsid w:val="00701D46"/>
    <w:rsid w:val="00703646"/>
    <w:rsid w:val="0070596A"/>
    <w:rsid w:val="00722BCD"/>
    <w:rsid w:val="00724B6B"/>
    <w:rsid w:val="00724FCF"/>
    <w:rsid w:val="00725440"/>
    <w:rsid w:val="00731CF1"/>
    <w:rsid w:val="00741774"/>
    <w:rsid w:val="00753750"/>
    <w:rsid w:val="00774317"/>
    <w:rsid w:val="00780B99"/>
    <w:rsid w:val="00781009"/>
    <w:rsid w:val="007815BE"/>
    <w:rsid w:val="00784630"/>
    <w:rsid w:val="007848A3"/>
    <w:rsid w:val="0078628E"/>
    <w:rsid w:val="007942CA"/>
    <w:rsid w:val="007B1E1D"/>
    <w:rsid w:val="007B2502"/>
    <w:rsid w:val="007E18F9"/>
    <w:rsid w:val="007E2C84"/>
    <w:rsid w:val="007F03ED"/>
    <w:rsid w:val="007F5321"/>
    <w:rsid w:val="007F7403"/>
    <w:rsid w:val="007F76B6"/>
    <w:rsid w:val="00803251"/>
    <w:rsid w:val="00812EFF"/>
    <w:rsid w:val="00814E91"/>
    <w:rsid w:val="00817E08"/>
    <w:rsid w:val="00827A50"/>
    <w:rsid w:val="00862216"/>
    <w:rsid w:val="00882387"/>
    <w:rsid w:val="00887388"/>
    <w:rsid w:val="00887CD4"/>
    <w:rsid w:val="00891A9F"/>
    <w:rsid w:val="008A4293"/>
    <w:rsid w:val="008A7FE6"/>
    <w:rsid w:val="008B0967"/>
    <w:rsid w:val="008B3F6F"/>
    <w:rsid w:val="008B6627"/>
    <w:rsid w:val="008D0B89"/>
    <w:rsid w:val="008D3A62"/>
    <w:rsid w:val="008D7190"/>
    <w:rsid w:val="008F1EE8"/>
    <w:rsid w:val="008F2DF3"/>
    <w:rsid w:val="009032F4"/>
    <w:rsid w:val="00911383"/>
    <w:rsid w:val="00915F52"/>
    <w:rsid w:val="00927B37"/>
    <w:rsid w:val="00931034"/>
    <w:rsid w:val="009371E2"/>
    <w:rsid w:val="009457F0"/>
    <w:rsid w:val="009528C9"/>
    <w:rsid w:val="00953660"/>
    <w:rsid w:val="00954265"/>
    <w:rsid w:val="00956909"/>
    <w:rsid w:val="009607F2"/>
    <w:rsid w:val="00963DC8"/>
    <w:rsid w:val="00971DF6"/>
    <w:rsid w:val="009A327B"/>
    <w:rsid w:val="009C25EA"/>
    <w:rsid w:val="009C5CC1"/>
    <w:rsid w:val="009C6994"/>
    <w:rsid w:val="009E2DC7"/>
    <w:rsid w:val="009F6E8A"/>
    <w:rsid w:val="00A102A9"/>
    <w:rsid w:val="00A478B0"/>
    <w:rsid w:val="00A6421D"/>
    <w:rsid w:val="00A66E0D"/>
    <w:rsid w:val="00A73538"/>
    <w:rsid w:val="00A75C21"/>
    <w:rsid w:val="00A770CF"/>
    <w:rsid w:val="00A93649"/>
    <w:rsid w:val="00AA3CDC"/>
    <w:rsid w:val="00AB5FDF"/>
    <w:rsid w:val="00AB71DC"/>
    <w:rsid w:val="00AC0ABC"/>
    <w:rsid w:val="00AD2A71"/>
    <w:rsid w:val="00AD44A6"/>
    <w:rsid w:val="00AF3603"/>
    <w:rsid w:val="00B02D10"/>
    <w:rsid w:val="00B03344"/>
    <w:rsid w:val="00B140C8"/>
    <w:rsid w:val="00B2498A"/>
    <w:rsid w:val="00B25C77"/>
    <w:rsid w:val="00B26000"/>
    <w:rsid w:val="00B343E9"/>
    <w:rsid w:val="00B40D0F"/>
    <w:rsid w:val="00B42534"/>
    <w:rsid w:val="00B428AC"/>
    <w:rsid w:val="00B46491"/>
    <w:rsid w:val="00B54F49"/>
    <w:rsid w:val="00B55145"/>
    <w:rsid w:val="00B60A18"/>
    <w:rsid w:val="00BA0B85"/>
    <w:rsid w:val="00BA1626"/>
    <w:rsid w:val="00BA32CF"/>
    <w:rsid w:val="00BB2D28"/>
    <w:rsid w:val="00BC05C3"/>
    <w:rsid w:val="00BC2793"/>
    <w:rsid w:val="00BD1C1E"/>
    <w:rsid w:val="00BE10AE"/>
    <w:rsid w:val="00BE1F5A"/>
    <w:rsid w:val="00BE6748"/>
    <w:rsid w:val="00BF39A9"/>
    <w:rsid w:val="00C03B47"/>
    <w:rsid w:val="00C27FB4"/>
    <w:rsid w:val="00C32C4C"/>
    <w:rsid w:val="00C33D90"/>
    <w:rsid w:val="00C3631C"/>
    <w:rsid w:val="00C54D8D"/>
    <w:rsid w:val="00C60400"/>
    <w:rsid w:val="00C634FC"/>
    <w:rsid w:val="00C64290"/>
    <w:rsid w:val="00C8768D"/>
    <w:rsid w:val="00C87757"/>
    <w:rsid w:val="00C96252"/>
    <w:rsid w:val="00CB262F"/>
    <w:rsid w:val="00CC553F"/>
    <w:rsid w:val="00CC7EAB"/>
    <w:rsid w:val="00CD7F10"/>
    <w:rsid w:val="00CE6A21"/>
    <w:rsid w:val="00CF7C75"/>
    <w:rsid w:val="00D200B5"/>
    <w:rsid w:val="00D22A6A"/>
    <w:rsid w:val="00D24A98"/>
    <w:rsid w:val="00D34528"/>
    <w:rsid w:val="00D4477D"/>
    <w:rsid w:val="00D60427"/>
    <w:rsid w:val="00D65FCA"/>
    <w:rsid w:val="00D70A31"/>
    <w:rsid w:val="00D7217C"/>
    <w:rsid w:val="00D76789"/>
    <w:rsid w:val="00DC4065"/>
    <w:rsid w:val="00DC5C7A"/>
    <w:rsid w:val="00DF1972"/>
    <w:rsid w:val="00DF5AD1"/>
    <w:rsid w:val="00E22751"/>
    <w:rsid w:val="00E51BCB"/>
    <w:rsid w:val="00E655E2"/>
    <w:rsid w:val="00E710AA"/>
    <w:rsid w:val="00E819B5"/>
    <w:rsid w:val="00E854FD"/>
    <w:rsid w:val="00EA144E"/>
    <w:rsid w:val="00EA6318"/>
    <w:rsid w:val="00EC061F"/>
    <w:rsid w:val="00EC463A"/>
    <w:rsid w:val="00EE6163"/>
    <w:rsid w:val="00EF0038"/>
    <w:rsid w:val="00EF15AB"/>
    <w:rsid w:val="00EF7153"/>
    <w:rsid w:val="00F04B3A"/>
    <w:rsid w:val="00F2767E"/>
    <w:rsid w:val="00F34B61"/>
    <w:rsid w:val="00F36601"/>
    <w:rsid w:val="00F51B50"/>
    <w:rsid w:val="00F740E7"/>
    <w:rsid w:val="00F82621"/>
    <w:rsid w:val="00F94B9D"/>
    <w:rsid w:val="00FA2868"/>
    <w:rsid w:val="00FC6080"/>
    <w:rsid w:val="00FD0D17"/>
    <w:rsid w:val="00FD1061"/>
    <w:rsid w:val="00FE25C0"/>
    <w:rsid w:val="00FE315A"/>
    <w:rsid w:val="00FF31AF"/>
    <w:rsid w:val="00FF48BB"/>
    <w:rsid w:val="076F4175"/>
    <w:rsid w:val="08067C59"/>
    <w:rsid w:val="0A4D7496"/>
    <w:rsid w:val="0FBB1D80"/>
    <w:rsid w:val="191B48D0"/>
    <w:rsid w:val="19E84432"/>
    <w:rsid w:val="1A3E00AC"/>
    <w:rsid w:val="1C293EB8"/>
    <w:rsid w:val="1E7315F5"/>
    <w:rsid w:val="23B10830"/>
    <w:rsid w:val="254229D5"/>
    <w:rsid w:val="2ADC0C4D"/>
    <w:rsid w:val="2C612DF6"/>
    <w:rsid w:val="306C71BB"/>
    <w:rsid w:val="3160569E"/>
    <w:rsid w:val="37AD7676"/>
    <w:rsid w:val="38693116"/>
    <w:rsid w:val="3DD531F8"/>
    <w:rsid w:val="3E4C7D2A"/>
    <w:rsid w:val="3EC07BF3"/>
    <w:rsid w:val="3FA0183A"/>
    <w:rsid w:val="414743E4"/>
    <w:rsid w:val="432D6935"/>
    <w:rsid w:val="452C5616"/>
    <w:rsid w:val="476B6914"/>
    <w:rsid w:val="4C014354"/>
    <w:rsid w:val="5514574C"/>
    <w:rsid w:val="556C7386"/>
    <w:rsid w:val="58E76CB5"/>
    <w:rsid w:val="5DCC4F1A"/>
    <w:rsid w:val="606D04AD"/>
    <w:rsid w:val="62D824A5"/>
    <w:rsid w:val="65996F06"/>
    <w:rsid w:val="65AE7F6D"/>
    <w:rsid w:val="66553183"/>
    <w:rsid w:val="6DC9627D"/>
    <w:rsid w:val="6F4A687C"/>
    <w:rsid w:val="70FD30C3"/>
    <w:rsid w:val="710C6935"/>
    <w:rsid w:val="75723043"/>
    <w:rsid w:val="759274D3"/>
    <w:rsid w:val="769E0140"/>
    <w:rsid w:val="77495D38"/>
    <w:rsid w:val="79476925"/>
    <w:rsid w:val="7D1D5618"/>
    <w:rsid w:val="7D803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 w:val="28"/>
      <w:szCs w:val="28"/>
    </w:rPr>
  </w:style>
  <w:style w:type="paragraph" w:styleId="3">
    <w:name w:val="Body Text"/>
    <w:basedOn w:val="1"/>
    <w:link w:val="29"/>
    <w:qFormat/>
    <w:uiPriority w:val="1"/>
    <w:pPr>
      <w:spacing w:after="120"/>
    </w:pPr>
  </w:style>
  <w:style w:type="paragraph" w:styleId="4">
    <w:name w:val="Body Text Indent"/>
    <w:basedOn w:val="1"/>
    <w:link w:val="27"/>
    <w:qFormat/>
    <w:uiPriority w:val="0"/>
    <w:pPr>
      <w:widowControl/>
      <w:spacing w:before="100" w:beforeAutospacing="1" w:after="100" w:afterAutospacing="1"/>
      <w:jc w:val="left"/>
    </w:pPr>
    <w:rPr>
      <w:rFonts w:ascii="宋体" w:hAnsi="宋体"/>
      <w:kern w:val="0"/>
      <w:sz w:val="24"/>
    </w:rPr>
  </w:style>
  <w:style w:type="paragraph" w:styleId="5">
    <w:name w:val="Plain Text"/>
    <w:basedOn w:val="1"/>
    <w:link w:val="34"/>
    <w:qFormat/>
    <w:uiPriority w:val="99"/>
    <w:rPr>
      <w:rFonts w:ascii="宋体" w:hAnsi="Courier New"/>
      <w:szCs w:val="21"/>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3"/>
    <w:link w:val="33"/>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white_bg_big1"/>
    <w:qFormat/>
    <w:uiPriority w:val="0"/>
    <w:rPr>
      <w:color w:val="000000"/>
      <w:sz w:val="21"/>
      <w:szCs w:val="21"/>
    </w:rPr>
  </w:style>
  <w:style w:type="paragraph" w:customStyle="1" w:styleId="18">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纯文本1"/>
    <w:basedOn w:val="1"/>
    <w:qFormat/>
    <w:uiPriority w:val="0"/>
    <w:pPr>
      <w:adjustRightInd w:val="0"/>
      <w:textAlignment w:val="baseline"/>
    </w:pPr>
    <w:rPr>
      <w:rFonts w:ascii="宋体" w:hAnsi="Courier New"/>
      <w:szCs w:val="20"/>
    </w:rPr>
  </w:style>
  <w:style w:type="paragraph" w:customStyle="1" w:styleId="20">
    <w:name w:val="Char1 Char Char Char"/>
    <w:basedOn w:val="1"/>
    <w:qFormat/>
    <w:uiPriority w:val="0"/>
    <w:rPr>
      <w:rFonts w:ascii="Tahoma" w:hAnsi="Tahoma"/>
      <w:sz w:val="24"/>
      <w:szCs w:val="20"/>
    </w:rPr>
  </w:style>
  <w:style w:type="paragraph" w:customStyle="1" w:styleId="21">
    <w:name w:val="图表标题"/>
    <w:basedOn w:val="1"/>
    <w:link w:val="22"/>
    <w:qFormat/>
    <w:uiPriority w:val="0"/>
    <w:pPr>
      <w:spacing w:line="520" w:lineRule="exact"/>
      <w:jc w:val="center"/>
    </w:pPr>
    <w:rPr>
      <w:rFonts w:eastAsia="仿宋"/>
      <w:sz w:val="28"/>
    </w:rPr>
  </w:style>
  <w:style w:type="character" w:customStyle="1" w:styleId="22">
    <w:name w:val="图表标题 Char"/>
    <w:link w:val="21"/>
    <w:qFormat/>
    <w:uiPriority w:val="0"/>
    <w:rPr>
      <w:rFonts w:eastAsia="仿宋"/>
      <w:kern w:val="2"/>
      <w:sz w:val="28"/>
      <w:szCs w:val="24"/>
    </w:rPr>
  </w:style>
  <w:style w:type="character" w:customStyle="1" w:styleId="23">
    <w:name w:val="font21"/>
    <w:qFormat/>
    <w:uiPriority w:val="0"/>
    <w:rPr>
      <w:rFonts w:hint="eastAsia" w:ascii="仿宋" w:hAnsi="仿宋" w:eastAsia="仿宋" w:cs="仿宋"/>
      <w:color w:val="000000"/>
      <w:sz w:val="24"/>
      <w:szCs w:val="24"/>
      <w:u w:val="none"/>
    </w:rPr>
  </w:style>
  <w:style w:type="character" w:customStyle="1" w:styleId="24">
    <w:name w:val="font31"/>
    <w:qFormat/>
    <w:uiPriority w:val="0"/>
    <w:rPr>
      <w:rFonts w:hint="eastAsia" w:ascii="仿宋" w:hAnsi="仿宋" w:eastAsia="仿宋" w:cs="仿宋"/>
      <w:color w:val="FF0000"/>
      <w:sz w:val="24"/>
      <w:szCs w:val="24"/>
      <w:u w:val="none"/>
    </w:rPr>
  </w:style>
  <w:style w:type="character" w:customStyle="1" w:styleId="25">
    <w:name w:val="段 Char"/>
    <w:link w:val="26"/>
    <w:qFormat/>
    <w:uiPriority w:val="0"/>
    <w:rPr>
      <w:rFonts w:ascii="宋体" w:hAnsi="Calibri" w:cs="Calibri"/>
      <w:sz w:val="21"/>
      <w:lang w:val="en-US" w:eastAsia="zh-CN" w:bidi="ar-SA"/>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character" w:customStyle="1" w:styleId="27">
    <w:name w:val="正文文本缩进 Char"/>
    <w:link w:val="4"/>
    <w:qFormat/>
    <w:uiPriority w:val="0"/>
    <w:rPr>
      <w:rFonts w:ascii="宋体" w:hAnsi="宋体" w:cs="宋体"/>
      <w:sz w:val="24"/>
      <w:szCs w:val="24"/>
    </w:rPr>
  </w:style>
  <w:style w:type="paragraph" w:customStyle="1" w:styleId="28">
    <w:name w:val="Table Paragraph"/>
    <w:basedOn w:val="1"/>
    <w:qFormat/>
    <w:uiPriority w:val="1"/>
    <w:rPr>
      <w:rFonts w:ascii="宋体" w:hAnsi="宋体" w:cs="宋体"/>
      <w:lang w:val="zh-CN" w:bidi="zh-CN"/>
    </w:rPr>
  </w:style>
  <w:style w:type="character" w:customStyle="1" w:styleId="29">
    <w:name w:val="正文文本 Char"/>
    <w:basedOn w:val="14"/>
    <w:link w:val="3"/>
    <w:qFormat/>
    <w:uiPriority w:val="1"/>
    <w:rPr>
      <w:kern w:val="2"/>
      <w:sz w:val="21"/>
      <w:szCs w:val="24"/>
    </w:rPr>
  </w:style>
  <w:style w:type="paragraph" w:customStyle="1" w:styleId="30">
    <w:name w:val="List Paragraph1"/>
    <w:basedOn w:val="1"/>
    <w:qFormat/>
    <w:uiPriority w:val="0"/>
    <w:pPr>
      <w:ind w:firstLine="420" w:firstLineChars="200"/>
    </w:pPr>
  </w:style>
  <w:style w:type="paragraph" w:styleId="31">
    <w:name w:val="List Paragraph"/>
    <w:basedOn w:val="1"/>
    <w:qFormat/>
    <w:uiPriority w:val="34"/>
    <w:pPr>
      <w:ind w:firstLine="420" w:firstLineChars="200"/>
    </w:pPr>
  </w:style>
  <w:style w:type="paragraph" w:customStyle="1" w:styleId="32">
    <w:name w:val="正文文本首行缩进"/>
    <w:basedOn w:val="1"/>
    <w:qFormat/>
    <w:uiPriority w:val="99"/>
    <w:pPr>
      <w:spacing w:line="360" w:lineRule="auto"/>
      <w:ind w:firstLine="200" w:firstLineChars="200"/>
    </w:pPr>
    <w:rPr>
      <w:rFonts w:ascii="仿宋_GB2312" w:eastAsia="仿宋_GB2312"/>
      <w:sz w:val="30"/>
      <w:szCs w:val="30"/>
    </w:rPr>
  </w:style>
  <w:style w:type="character" w:customStyle="1" w:styleId="33">
    <w:name w:val="正文首行缩进 Char"/>
    <w:basedOn w:val="29"/>
    <w:link w:val="11"/>
    <w:qFormat/>
    <w:uiPriority w:val="99"/>
  </w:style>
  <w:style w:type="character" w:customStyle="1" w:styleId="34">
    <w:name w:val="纯文本 Char"/>
    <w:basedOn w:val="14"/>
    <w:link w:val="5"/>
    <w:qFormat/>
    <w:uiPriority w:val="99"/>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D65097-9B0A-42E1-820E-608B49D3217B}">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2603</Words>
  <Characters>2804</Characters>
  <Lines>27</Lines>
  <Paragraphs>7</Paragraphs>
  <TotalTime>10</TotalTime>
  <ScaleCrop>false</ScaleCrop>
  <LinksUpToDate>false</LinksUpToDate>
  <CharactersWithSpaces>2834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2022-08-25T06:35:00Z</dcterms:created>
  <dc:creator>User</dc:creator>
  <cp:lastModifiedBy>Dopamine</cp:lastModifiedBy>
  <cp:lastPrinted>2022-08-18T03:14:00Z</cp:lastPrinted>
  <dcterms:modified xsi:type="dcterms:W3CDTF">2022-11-22T07:10:21Z</dcterms:modified>
  <dc:title>盐质检字[2004]36号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21F92687D3514421971CCB595FDE4025</vt:lpwstr>
  </property>
</Properties>
</file>