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3BC" w:rsidRDefault="00CD13BC" w:rsidP="00CD13BC">
      <w:pPr>
        <w:adjustRightInd w:val="0"/>
        <w:snapToGrid w:val="0"/>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附件3</w:t>
      </w:r>
    </w:p>
    <w:p w:rsidR="00CD13BC" w:rsidRDefault="00CD13BC" w:rsidP="00CD13BC">
      <w:pPr>
        <w:adjustRightInd w:val="0"/>
        <w:snapToGrid w:val="0"/>
        <w:spacing w:line="500" w:lineRule="exact"/>
        <w:jc w:val="center"/>
        <w:rPr>
          <w:rFonts w:ascii="宋体-PUA" w:eastAsia="宋体-PUA" w:hAnsi="宋体-PUA" w:cs="宋体-PUA"/>
          <w:b/>
          <w:bCs/>
          <w:kern w:val="0"/>
          <w:sz w:val="44"/>
          <w:szCs w:val="44"/>
        </w:rPr>
      </w:pPr>
      <w:r>
        <w:rPr>
          <w:rFonts w:ascii="方正小标宋简体" w:eastAsia="方正小标宋简体" w:hAnsi="方正小标宋简体" w:cs="方正小标宋简体" w:hint="eastAsia"/>
          <w:kern w:val="0"/>
          <w:sz w:val="44"/>
          <w:szCs w:val="44"/>
        </w:rPr>
        <w:t>关于抽检不合格项目的风险提示</w:t>
      </w:r>
    </w:p>
    <w:p w:rsidR="00CD13BC" w:rsidRDefault="00CD13BC" w:rsidP="00CD13BC">
      <w:pPr>
        <w:adjustRightInd w:val="0"/>
        <w:snapToGrid w:val="0"/>
        <w:spacing w:line="500" w:lineRule="exact"/>
        <w:rPr>
          <w:rFonts w:ascii="仿宋_GB2312" w:eastAsia="仿宋_GB2312" w:hAnsi="仿宋_GB2312" w:cs="仿宋_GB2312"/>
          <w:sz w:val="32"/>
          <w:szCs w:val="28"/>
          <w:shd w:val="clear" w:color="auto" w:fill="FFFFFF"/>
        </w:rPr>
      </w:pPr>
    </w:p>
    <w:p w:rsidR="00FA59FF" w:rsidRDefault="00FA59FF" w:rsidP="00FA59FF">
      <w:pPr>
        <w:adjustRightInd w:val="0"/>
        <w:snapToGrid w:val="0"/>
        <w:spacing w:line="360" w:lineRule="auto"/>
        <w:ind w:firstLineChars="200" w:firstLine="640"/>
        <w:jc w:val="left"/>
        <w:rPr>
          <w:rFonts w:ascii="黑体" w:eastAsia="黑体" w:hAnsi="黑体"/>
          <w:sz w:val="32"/>
          <w:szCs w:val="28"/>
        </w:rPr>
      </w:pPr>
      <w:r>
        <w:rPr>
          <w:rFonts w:ascii="黑体" w:eastAsia="黑体" w:hAnsi="黑体" w:hint="eastAsia"/>
          <w:sz w:val="32"/>
          <w:szCs w:val="28"/>
        </w:rPr>
        <w:t>一、微生物污染问题</w:t>
      </w:r>
    </w:p>
    <w:p w:rsidR="00FA59FF" w:rsidRDefault="00FA59FF" w:rsidP="00FA59FF">
      <w:pPr>
        <w:adjustRightInd w:val="0"/>
        <w:snapToGrid w:val="0"/>
        <w:spacing w:line="360" w:lineRule="auto"/>
        <w:ind w:firstLineChars="200" w:firstLine="643"/>
        <w:rPr>
          <w:rFonts w:ascii="仿宋_GB2312" w:eastAsia="仿宋_GB2312" w:hAnsi="仿宋_GB2312" w:cs="仿宋_GB2312"/>
          <w:sz w:val="32"/>
          <w:szCs w:val="28"/>
        </w:rPr>
      </w:pPr>
      <w:r>
        <w:rPr>
          <w:rFonts w:ascii="楷体" w:eastAsia="楷体" w:hAnsi="楷体" w:cs="楷体" w:hint="eastAsia"/>
          <w:b/>
          <w:bCs/>
          <w:sz w:val="32"/>
          <w:szCs w:val="28"/>
        </w:rPr>
        <w:t>（一）菌落总数</w:t>
      </w:r>
    </w:p>
    <w:p w:rsidR="00FA59FF" w:rsidRDefault="00FA59FF" w:rsidP="00FA59FF">
      <w:pPr>
        <w:spacing w:line="460" w:lineRule="exact"/>
        <w:ind w:firstLineChars="200" w:firstLine="640"/>
      </w:pPr>
      <w:r>
        <w:rPr>
          <w:rFonts w:ascii="仿宋_GB2312" w:eastAsia="仿宋_GB2312" w:hAnsi="仿宋_GB2312" w:cs="仿宋_GB2312" w:hint="eastAsia"/>
          <w:kern w:val="0"/>
          <w:sz w:val="32"/>
          <w:szCs w:val="28"/>
        </w:rPr>
        <w:t>菌落总数是指示性微生物指标，主要用来评价食品清洁度，反映食品在生产过程中是否符合卫生要求。食品的菌落总数严重超标，将会破坏食品的营养成分，加速食品的腐败变质，使食品失去食用价值。《食品安全国家标准 糕点、面包》（GB 7099-2015）中规定，糕点中菌落总数，同一批次样品的5次检测结果均不超过10</w:t>
      </w:r>
      <w:r>
        <w:rPr>
          <w:rFonts w:ascii="仿宋_GB2312" w:eastAsia="仿宋_GB2312" w:hAnsi="仿宋_GB2312" w:cs="仿宋_GB2312" w:hint="eastAsia"/>
          <w:kern w:val="0"/>
          <w:sz w:val="32"/>
          <w:szCs w:val="28"/>
          <w:vertAlign w:val="superscript"/>
        </w:rPr>
        <w:t>5</w:t>
      </w:r>
      <w:r>
        <w:rPr>
          <w:rFonts w:ascii="仿宋_GB2312" w:eastAsia="仿宋_GB2312" w:hAnsi="仿宋_GB2312" w:cs="仿宋_GB2312" w:hint="eastAsia"/>
          <w:kern w:val="0"/>
          <w:sz w:val="32"/>
          <w:szCs w:val="28"/>
        </w:rPr>
        <w:t>CFU/g且至少3次检测结果不超过10</w:t>
      </w:r>
      <w:r>
        <w:rPr>
          <w:rFonts w:ascii="仿宋_GB2312" w:eastAsia="仿宋_GB2312" w:hAnsi="仿宋_GB2312" w:cs="仿宋_GB2312" w:hint="eastAsia"/>
          <w:kern w:val="0"/>
          <w:sz w:val="32"/>
          <w:szCs w:val="28"/>
          <w:vertAlign w:val="superscript"/>
        </w:rPr>
        <w:t>4</w:t>
      </w:r>
      <w:r>
        <w:rPr>
          <w:rFonts w:ascii="仿宋_GB2312" w:eastAsia="仿宋_GB2312" w:hAnsi="仿宋_GB2312" w:cs="仿宋_GB2312" w:hint="eastAsia"/>
          <w:kern w:val="0"/>
          <w:sz w:val="32"/>
          <w:szCs w:val="28"/>
        </w:rPr>
        <w:t>CFU/g。菌落总数超标说明个别企业可能未按要求严格控制生产加工过程的卫生条件，或者包装容器清洗消毒不到位；还有可能与产品包装密封不严，储运条件控制不当等有关。</w:t>
      </w:r>
    </w:p>
    <w:p w:rsidR="00CD13BC" w:rsidRPr="00BD040B" w:rsidRDefault="00E8273A" w:rsidP="00CD13BC">
      <w:pPr>
        <w:adjustRightInd w:val="0"/>
        <w:snapToGrid w:val="0"/>
        <w:spacing w:line="500" w:lineRule="exact"/>
        <w:ind w:firstLineChars="200" w:firstLine="640"/>
        <w:jc w:val="left"/>
        <w:rPr>
          <w:rFonts w:ascii="黑体" w:eastAsia="黑体" w:hAnsi="黑体"/>
          <w:sz w:val="32"/>
          <w:szCs w:val="28"/>
        </w:rPr>
      </w:pPr>
      <w:r w:rsidRPr="00BD040B">
        <w:rPr>
          <w:rFonts w:ascii="黑体" w:eastAsia="黑体" w:hAnsi="黑体" w:hint="eastAsia"/>
          <w:sz w:val="32"/>
          <w:szCs w:val="28"/>
        </w:rPr>
        <w:t>二、农</w:t>
      </w:r>
      <w:r w:rsidR="00CD13BC" w:rsidRPr="00BD040B">
        <w:rPr>
          <w:rFonts w:ascii="黑体" w:eastAsia="黑体" w:hAnsi="黑体" w:hint="eastAsia"/>
          <w:sz w:val="32"/>
          <w:szCs w:val="28"/>
        </w:rPr>
        <w:t>药残留问题</w:t>
      </w:r>
    </w:p>
    <w:p w:rsidR="00FA59FF" w:rsidRPr="00FA59FF" w:rsidRDefault="00BD040B" w:rsidP="00FA59FF">
      <w:pPr>
        <w:adjustRightInd w:val="0"/>
        <w:snapToGrid w:val="0"/>
        <w:spacing w:line="500" w:lineRule="exact"/>
        <w:ind w:firstLineChars="200" w:firstLine="643"/>
        <w:rPr>
          <w:rFonts w:ascii="楷体" w:eastAsia="楷体" w:hAnsi="楷体" w:cs="楷体"/>
          <w:b/>
          <w:bCs/>
          <w:sz w:val="32"/>
          <w:szCs w:val="28"/>
        </w:rPr>
      </w:pPr>
      <w:r w:rsidRPr="00BD040B">
        <w:rPr>
          <w:rFonts w:ascii="楷体" w:eastAsia="楷体" w:hAnsi="楷体" w:cs="楷体" w:hint="eastAsia"/>
          <w:b/>
          <w:bCs/>
          <w:sz w:val="32"/>
          <w:szCs w:val="28"/>
        </w:rPr>
        <w:t>（一）</w:t>
      </w:r>
      <w:r w:rsidR="00FA59FF">
        <w:rPr>
          <w:rFonts w:ascii="楷体" w:eastAsia="楷体" w:hAnsi="楷体" w:cs="楷体" w:hint="eastAsia"/>
          <w:b/>
          <w:bCs/>
          <w:sz w:val="32"/>
          <w:szCs w:val="32"/>
        </w:rPr>
        <w:t>氟虫腈</w:t>
      </w:r>
    </w:p>
    <w:p w:rsidR="00FA59FF" w:rsidRDefault="00FA59FF" w:rsidP="00FA59FF">
      <w:pPr>
        <w:widowControl/>
        <w:spacing w:line="62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氟虫腈是一种高活性的苯基吡唑类杀虫剂，对蜜蜂、甲壳类水生生物毒性较大，是目前水稻上使用的主要杀虫剂之一，具有良好的杀虫效果。氟虫腈在生殖发育毒性、慢性毒性、神经毒性和致癌性试验方面均有一定的不良作用。</w:t>
      </w:r>
    </w:p>
    <w:p w:rsidR="00FA59FF" w:rsidRDefault="00FA59FF" w:rsidP="00FA59FF">
      <w:pPr>
        <w:widowControl/>
        <w:spacing w:line="62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根据《食品安全国家标准 食品中农药最大残留限量》（GB 2763-2021）中规定，氟虫腈在普通白菜中的最大残留限量为0.02mg/kg。氟虫腈超标的原因，可能是菜农对使用农药的安全间隔期不了解，从而违规使用或滥用农药。</w:t>
      </w:r>
    </w:p>
    <w:p w:rsidR="00BD040B" w:rsidRPr="00BD040B" w:rsidRDefault="00BD040B" w:rsidP="00BD040B">
      <w:pPr>
        <w:adjustRightInd w:val="0"/>
        <w:snapToGrid w:val="0"/>
        <w:spacing w:line="500" w:lineRule="exact"/>
        <w:ind w:firstLineChars="200" w:firstLine="643"/>
        <w:rPr>
          <w:rFonts w:ascii="楷体" w:eastAsia="楷体" w:hAnsi="楷体" w:cs="楷体"/>
          <w:b/>
          <w:bCs/>
          <w:sz w:val="32"/>
          <w:szCs w:val="28"/>
        </w:rPr>
      </w:pPr>
      <w:r w:rsidRPr="00BD040B">
        <w:rPr>
          <w:rFonts w:ascii="楷体" w:eastAsia="楷体" w:hAnsi="楷体" w:cs="楷体" w:hint="eastAsia"/>
          <w:b/>
          <w:bCs/>
          <w:sz w:val="32"/>
          <w:szCs w:val="28"/>
        </w:rPr>
        <w:t>（二）噻虫胺</w:t>
      </w:r>
    </w:p>
    <w:p w:rsidR="00BD040B" w:rsidRPr="00BD040B" w:rsidRDefault="00BD040B" w:rsidP="00BD040B">
      <w:pPr>
        <w:pStyle w:val="NewNewNewNewNewNew"/>
        <w:adjustRightInd w:val="0"/>
        <w:snapToGrid w:val="0"/>
        <w:spacing w:line="360" w:lineRule="auto"/>
        <w:ind w:firstLineChars="200" w:firstLine="640"/>
        <w:rPr>
          <w:rFonts w:ascii="仿宋_GB2312" w:eastAsia="仿宋_GB2312" w:hAnsi="仿宋_GB2312" w:cs="仿宋_GB2312"/>
          <w:kern w:val="0"/>
          <w:sz w:val="32"/>
          <w:szCs w:val="28"/>
        </w:rPr>
      </w:pPr>
      <w:r w:rsidRPr="00BD040B">
        <w:rPr>
          <w:rFonts w:ascii="仿宋_GB2312" w:eastAsia="仿宋_GB2312" w:hAnsi="仿宋_GB2312" w:cs="仿宋_GB2312" w:hint="eastAsia"/>
          <w:kern w:val="0"/>
          <w:sz w:val="32"/>
          <w:szCs w:val="28"/>
        </w:rPr>
        <w:t>噻虫胺是烟碱类杀虫剂，具有触杀、胃毒作用，具有根内吸</w:t>
      </w:r>
      <w:r w:rsidRPr="00BD040B">
        <w:rPr>
          <w:rFonts w:ascii="仿宋_GB2312" w:eastAsia="仿宋_GB2312" w:hAnsi="仿宋_GB2312" w:cs="仿宋_GB2312" w:hint="eastAsia"/>
          <w:kern w:val="0"/>
          <w:sz w:val="32"/>
          <w:szCs w:val="28"/>
        </w:rPr>
        <w:lastRenderedPageBreak/>
        <w:t>活性和层间传导性。食品安全国家标准 食品中农药最大残留限量》（GB 2763-2019）中的规定，茄果类蔬菜最大限量为0.05mg/kg。噻虫胺属于烟碱类杀虫剂，急性中毒可出现恶心、呕吐、头痛、乏力、躁动、抽搐等。食用食品一般不会导致噻虫胺的急性中毒，但长期食用噻虫胺超标的食品，对人体健康也有一定影响。</w:t>
      </w:r>
    </w:p>
    <w:p w:rsidR="00BD040B" w:rsidRPr="00BD040B" w:rsidRDefault="00BD040B" w:rsidP="00B22510">
      <w:pPr>
        <w:pStyle w:val="NewNewNewNewNewNew"/>
        <w:adjustRightInd w:val="0"/>
        <w:snapToGrid w:val="0"/>
        <w:spacing w:line="360" w:lineRule="auto"/>
        <w:ind w:firstLineChars="200" w:firstLine="640"/>
        <w:rPr>
          <w:rFonts w:ascii="仿宋_GB2312" w:eastAsia="仿宋_GB2312" w:hAnsi="仿宋_GB2312" w:cs="仿宋_GB2312"/>
          <w:kern w:val="0"/>
          <w:sz w:val="32"/>
          <w:szCs w:val="28"/>
        </w:rPr>
      </w:pPr>
    </w:p>
    <w:p w:rsidR="00CD13BC" w:rsidRPr="00BD040B" w:rsidRDefault="00B22510" w:rsidP="00CD13BC">
      <w:pPr>
        <w:adjustRightInd w:val="0"/>
        <w:snapToGrid w:val="0"/>
        <w:spacing w:line="500" w:lineRule="exact"/>
        <w:ind w:firstLineChars="200" w:firstLine="640"/>
        <w:jc w:val="left"/>
        <w:rPr>
          <w:rFonts w:ascii="黑体" w:eastAsia="黑体" w:hAnsi="黑体"/>
          <w:sz w:val="32"/>
          <w:szCs w:val="28"/>
        </w:rPr>
      </w:pPr>
      <w:r w:rsidRPr="00BD040B">
        <w:rPr>
          <w:rFonts w:ascii="黑体" w:eastAsia="黑体" w:hAnsi="黑体" w:hint="eastAsia"/>
          <w:sz w:val="32"/>
          <w:szCs w:val="28"/>
        </w:rPr>
        <w:t>三</w:t>
      </w:r>
      <w:r w:rsidR="00CD13BC" w:rsidRPr="00BD040B">
        <w:rPr>
          <w:rFonts w:ascii="黑体" w:eastAsia="黑体" w:hAnsi="黑体" w:hint="eastAsia"/>
          <w:sz w:val="32"/>
          <w:szCs w:val="28"/>
        </w:rPr>
        <w:t>、重金属污染问题</w:t>
      </w:r>
    </w:p>
    <w:p w:rsidR="00CD13BC" w:rsidRPr="00BD040B" w:rsidRDefault="00CD13BC" w:rsidP="00BD040B">
      <w:pPr>
        <w:adjustRightInd w:val="0"/>
        <w:snapToGrid w:val="0"/>
        <w:spacing w:line="500" w:lineRule="exact"/>
        <w:ind w:firstLineChars="246" w:firstLine="790"/>
        <w:rPr>
          <w:rFonts w:ascii="楷体" w:eastAsia="楷体" w:hAnsi="楷体" w:cs="楷体"/>
          <w:b/>
          <w:bCs/>
          <w:sz w:val="32"/>
          <w:szCs w:val="28"/>
        </w:rPr>
      </w:pPr>
      <w:r w:rsidRPr="00BD040B">
        <w:rPr>
          <w:rFonts w:ascii="楷体" w:eastAsia="楷体" w:hAnsi="楷体" w:cs="楷体" w:hint="eastAsia"/>
          <w:b/>
          <w:bCs/>
          <w:sz w:val="32"/>
          <w:szCs w:val="28"/>
        </w:rPr>
        <w:t>镉（以Cd计）</w:t>
      </w:r>
    </w:p>
    <w:p w:rsidR="00E8273A" w:rsidRPr="00BD040B" w:rsidRDefault="00E8273A" w:rsidP="00E8273A">
      <w:pPr>
        <w:ind w:leftChars="100" w:left="210" w:firstLineChars="200" w:firstLine="640"/>
        <w:rPr>
          <w:rFonts w:ascii="仿宋_GB2312" w:eastAsia="仿宋_GB2312" w:hAnsi="仿宋_GB2312" w:cs="仿宋_GB2312"/>
          <w:sz w:val="32"/>
          <w:szCs w:val="28"/>
        </w:rPr>
      </w:pPr>
      <w:r w:rsidRPr="00BD040B">
        <w:rPr>
          <w:rFonts w:ascii="仿宋_GB2312" w:eastAsia="仿宋_GB2312" w:hAnsi="仿宋_GB2312" w:cs="仿宋_GB2312" w:hint="eastAsia"/>
          <w:sz w:val="32"/>
          <w:szCs w:val="28"/>
        </w:rPr>
        <w:t>镉（以Cd计）是一种蓄积性的重金属元素。《食品安全国家标准 食品中污染物限量》（GB 2762-2017）中规定，镉（以Cd计）在鲜、冻水产动物（甲壳类）中最大限量值为0.5mg/kg。镉（以Cd计）超标的原因，可能是在生长过程中富集了环境中的镉元素。长期食用镉（以Cd计）超标的食品，可能对肾脏、肝脏和骨骼造成损害，还可能影响免疫系统，甚至可能对儿童高级神经活动有损害。</w:t>
      </w:r>
    </w:p>
    <w:p w:rsidR="00400771" w:rsidRDefault="00400771" w:rsidP="00400771">
      <w:pPr>
        <w:adjustRightInd w:val="0"/>
        <w:snapToGrid w:val="0"/>
        <w:spacing w:line="360" w:lineRule="auto"/>
        <w:ind w:firstLineChars="200" w:firstLine="640"/>
        <w:jc w:val="left"/>
        <w:rPr>
          <w:rFonts w:ascii="黑体" w:eastAsia="黑体" w:hAnsi="黑体" w:hint="eastAsia"/>
          <w:sz w:val="32"/>
          <w:szCs w:val="28"/>
        </w:rPr>
      </w:pPr>
      <w:r>
        <w:rPr>
          <w:rFonts w:ascii="黑体" w:eastAsia="黑体" w:hAnsi="黑体" w:hint="eastAsia"/>
          <w:sz w:val="32"/>
          <w:szCs w:val="28"/>
        </w:rPr>
        <w:t>四、质量指标问题</w:t>
      </w:r>
    </w:p>
    <w:p w:rsidR="00400771" w:rsidRDefault="00400771" w:rsidP="00400771">
      <w:pPr>
        <w:adjustRightInd w:val="0"/>
        <w:snapToGrid w:val="0"/>
        <w:spacing w:line="360" w:lineRule="auto"/>
        <w:ind w:firstLineChars="200" w:firstLine="643"/>
        <w:rPr>
          <w:rFonts w:ascii="仿宋_GB2312" w:eastAsia="仿宋_GB2312" w:hAnsi="仿宋_GB2312" w:cs="仿宋_GB2312" w:hint="eastAsia"/>
          <w:sz w:val="32"/>
          <w:szCs w:val="28"/>
        </w:rPr>
      </w:pPr>
      <w:r>
        <w:rPr>
          <w:rFonts w:ascii="楷体" w:eastAsia="楷体" w:hAnsi="楷体" w:cs="楷体" w:hint="eastAsia"/>
          <w:b/>
          <w:bCs/>
          <w:sz w:val="32"/>
          <w:szCs w:val="28"/>
        </w:rPr>
        <w:t>过氧化值</w:t>
      </w:r>
    </w:p>
    <w:p w:rsidR="00400771" w:rsidRDefault="00400771" w:rsidP="00400771">
      <w:pPr>
        <w:spacing w:line="360" w:lineRule="auto"/>
        <w:ind w:firstLineChars="200" w:firstLine="640"/>
        <w:rPr>
          <w:rFonts w:hint="eastAsia"/>
        </w:rPr>
      </w:pPr>
      <w:r>
        <w:rPr>
          <w:rFonts w:ascii="仿宋_GB2312" w:eastAsia="仿宋_GB2312" w:hAnsi="仿宋_GB2312" w:cs="仿宋_GB2312" w:hint="eastAsia"/>
          <w:kern w:val="0"/>
          <w:sz w:val="32"/>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27" type="#_x0000_t136" style="position:absolute;left:0;text-align:left;margin-left:350.4pt;margin-top:70.8pt;width:72.1pt;height:71.65pt;rotation:319;z-index:-251655168;mso-position-horizontal-relative:page" fillcolor="#e6e7e8" stroked="f">
            <v:textpath style="font-family:&quot;&amp;quot&quot;;font-size:71pt" trim="t" string="用"/>
            <w10:wrap anchorx="page"/>
          </v:shape>
        </w:pict>
      </w:r>
      <w:r>
        <w:rPr>
          <w:rFonts w:ascii="仿宋_GB2312" w:eastAsia="仿宋_GB2312" w:hAnsi="仿宋_GB2312" w:cs="仿宋_GB2312" w:hint="eastAsia"/>
          <w:kern w:val="0"/>
          <w:sz w:val="32"/>
          <w:szCs w:val="28"/>
        </w:rPr>
        <w:t>过氧化值是指油脂中不饱和脂肪酸被氧化形成过氧化物，一般以 100g（或 1kg）被测油脂使碘化钾析出碘的克数表示。GB 19300-2014《食品安全国家标准 坚果与籽类食品》</w:t>
      </w:r>
      <w:r>
        <w:rPr>
          <w:rFonts w:ascii="仿宋_GB2312" w:eastAsia="仿宋_GB2312" w:hAnsi="仿宋_GB2312" w:cs="仿宋_GB2312" w:hint="eastAsia"/>
          <w:sz w:val="32"/>
          <w:szCs w:val="28"/>
        </w:rPr>
        <w:t>中规定，瓜子中过氧化值最大限量为0.50g/100g</w:t>
      </w:r>
      <w:r>
        <w:rPr>
          <w:rFonts w:ascii="仿宋_GB2312" w:eastAsia="仿宋_GB2312" w:hAnsi="仿宋_GB2312" w:cs="仿宋_GB2312" w:hint="eastAsia"/>
          <w:kern w:val="0"/>
          <w:sz w:val="32"/>
          <w:szCs w:val="28"/>
        </w:rPr>
        <w:pict>
          <v:shape id="艺术字 9" o:spid="_x0000_s1026" type="#_x0000_t136" style="position:absolute;left:0;text-align:left;margin-left:266.8pt;margin-top:29.05pt;width:72.1pt;height:71.65pt;rotation:319;z-index:-251656192;mso-position-horizontal-relative:page;mso-position-vertical-relative:text" fillcolor="#e6e7e8" stroked="f">
            <v:textpath style="font-family:&quot;&amp;quot&quot;;font-size:71pt" trim="t" string="使"/>
            <w10:wrap anchorx="page"/>
          </v:shape>
        </w:pict>
      </w:r>
      <w:r>
        <w:rPr>
          <w:rFonts w:ascii="仿宋_GB2312" w:eastAsia="仿宋_GB2312" w:hAnsi="仿宋_GB2312" w:cs="仿宋_GB2312" w:hint="eastAsia"/>
          <w:sz w:val="32"/>
          <w:szCs w:val="28"/>
        </w:rPr>
        <w:t>。</w:t>
      </w:r>
      <w:r>
        <w:rPr>
          <w:rFonts w:ascii="仿宋_GB2312" w:eastAsia="仿宋_GB2312" w:hAnsi="仿宋_GB2312" w:cs="仿宋_GB2312" w:hint="eastAsia"/>
          <w:kern w:val="0"/>
          <w:sz w:val="32"/>
          <w:szCs w:val="28"/>
        </w:rPr>
        <w:pict>
          <v:shape id="艺术字 11" o:spid="_x0000_s1028" type="#_x0000_t136" style="position:absolute;left:0;text-align:left;margin-left:183.2pt;margin-top:44.9pt;width:72.1pt;height:71.65pt;rotation:319;z-index:-251654144;mso-position-horizontal-relative:page;mso-position-vertical-relative:text" fillcolor="#e6e7e8" stroked="f">
            <v:textpath style="font-family:&quot;&amp;quot&quot;;font-size:71pt" trim="t" string="部"/>
            <w10:wrap anchorx="page"/>
          </v:shape>
        </w:pict>
      </w:r>
      <w:r>
        <w:rPr>
          <w:rFonts w:ascii="仿宋_GB2312" w:eastAsia="仿宋_GB2312" w:hAnsi="仿宋_GB2312" w:cs="仿宋_GB2312" w:hint="eastAsia"/>
          <w:kern w:val="0"/>
          <w:sz w:val="32"/>
          <w:szCs w:val="28"/>
        </w:rPr>
        <w:t>过氧化值超标的原因可能是产品用油已经变质，或者产品在储存过程中环境条件控制不</w:t>
      </w:r>
      <w:r>
        <w:rPr>
          <w:rFonts w:ascii="仿宋_GB2312" w:eastAsia="仿宋_GB2312" w:hAnsi="仿宋_GB2312" w:cs="仿宋_GB2312" w:hint="eastAsia"/>
          <w:kern w:val="0"/>
          <w:sz w:val="32"/>
          <w:szCs w:val="28"/>
        </w:rPr>
        <w:lastRenderedPageBreak/>
        <w:t>当，导致产品酸败。该指标不合格一般不会对人体的健康产生损害，但过多食用，严重时会导致肠胃不适、腹泻等症状。一般情况下，如果食品氧化变质，消费者在食用过程中能辨别出哈喇等异味，需避免食用。</w:t>
      </w:r>
    </w:p>
    <w:p w:rsidR="00CD13BC" w:rsidRPr="00400771" w:rsidRDefault="00CD13BC" w:rsidP="00B22510">
      <w:pPr>
        <w:adjustRightInd w:val="0"/>
        <w:snapToGrid w:val="0"/>
        <w:spacing w:line="500" w:lineRule="exact"/>
        <w:ind w:firstLineChars="200" w:firstLine="640"/>
        <w:rPr>
          <w:rFonts w:ascii="仿宋_GB2312" w:eastAsia="仿宋_GB2312" w:hAnsi="仿宋_GB2312" w:cs="仿宋_GB2312"/>
          <w:sz w:val="32"/>
          <w:szCs w:val="28"/>
        </w:rPr>
      </w:pPr>
    </w:p>
    <w:p w:rsidR="0053670E" w:rsidRPr="00CD13BC" w:rsidRDefault="0053670E"/>
    <w:sectPr w:rsidR="0053670E" w:rsidRPr="00CD13BC" w:rsidSect="00B328C6">
      <w:pgSz w:w="11906" w:h="16838"/>
      <w:pgMar w:top="1440" w:right="1474"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BC4" w:rsidRDefault="00C37BC4" w:rsidP="00E8273A">
      <w:r>
        <w:separator/>
      </w:r>
    </w:p>
  </w:endnote>
  <w:endnote w:type="continuationSeparator" w:id="1">
    <w:p w:rsidR="00C37BC4" w:rsidRDefault="00C37BC4" w:rsidP="00E82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PUA">
    <w:altName w:val="宋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BC4" w:rsidRDefault="00C37BC4" w:rsidP="00E8273A">
      <w:r>
        <w:separator/>
      </w:r>
    </w:p>
  </w:footnote>
  <w:footnote w:type="continuationSeparator" w:id="1">
    <w:p w:rsidR="00C37BC4" w:rsidRDefault="00C37BC4" w:rsidP="00E82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3BC"/>
    <w:rsid w:val="0019184C"/>
    <w:rsid w:val="00366203"/>
    <w:rsid w:val="00400771"/>
    <w:rsid w:val="0053670E"/>
    <w:rsid w:val="005B47BC"/>
    <w:rsid w:val="005F4811"/>
    <w:rsid w:val="007804D6"/>
    <w:rsid w:val="00B22510"/>
    <w:rsid w:val="00B328C6"/>
    <w:rsid w:val="00BD040B"/>
    <w:rsid w:val="00C37BC4"/>
    <w:rsid w:val="00CD13BC"/>
    <w:rsid w:val="00E37133"/>
    <w:rsid w:val="00E8273A"/>
    <w:rsid w:val="00F15ABD"/>
    <w:rsid w:val="00FA5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D13BC"/>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CD13BC"/>
    <w:pPr>
      <w:spacing w:after="120"/>
      <w:ind w:leftChars="200" w:left="420"/>
    </w:pPr>
  </w:style>
  <w:style w:type="character" w:customStyle="1" w:styleId="Char">
    <w:name w:val="正文文本缩进 Char"/>
    <w:basedOn w:val="a0"/>
    <w:link w:val="a3"/>
    <w:uiPriority w:val="99"/>
    <w:semiHidden/>
    <w:rsid w:val="00CD13BC"/>
    <w:rPr>
      <w:rFonts w:ascii="Calibri" w:eastAsia="宋体" w:hAnsi="Calibri" w:cs="黑体"/>
      <w:szCs w:val="24"/>
    </w:rPr>
  </w:style>
  <w:style w:type="paragraph" w:styleId="2">
    <w:name w:val="Body Text First Indent 2"/>
    <w:basedOn w:val="a3"/>
    <w:link w:val="2Char"/>
    <w:rsid w:val="00CD13BC"/>
    <w:pPr>
      <w:ind w:firstLineChars="200" w:firstLine="420"/>
    </w:pPr>
    <w:rPr>
      <w:kern w:val="0"/>
      <w:szCs w:val="20"/>
    </w:rPr>
  </w:style>
  <w:style w:type="character" w:customStyle="1" w:styleId="2Char">
    <w:name w:val="正文首行缩进 2 Char"/>
    <w:basedOn w:val="Char"/>
    <w:link w:val="2"/>
    <w:rsid w:val="00CD13BC"/>
    <w:rPr>
      <w:kern w:val="0"/>
      <w:szCs w:val="20"/>
    </w:rPr>
  </w:style>
  <w:style w:type="paragraph" w:customStyle="1" w:styleId="NewNewNewNewNewNew">
    <w:name w:val="正文 New New New New New New"/>
    <w:rsid w:val="00CD13BC"/>
    <w:pPr>
      <w:widowControl w:val="0"/>
      <w:jc w:val="both"/>
    </w:pPr>
    <w:rPr>
      <w:rFonts w:ascii="Calibri" w:eastAsia="宋体" w:hAnsi="Calibri" w:cs="黑体"/>
    </w:rPr>
  </w:style>
  <w:style w:type="paragraph" w:customStyle="1" w:styleId="NewNewNewNewNewNewNewNewNewNewNewNew">
    <w:name w:val="正文 New New New New New New New New New New New New"/>
    <w:rsid w:val="00CD13BC"/>
    <w:pPr>
      <w:widowControl w:val="0"/>
      <w:jc w:val="both"/>
    </w:pPr>
    <w:rPr>
      <w:rFonts w:ascii="Calibri" w:eastAsia="宋体" w:hAnsi="Calibri" w:cs="黑体"/>
      <w:szCs w:val="24"/>
    </w:rPr>
  </w:style>
  <w:style w:type="paragraph" w:styleId="1">
    <w:name w:val="toc 1"/>
    <w:basedOn w:val="a"/>
    <w:next w:val="a"/>
    <w:autoRedefine/>
    <w:uiPriority w:val="39"/>
    <w:unhideWhenUsed/>
    <w:rsid w:val="00CD13BC"/>
  </w:style>
  <w:style w:type="paragraph" w:styleId="a4">
    <w:name w:val="header"/>
    <w:basedOn w:val="a"/>
    <w:link w:val="Char0"/>
    <w:uiPriority w:val="99"/>
    <w:semiHidden/>
    <w:unhideWhenUsed/>
    <w:rsid w:val="00E82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8273A"/>
    <w:rPr>
      <w:rFonts w:ascii="Calibri" w:eastAsia="宋体" w:hAnsi="Calibri" w:cs="黑体"/>
      <w:sz w:val="18"/>
      <w:szCs w:val="18"/>
    </w:rPr>
  </w:style>
  <w:style w:type="paragraph" w:styleId="a5">
    <w:name w:val="footer"/>
    <w:basedOn w:val="a"/>
    <w:link w:val="Char1"/>
    <w:uiPriority w:val="99"/>
    <w:semiHidden/>
    <w:unhideWhenUsed/>
    <w:rsid w:val="00E827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8273A"/>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张雅丽</dc:creator>
  <cp:lastModifiedBy>黄增健</cp:lastModifiedBy>
  <cp:revision>5</cp:revision>
  <dcterms:created xsi:type="dcterms:W3CDTF">2022-09-27T03:25:00Z</dcterms:created>
  <dcterms:modified xsi:type="dcterms:W3CDTF">2022-11-25T08:48:00Z</dcterms:modified>
</cp:coreProperties>
</file>