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40" w:lineRule="exact"/>
        <w:rPr>
          <w:rFonts w:hint="eastAsia" w:ascii="黑体" w:hAnsi="ˎ̥" w:eastAsia="黑体" w:cs="Arial"/>
          <w:kern w:val="0"/>
          <w:sz w:val="32"/>
          <w:szCs w:val="32"/>
        </w:rPr>
      </w:pPr>
      <w:r>
        <w:rPr>
          <w:rFonts w:hint="eastAsia" w:ascii="黑体" w:hAnsi="ˎ̥" w:eastAsia="黑体" w:cs="Arial"/>
          <w:kern w:val="0"/>
          <w:sz w:val="32"/>
          <w:szCs w:val="32"/>
        </w:rPr>
        <w:t>附件1</w:t>
      </w:r>
    </w:p>
    <w:p>
      <w:pPr>
        <w:widowControl/>
        <w:spacing w:line="640" w:lineRule="exact"/>
        <w:ind w:firstLine="3420" w:firstLineChars="950"/>
        <w:rPr>
          <w:rFonts w:hint="eastAsia" w:ascii="黑体" w:hAnsi="ˎ̥" w:eastAsia="黑体" w:cs="Arial"/>
          <w:kern w:val="0"/>
          <w:sz w:val="36"/>
          <w:szCs w:val="36"/>
        </w:rPr>
      </w:pPr>
      <w:r>
        <w:rPr>
          <w:rFonts w:hint="eastAsia" w:ascii="黑体" w:hAnsi="ˎ̥" w:eastAsia="黑体" w:cs="Arial"/>
          <w:kern w:val="0"/>
          <w:sz w:val="36"/>
          <w:szCs w:val="36"/>
        </w:rPr>
        <w:t>本次检验项目</w:t>
      </w:r>
    </w:p>
    <w:p>
      <w:pPr>
        <w:ind w:left="640"/>
        <w:rPr>
          <w:rFonts w:hint="eastAsia" w:ascii="黑体" w:eastAsia="黑体"/>
          <w:bCs/>
          <w:color w:val="000000"/>
          <w:sz w:val="32"/>
          <w:szCs w:val="32"/>
        </w:rPr>
      </w:pPr>
      <w:r>
        <w:rPr>
          <w:rFonts w:hint="eastAsia" w:ascii="黑体" w:eastAsia="黑体"/>
          <w:bCs/>
          <w:color w:val="000000"/>
          <w:sz w:val="32"/>
          <w:szCs w:val="32"/>
          <w:lang w:val="en-US" w:eastAsia="zh-CN"/>
        </w:rPr>
        <w:t>一、食用农产品</w:t>
      </w:r>
    </w:p>
    <w:p>
      <w:pPr>
        <w:spacing w:line="580" w:lineRule="exact"/>
        <w:ind w:firstLine="640"/>
        <w:rPr>
          <w:rFonts w:hint="eastAsia" w:ascii="楷体_GB2312" w:hAnsi="Calibri" w:eastAsia="楷体_GB2312"/>
          <w:sz w:val="32"/>
          <w:szCs w:val="32"/>
        </w:rPr>
      </w:pPr>
      <w:r>
        <w:rPr>
          <w:rFonts w:hint="eastAsia" w:ascii="楷体_GB2312" w:hAnsi="Calibri" w:eastAsia="楷体_GB2312"/>
          <w:sz w:val="32"/>
          <w:szCs w:val="32"/>
        </w:rPr>
        <w:t>（一）</w:t>
      </w:r>
      <w:r>
        <w:rPr>
          <w:rFonts w:hint="eastAsia" w:ascii="楷体_GB2312" w:hAnsi="Calibri" w:eastAsia="楷体_GB2312"/>
          <w:sz w:val="32"/>
          <w:szCs w:val="32"/>
        </w:rPr>
        <w:tab/>
      </w:r>
      <w:r>
        <w:rPr>
          <w:rFonts w:hint="eastAsia" w:ascii="楷体_GB2312" w:hAnsi="Calibri" w:eastAsia="楷体_GB2312"/>
          <w:sz w:val="32"/>
          <w:szCs w:val="32"/>
        </w:rPr>
        <w:t>抽检依据</w:t>
      </w:r>
    </w:p>
    <w:p>
      <w:pPr>
        <w:spacing w:line="580" w:lineRule="exact"/>
        <w:ind w:firstLine="640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抽检依据是GB 2763-2021《食品安全国家标准 食品中农药最大残留限量》，GB 2762-2017《食品安全国家标准 食品中污染物限量》</w:t>
      </w:r>
      <w:r>
        <w:rPr>
          <w:rFonts w:hint="eastAsia" w:ascii="仿宋_GB2312" w:hAnsi="Calibri" w:eastAsia="仿宋_GB2312"/>
          <w:sz w:val="32"/>
          <w:szCs w:val="32"/>
          <w:lang w:eastAsia="zh-CN"/>
        </w:rPr>
        <w:t>， 国家食品药品监督管理总局 农业部 国家卫生和计划生育委员会关于豆</w:t>
      </w:r>
      <w:bookmarkStart w:id="0" w:name="_GoBack"/>
      <w:bookmarkEnd w:id="0"/>
      <w:r>
        <w:rPr>
          <w:rFonts w:hint="eastAsia" w:ascii="仿宋_GB2312" w:hAnsi="Calibri" w:eastAsia="仿宋_GB2312"/>
          <w:sz w:val="32"/>
          <w:szCs w:val="32"/>
          <w:lang w:eastAsia="zh-CN"/>
        </w:rPr>
        <w:t>芽生产过程中禁止使用6-苄基腺嘌呤等物质的公告（2015 年第 11 号），GB 22556-2008《豆芽卫生标准》，GB 19300-2014《食品安全国家标准 坚果与籽类食品》，GB 2761-2017《食品安全国家标准 食品中真菌毒素限量》</w:t>
      </w:r>
      <w:r>
        <w:rPr>
          <w:rFonts w:hint="eastAsia" w:ascii="仿宋_GB2312" w:hAnsi="Calibri" w:eastAsia="仿宋_GB2312"/>
          <w:sz w:val="32"/>
          <w:szCs w:val="32"/>
        </w:rPr>
        <w:t>等标准及产品明示标准和指标的要求。</w:t>
      </w:r>
    </w:p>
    <w:p>
      <w:pPr>
        <w:numPr>
          <w:ilvl w:val="0"/>
          <w:numId w:val="1"/>
        </w:numPr>
        <w:spacing w:line="580" w:lineRule="exact"/>
        <w:ind w:firstLine="640"/>
        <w:rPr>
          <w:rFonts w:hint="eastAsia" w:ascii="楷体_GB2312" w:hAnsi="Calibri" w:eastAsia="楷体_GB2312"/>
          <w:sz w:val="32"/>
          <w:szCs w:val="32"/>
        </w:rPr>
      </w:pPr>
      <w:r>
        <w:rPr>
          <w:rFonts w:hint="eastAsia" w:ascii="楷体_GB2312" w:hAnsi="Calibri" w:eastAsia="楷体_GB2312"/>
          <w:sz w:val="32"/>
          <w:szCs w:val="32"/>
        </w:rPr>
        <w:t>抽检项目</w:t>
      </w:r>
    </w:p>
    <w:p>
      <w:pPr>
        <w:spacing w:line="580" w:lineRule="exact"/>
        <w:ind w:firstLine="640" w:firstLineChars="200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Calibri" w:eastAsia="仿宋_GB2312"/>
          <w:sz w:val="32"/>
          <w:szCs w:val="32"/>
        </w:rPr>
        <w:t>.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芹菜监督</w:t>
      </w:r>
      <w:r>
        <w:rPr>
          <w:rFonts w:hint="eastAsia" w:ascii="仿宋_GB2312" w:hAnsi="Calibri" w:eastAsia="仿宋_GB2312"/>
          <w:sz w:val="32"/>
          <w:szCs w:val="32"/>
        </w:rPr>
        <w:t>抽检项目包括毒死蜱、克百威 、甲拌磷、氧乐果、百菌清、啶虫脒。</w:t>
      </w:r>
    </w:p>
    <w:p>
      <w:pPr>
        <w:spacing w:line="580" w:lineRule="exact"/>
        <w:ind w:firstLine="640" w:firstLineChars="200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Calibri" w:eastAsia="仿宋_GB2312"/>
          <w:sz w:val="32"/>
          <w:szCs w:val="32"/>
        </w:rPr>
        <w:t>.</w:t>
      </w:r>
      <w:r>
        <w:rPr>
          <w:rFonts w:hint="eastAsia" w:ascii="仿宋_GB2312" w:hAnsi="Calibri" w:eastAsia="仿宋_GB2312"/>
          <w:sz w:val="32"/>
          <w:szCs w:val="32"/>
          <w:highlight w:val="none"/>
          <w:lang w:eastAsia="zh-CN"/>
        </w:rPr>
        <w:t>豇豆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监督</w:t>
      </w:r>
      <w:r>
        <w:rPr>
          <w:rFonts w:hint="eastAsia" w:ascii="仿宋_GB2312" w:hAnsi="Calibri" w:eastAsia="仿宋_GB2312"/>
          <w:sz w:val="32"/>
          <w:szCs w:val="32"/>
        </w:rPr>
        <w:t>抽检项目包括灭蝇胺、克百威、灭多威、噻虫胺、噻虫嗪、水胺硫磷、氧乐果。</w:t>
      </w:r>
    </w:p>
    <w:p>
      <w:pPr>
        <w:ind w:firstLine="640" w:firstLineChars="200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Calibri" w:eastAsia="仿宋_GB2312"/>
          <w:sz w:val="32"/>
          <w:szCs w:val="32"/>
        </w:rPr>
        <w:t>.生干籽类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监督</w:t>
      </w:r>
      <w:r>
        <w:rPr>
          <w:rFonts w:hint="eastAsia" w:ascii="仿宋_GB2312" w:hAnsi="Calibri" w:eastAsia="仿宋_GB2312"/>
          <w:sz w:val="32"/>
          <w:szCs w:val="32"/>
        </w:rPr>
        <w:t>抽检项目包括酸价、黄曲霉毒素B1、过氧化值(以脂肪计)、铅(以Pb计)、镉(以Cd 计)、苯醚甲环唑。</w:t>
      </w:r>
    </w:p>
    <w:p>
      <w:pPr>
        <w:ind w:firstLine="640" w:firstLineChars="200"/>
        <w:rPr>
          <w:rFonts w:hint="eastAsia" w:ascii="仿宋_GB2312" w:hAnsi="Calibri" w:eastAsia="仿宋_GB2312"/>
          <w:sz w:val="32"/>
          <w:szCs w:val="32"/>
          <w:lang w:eastAsia="zh-CN"/>
        </w:rPr>
      </w:pP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Calibri" w:eastAsia="仿宋_GB2312"/>
          <w:sz w:val="32"/>
          <w:szCs w:val="32"/>
        </w:rPr>
        <w:t>.结球甘蓝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监督抽检项目包括</w:t>
      </w:r>
      <w:r>
        <w:rPr>
          <w:rFonts w:hint="eastAsia" w:ascii="仿宋_GB2312" w:hAnsi="Calibri" w:eastAsia="仿宋_GB2312"/>
          <w:sz w:val="32"/>
          <w:szCs w:val="32"/>
        </w:rPr>
        <w:t>氧乐果、甲胺磷、克百威、水胺硫磷、乙酰甲胺磷、灭线磷。</w:t>
      </w:r>
    </w:p>
    <w:p>
      <w:pPr>
        <w:ind w:firstLine="640" w:firstLineChars="200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5.油麦菜、菠菜监督</w:t>
      </w:r>
      <w:r>
        <w:rPr>
          <w:rFonts w:hint="eastAsia" w:ascii="仿宋_GB2312" w:hAnsi="Calibri" w:eastAsia="仿宋_GB2312"/>
          <w:sz w:val="32"/>
          <w:szCs w:val="32"/>
        </w:rPr>
        <w:t>抽检项目包括死蜱、阿维菌素、啶虫脒、氟虫腈、镉(以 Cd 计)、克百威、氯氟氰菊酯和高效氯氟氰菊酯、氧乐果。</w:t>
      </w:r>
    </w:p>
    <w:p>
      <w:pPr>
        <w:ind w:firstLine="640" w:firstLineChars="200"/>
        <w:rPr>
          <w:rFonts w:hint="eastAsia" w:ascii="仿宋_GB2312" w:hAnsi="Calibri" w:eastAsia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6.普通白菜监督抽检项目包括毒死蜱、啶虫脒、吡虫啉、氟虫腈、镉(以 Cd 计) 、甲氨基阿维菌素苯甲酸盐、 甲胺磷、氧乐果、水胺硫磷。</w:t>
      </w:r>
    </w:p>
    <w:p>
      <w:pPr>
        <w:ind w:firstLine="640" w:firstLineChars="200"/>
        <w:rPr>
          <w:rFonts w:hint="eastAsia" w:ascii="仿宋_GB2312" w:hAnsi="Calibri" w:eastAsia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7.豆芽监督抽检项目包括4-氯苯氧乙酸钠、6-苄基腺嘌呤、亚硫酸盐（以SO2计）、铅（以Pb计）、总汞（以Hg计）。</w:t>
      </w:r>
    </w:p>
    <w:p>
      <w:pPr>
        <w:ind w:firstLine="420" w:firstLineChars="2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C445EF"/>
    <w:multiLevelType w:val="singleLevel"/>
    <w:tmpl w:val="5AC445EF"/>
    <w:lvl w:ilvl="0" w:tentative="0">
      <w:start w:val="2"/>
      <w:numFmt w:val="chineseCount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hOWIxZjNkOTUwNTg2MDU5Y2M5OGRmOGE4NGViODYifQ=="/>
  </w:docVars>
  <w:rsids>
    <w:rsidRoot w:val="2ABC7BA1"/>
    <w:rsid w:val="02532EC0"/>
    <w:rsid w:val="03EB19D5"/>
    <w:rsid w:val="05035FFF"/>
    <w:rsid w:val="05672A68"/>
    <w:rsid w:val="060C61A5"/>
    <w:rsid w:val="07E96D80"/>
    <w:rsid w:val="0D907C01"/>
    <w:rsid w:val="1248624C"/>
    <w:rsid w:val="143D5DDD"/>
    <w:rsid w:val="1E3436CC"/>
    <w:rsid w:val="22882F0A"/>
    <w:rsid w:val="25A617BA"/>
    <w:rsid w:val="2ABC7BA1"/>
    <w:rsid w:val="2AFC431F"/>
    <w:rsid w:val="2B964BA4"/>
    <w:rsid w:val="2C1A4DF8"/>
    <w:rsid w:val="2C2938A4"/>
    <w:rsid w:val="32195E5C"/>
    <w:rsid w:val="33641B39"/>
    <w:rsid w:val="37930F49"/>
    <w:rsid w:val="3F186754"/>
    <w:rsid w:val="414A16ED"/>
    <w:rsid w:val="41E56383"/>
    <w:rsid w:val="43497B5F"/>
    <w:rsid w:val="43B0618F"/>
    <w:rsid w:val="4441796A"/>
    <w:rsid w:val="44AB1593"/>
    <w:rsid w:val="484C0403"/>
    <w:rsid w:val="4B1753A2"/>
    <w:rsid w:val="4BF10142"/>
    <w:rsid w:val="4C4B6C19"/>
    <w:rsid w:val="4E5700B7"/>
    <w:rsid w:val="51611095"/>
    <w:rsid w:val="524611DC"/>
    <w:rsid w:val="553F7255"/>
    <w:rsid w:val="57C04B43"/>
    <w:rsid w:val="58671522"/>
    <w:rsid w:val="5D994645"/>
    <w:rsid w:val="5EE34DCA"/>
    <w:rsid w:val="5F08123D"/>
    <w:rsid w:val="5F414350"/>
    <w:rsid w:val="5F57371B"/>
    <w:rsid w:val="60411D19"/>
    <w:rsid w:val="61052AE4"/>
    <w:rsid w:val="62AB6F5D"/>
    <w:rsid w:val="62D2358A"/>
    <w:rsid w:val="6D1A7097"/>
    <w:rsid w:val="6DBD6BBB"/>
    <w:rsid w:val="6E1169AF"/>
    <w:rsid w:val="6EC27FC3"/>
    <w:rsid w:val="6F573323"/>
    <w:rsid w:val="6FA140F0"/>
    <w:rsid w:val="7234037E"/>
    <w:rsid w:val="783420D4"/>
    <w:rsid w:val="78F8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6"/>
    <w:qFormat/>
    <w:uiPriority w:val="0"/>
    <w:pPr>
      <w:keepNext/>
      <w:keepLines/>
      <w:spacing w:beforeLines="0" w:beforeAutospacing="0" w:afterLines="0" w:afterAutospacing="0" w:line="360" w:lineRule="auto"/>
      <w:jc w:val="center"/>
      <w:outlineLvl w:val="0"/>
    </w:pPr>
    <w:rPr>
      <w:rFonts w:ascii="Times New Roman" w:hAnsi="Times New Roman" w:eastAsia="宋体"/>
      <w:b/>
      <w:kern w:val="44"/>
      <w:sz w:val="36"/>
    </w:rPr>
  </w:style>
  <w:style w:type="paragraph" w:styleId="4">
    <w:name w:val="heading 2"/>
    <w:basedOn w:val="1"/>
    <w:next w:val="5"/>
    <w:link w:val="13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ind w:firstLine="0" w:firstLineChars="0"/>
      <w:jc w:val="left"/>
      <w:outlineLvl w:val="1"/>
    </w:pPr>
    <w:rPr>
      <w:b/>
      <w:sz w:val="32"/>
    </w:rPr>
  </w:style>
  <w:style w:type="paragraph" w:styleId="6">
    <w:name w:val="heading 3"/>
    <w:basedOn w:val="1"/>
    <w:next w:val="1"/>
    <w:link w:val="14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ind w:firstLine="0" w:firstLineChars="0"/>
      <w:jc w:val="left"/>
      <w:outlineLvl w:val="2"/>
    </w:pPr>
    <w:rPr>
      <w:b/>
      <w:sz w:val="30"/>
    </w:rPr>
  </w:style>
  <w:style w:type="paragraph" w:styleId="7">
    <w:name w:val="heading 4"/>
    <w:basedOn w:val="1"/>
    <w:next w:val="1"/>
    <w:link w:val="15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ind w:firstLine="0" w:firstLineChars="0"/>
      <w:jc w:val="left"/>
      <w:outlineLvl w:val="3"/>
    </w:pPr>
    <w:rPr>
      <w:b/>
    </w:rPr>
  </w:style>
  <w:style w:type="paragraph" w:styleId="8">
    <w:name w:val="heading 5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ind w:firstLine="0" w:firstLineChars="0"/>
      <w:outlineLvl w:val="4"/>
    </w:pPr>
    <w:rPr>
      <w:rFonts w:ascii="Times New Roman" w:hAnsi="Times New Roman"/>
      <w:b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Indent"/>
    <w:basedOn w:val="1"/>
    <w:qFormat/>
    <w:uiPriority w:val="0"/>
    <w:pPr>
      <w:ind w:firstLine="420" w:firstLineChars="200"/>
    </w:pPr>
  </w:style>
  <w:style w:type="paragraph" w:styleId="9">
    <w:name w:val="Body Text"/>
    <w:basedOn w:val="1"/>
    <w:qFormat/>
    <w:uiPriority w:val="0"/>
    <w:pPr>
      <w:spacing w:after="120" w:afterLines="0" w:afterAutospacing="0"/>
    </w:pPr>
  </w:style>
  <w:style w:type="paragraph" w:styleId="10">
    <w:name w:val="Body Text First Indent"/>
    <w:basedOn w:val="9"/>
    <w:qFormat/>
    <w:uiPriority w:val="0"/>
    <w:pPr>
      <w:ind w:firstLine="420" w:firstLineChars="100"/>
    </w:pPr>
  </w:style>
  <w:style w:type="character" w:customStyle="1" w:styleId="13">
    <w:name w:val="标题 2 Char1"/>
    <w:link w:val="4"/>
    <w:qFormat/>
    <w:uiPriority w:val="0"/>
    <w:rPr>
      <w:rFonts w:ascii="Times New Roman" w:hAnsi="Times New Roman" w:eastAsia="宋体"/>
      <w:b/>
      <w:sz w:val="32"/>
    </w:rPr>
  </w:style>
  <w:style w:type="character" w:customStyle="1" w:styleId="14">
    <w:name w:val="标题 3 Char"/>
    <w:link w:val="6"/>
    <w:qFormat/>
    <w:uiPriority w:val="0"/>
    <w:rPr>
      <w:rFonts w:ascii="Times New Roman" w:hAnsi="Times New Roman" w:eastAsia="宋体"/>
      <w:b/>
      <w:sz w:val="30"/>
    </w:rPr>
  </w:style>
  <w:style w:type="character" w:customStyle="1" w:styleId="15">
    <w:name w:val="标题 4 Char"/>
    <w:basedOn w:val="12"/>
    <w:link w:val="7"/>
    <w:qFormat/>
    <w:uiPriority w:val="0"/>
    <w:rPr>
      <w:rFonts w:ascii="Times New Roman" w:hAnsi="Times New Roman" w:eastAsia="宋体"/>
      <w:b/>
      <w:sz w:val="24"/>
    </w:rPr>
  </w:style>
  <w:style w:type="character" w:customStyle="1" w:styleId="16">
    <w:name w:val="标题 1 Char"/>
    <w:link w:val="3"/>
    <w:qFormat/>
    <w:uiPriority w:val="0"/>
    <w:rPr>
      <w:rFonts w:ascii="Times New Roman" w:hAnsi="Times New Roman" w:eastAsia="宋体"/>
      <w:b/>
      <w:kern w:val="44"/>
      <w:sz w:val="36"/>
    </w:rPr>
  </w:style>
  <w:style w:type="paragraph" w:customStyle="1" w:styleId="17">
    <w:name w:val="标题4"/>
    <w:basedOn w:val="1"/>
    <w:next w:val="1"/>
    <w:qFormat/>
    <w:uiPriority w:val="0"/>
    <w:pPr>
      <w:outlineLvl w:val="3"/>
    </w:pPr>
    <w:rPr>
      <w:rFonts w:ascii="Times New Roman" w:hAnsi="Times New Roman" w:eastAsia="宋体" w:cstheme="majorBidi"/>
      <w:b/>
      <w:sz w:val="24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2020-08-19T07:51:00Z</dcterms:created>
  <dc:creator>GrowζGlow</dc:creator>
  <cp:lastModifiedBy>GrowζGlow</cp:lastModifiedBy>
  <dcterms:modified xsi:type="dcterms:W3CDTF">2022-11-11T07:12:36Z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12B57CE713014612927CF7F96844EC1C</vt:lpwstr>
  </property>
</Properties>
</file>