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Theme="minorEastAsia" w:hAnsiTheme="minorEastAsia"/>
          <w:b/>
          <w:sz w:val="36"/>
          <w:szCs w:val="36"/>
        </w:rPr>
      </w:pPr>
    </w:p>
    <w:p>
      <w:pPr>
        <w:spacing w:line="480" w:lineRule="auto"/>
        <w:jc w:val="center"/>
        <w:rPr>
          <w:rFonts w:asciiTheme="minorEastAsia" w:hAnsiTheme="minorEastAsia"/>
          <w:b/>
          <w:sz w:val="36"/>
          <w:szCs w:val="36"/>
        </w:rPr>
      </w:pPr>
    </w:p>
    <w:p>
      <w:pPr>
        <w:spacing w:line="480" w:lineRule="auto"/>
        <w:jc w:val="center"/>
        <w:rPr>
          <w:rFonts w:asciiTheme="minorEastAsia" w:hAnsiTheme="minorEastAsia"/>
          <w:b/>
          <w:sz w:val="36"/>
          <w:szCs w:val="36"/>
        </w:rPr>
      </w:pPr>
    </w:p>
    <w:p>
      <w:pPr>
        <w:spacing w:line="640" w:lineRule="exact"/>
        <w:jc w:val="center"/>
        <w:rPr>
          <w:rFonts w:hint="eastAsia"/>
          <w:b/>
          <w:bCs/>
          <w:sz w:val="48"/>
          <w:szCs w:val="48"/>
        </w:rPr>
      </w:pPr>
      <w:r>
        <w:rPr>
          <w:rFonts w:hint="eastAsia"/>
          <w:b/>
          <w:bCs/>
          <w:sz w:val="48"/>
          <w:szCs w:val="48"/>
        </w:rPr>
        <w:t>南昌市市场监督管理局</w:t>
      </w:r>
    </w:p>
    <w:p>
      <w:pPr>
        <w:spacing w:line="640" w:lineRule="exact"/>
        <w:jc w:val="center"/>
        <w:rPr>
          <w:b/>
          <w:bCs/>
          <w:sz w:val="48"/>
          <w:szCs w:val="48"/>
        </w:rPr>
      </w:pPr>
      <w:r>
        <w:rPr>
          <w:rFonts w:hint="eastAsia"/>
          <w:b/>
          <w:bCs/>
          <w:sz w:val="48"/>
          <w:szCs w:val="48"/>
        </w:rPr>
        <w:t>流通领域商品质量抽查检验分析报告</w:t>
      </w: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ind w:left="1"/>
        <w:rPr>
          <w:b/>
          <w:color w:val="000000"/>
          <w:sz w:val="40"/>
          <w:szCs w:val="40"/>
        </w:rPr>
      </w:pPr>
    </w:p>
    <w:p>
      <w:pPr>
        <w:ind w:left="1"/>
        <w:rPr>
          <w:b/>
          <w:color w:val="000000"/>
          <w:sz w:val="40"/>
          <w:szCs w:val="40"/>
        </w:rPr>
      </w:pPr>
      <w:r>
        <w:rPr>
          <w:rFonts w:hint="eastAsia"/>
          <w:b/>
          <w:sz w:val="44"/>
          <w:szCs w:val="44"/>
        </w:rPr>
        <w:drawing>
          <wp:anchor distT="0" distB="0" distL="114300" distR="114300" simplePos="0" relativeHeight="251659264" behindDoc="1" locked="0" layoutInCell="1" allowOverlap="1">
            <wp:simplePos x="0" y="0"/>
            <wp:positionH relativeFrom="page">
              <wp:posOffset>895350</wp:posOffset>
            </wp:positionH>
            <wp:positionV relativeFrom="page">
              <wp:posOffset>8042275</wp:posOffset>
            </wp:positionV>
            <wp:extent cx="1130300" cy="1064895"/>
            <wp:effectExtent l="0" t="0" r="12700" b="1905"/>
            <wp:wrapTight wrapText="bothSides">
              <wp:wrapPolygon>
                <wp:start x="0" y="0"/>
                <wp:lineTo x="0" y="21252"/>
                <wp:lineTo x="21115" y="21252"/>
                <wp:lineTo x="21115" y="0"/>
                <wp:lineTo x="0" y="0"/>
              </wp:wrapPolygon>
            </wp:wrapTight>
            <wp:docPr id="1" name="图片 3" descr="58250735412145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582507354121450054"/>
                    <pic:cNvPicPr>
                      <a:picLocks noChangeAspect="1"/>
                    </pic:cNvPicPr>
                  </pic:nvPicPr>
                  <pic:blipFill>
                    <a:blip r:embed="rId7" cstate="print"/>
                    <a:stretch>
                      <a:fillRect/>
                    </a:stretch>
                  </pic:blipFill>
                  <pic:spPr>
                    <a:xfrm>
                      <a:off x="0" y="0"/>
                      <a:ext cx="1130300" cy="1064895"/>
                    </a:xfrm>
                    <a:prstGeom prst="rect">
                      <a:avLst/>
                    </a:prstGeom>
                    <a:noFill/>
                    <a:ln w="9525">
                      <a:noFill/>
                    </a:ln>
                  </pic:spPr>
                </pic:pic>
              </a:graphicData>
            </a:graphic>
          </wp:anchor>
        </w:drawing>
      </w:r>
    </w:p>
    <w:p>
      <w:pPr>
        <w:jc w:val="center"/>
        <w:rPr>
          <w:b/>
          <w:color w:val="000000"/>
          <w:sz w:val="36"/>
          <w:szCs w:val="36"/>
        </w:rPr>
      </w:pPr>
      <w:r>
        <w:rPr>
          <w:rFonts w:hint="eastAsia"/>
          <w:b/>
          <w:color w:val="000000"/>
          <w:sz w:val="40"/>
          <w:szCs w:val="40"/>
        </w:rPr>
        <w:t>山东腾翔产品质量检测有限公司</w:t>
      </w:r>
    </w:p>
    <w:p>
      <w:pPr>
        <w:ind w:firstLine="241" w:firstLineChars="100"/>
        <w:jc w:val="center"/>
        <w:rPr>
          <w:b/>
          <w:color w:val="000000"/>
          <w:sz w:val="24"/>
        </w:rPr>
      </w:pPr>
      <w:r>
        <w:rPr>
          <w:rFonts w:hint="eastAsia"/>
          <w:b/>
          <w:color w:val="000000"/>
          <w:sz w:val="24"/>
        </w:rPr>
        <w:t>ShanDong TengXiang Product Q</w:t>
      </w:r>
      <w:r>
        <w:rPr>
          <w:b/>
          <w:color w:val="000000"/>
          <w:sz w:val="24"/>
        </w:rPr>
        <w:t>uality</w:t>
      </w:r>
      <w:r>
        <w:rPr>
          <w:rFonts w:hint="eastAsia"/>
          <w:b/>
          <w:color w:val="000000"/>
          <w:sz w:val="24"/>
        </w:rPr>
        <w:t xml:space="preserve"> Testing </w:t>
      </w:r>
      <w:r>
        <w:rPr>
          <w:b/>
          <w:color w:val="000000"/>
          <w:sz w:val="24"/>
        </w:rPr>
        <w:t>Co., LTD</w:t>
      </w:r>
      <w:r>
        <w:rPr>
          <w:rFonts w:hint="eastAsia"/>
          <w:b/>
          <w:color w:val="000000"/>
          <w:sz w:val="24"/>
        </w:rPr>
        <w:t>.</w:t>
      </w:r>
    </w:p>
    <w:p>
      <w:pPr>
        <w:spacing w:line="480" w:lineRule="auto"/>
        <w:rPr>
          <w:rFonts w:asciiTheme="minorEastAsia" w:hAnsiTheme="minorEastAsia"/>
          <w:b/>
          <w:sz w:val="24"/>
          <w:szCs w:val="24"/>
        </w:rPr>
      </w:pPr>
      <w:r>
        <w:rPr>
          <w:rFonts w:asciiTheme="minorEastAsia" w:hAnsiTheme="minorEastAsia"/>
          <w:b/>
          <w:sz w:val="36"/>
          <w:szCs w:val="36"/>
        </w:rPr>
        <w:br w:type="page"/>
      </w:r>
    </w:p>
    <w:p>
      <w:pPr>
        <w:snapToGrid w:val="0"/>
        <w:spacing w:line="360" w:lineRule="auto"/>
        <w:jc w:val="left"/>
        <w:rPr>
          <w:rFonts w:ascii="仿宋" w:hAnsi="仿宋" w:eastAsia="仿宋"/>
          <w:sz w:val="28"/>
          <w:szCs w:val="28"/>
        </w:rPr>
      </w:pPr>
      <w:r>
        <w:rPr>
          <w:rFonts w:hint="eastAsia" w:asciiTheme="minorEastAsia" w:hAnsiTheme="minorEastAsia"/>
          <w:sz w:val="24"/>
          <w:szCs w:val="24"/>
        </w:rPr>
        <w:t xml:space="preserve">    </w:t>
      </w:r>
      <w:r>
        <w:rPr>
          <w:rFonts w:hint="eastAsia" w:ascii="仿宋" w:hAnsi="仿宋" w:eastAsia="仿宋"/>
          <w:sz w:val="28"/>
          <w:szCs w:val="28"/>
        </w:rPr>
        <w:t>南昌市市场监督管理局委托山东腾翔产品质量有限公司于20</w:t>
      </w:r>
      <w:r>
        <w:rPr>
          <w:rFonts w:ascii="仿宋" w:hAnsi="仿宋" w:eastAsia="仿宋"/>
          <w:sz w:val="28"/>
          <w:szCs w:val="28"/>
        </w:rPr>
        <w:t>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eastAsia="zh-CN"/>
        </w:rPr>
        <w:t>第</w:t>
      </w:r>
      <w:r>
        <w:rPr>
          <w:rFonts w:hint="eastAsia" w:ascii="仿宋" w:hAnsi="仿宋" w:eastAsia="仿宋"/>
          <w:sz w:val="28"/>
          <w:szCs w:val="28"/>
          <w:lang w:val="en-US" w:eastAsia="zh-CN"/>
        </w:rPr>
        <w:t>3季度</w:t>
      </w:r>
      <w:r>
        <w:rPr>
          <w:rFonts w:hint="eastAsia" w:ascii="仿宋" w:hAnsi="仿宋" w:eastAsia="仿宋"/>
          <w:sz w:val="28"/>
          <w:szCs w:val="28"/>
        </w:rPr>
        <w:t>对全市流通领域的</w:t>
      </w:r>
      <w:r>
        <w:rPr>
          <w:rFonts w:hint="eastAsia" w:ascii="仿宋" w:hAnsi="仿宋" w:eastAsia="仿宋"/>
          <w:sz w:val="28"/>
          <w:szCs w:val="28"/>
          <w:lang w:val="en-US" w:eastAsia="zh-CN"/>
        </w:rPr>
        <w:t>烟花</w:t>
      </w:r>
      <w:r>
        <w:rPr>
          <w:rFonts w:hint="eastAsia" w:ascii="仿宋" w:hAnsi="仿宋" w:eastAsia="仿宋"/>
          <w:sz w:val="28"/>
          <w:szCs w:val="28"/>
        </w:rPr>
        <w:t>产品进行了抽查检验，现将抽查检验结果质量分析报告如下：</w:t>
      </w:r>
    </w:p>
    <w:p>
      <w:pPr>
        <w:pStyle w:val="27"/>
        <w:spacing w:line="360" w:lineRule="auto"/>
        <w:ind w:firstLine="0" w:firstLineChars="0"/>
        <w:rPr>
          <w:rFonts w:hint="eastAsia" w:ascii="仿宋" w:hAnsi="仿宋" w:eastAsia="仿宋"/>
          <w:b/>
          <w:sz w:val="28"/>
          <w:szCs w:val="28"/>
        </w:rPr>
      </w:pPr>
      <w:r>
        <w:rPr>
          <w:rFonts w:hint="eastAsia" w:ascii="仿宋" w:hAnsi="仿宋" w:eastAsia="仿宋"/>
          <w:b/>
          <w:sz w:val="28"/>
          <w:szCs w:val="28"/>
        </w:rPr>
        <w:t>一、抽检样品的基本情况</w:t>
      </w:r>
    </w:p>
    <w:p>
      <w:pPr>
        <w:snapToGrid w:val="0"/>
        <w:spacing w:line="360" w:lineRule="auto"/>
        <w:ind w:firstLine="700" w:firstLineChars="250"/>
        <w:jc w:val="left"/>
        <w:rPr>
          <w:rFonts w:ascii="仿宋" w:hAnsi="仿宋" w:eastAsia="仿宋"/>
          <w:sz w:val="28"/>
          <w:szCs w:val="28"/>
        </w:rPr>
      </w:pPr>
      <w:r>
        <w:rPr>
          <w:rFonts w:hint="eastAsia" w:ascii="仿宋" w:hAnsi="仿宋" w:eastAsia="仿宋"/>
          <w:sz w:val="28"/>
          <w:szCs w:val="28"/>
        </w:rPr>
        <w:t>此次商品查区域为南昌市。抽查方式为随机抽样。抽查商品为</w:t>
      </w:r>
      <w:r>
        <w:rPr>
          <w:rFonts w:hint="eastAsia" w:ascii="仿宋" w:hAnsi="仿宋" w:eastAsia="仿宋"/>
          <w:sz w:val="28"/>
          <w:szCs w:val="28"/>
          <w:lang w:val="en-US" w:eastAsia="zh-CN"/>
        </w:rPr>
        <w:t>烟花</w:t>
      </w:r>
      <w:r>
        <w:rPr>
          <w:rFonts w:ascii="仿宋" w:hAnsi="仿宋" w:eastAsia="仿宋"/>
          <w:sz w:val="28"/>
          <w:szCs w:val="28"/>
        </w:rPr>
        <w:t>。</w:t>
      </w:r>
      <w:r>
        <w:rPr>
          <w:rFonts w:hint="eastAsia" w:ascii="仿宋" w:hAnsi="仿宋" w:eastAsia="仿宋"/>
          <w:sz w:val="28"/>
          <w:szCs w:val="28"/>
        </w:rPr>
        <w:t>共抽检</w:t>
      </w:r>
      <w:r>
        <w:rPr>
          <w:rFonts w:hint="eastAsia" w:ascii="仿宋" w:hAnsi="仿宋" w:eastAsia="仿宋"/>
          <w:sz w:val="28"/>
          <w:szCs w:val="28"/>
          <w:lang w:val="en-US" w:eastAsia="zh-CN"/>
        </w:rPr>
        <w:t>5</w:t>
      </w:r>
      <w:r>
        <w:rPr>
          <w:rFonts w:hint="eastAsia" w:ascii="仿宋" w:hAnsi="仿宋" w:eastAsia="仿宋"/>
          <w:sz w:val="28"/>
          <w:szCs w:val="28"/>
        </w:rPr>
        <w:t>批次产品</w:t>
      </w:r>
      <w:r>
        <w:rPr>
          <w:rFonts w:ascii="仿宋" w:hAnsi="仿宋" w:eastAsia="仿宋"/>
          <w:sz w:val="28"/>
          <w:szCs w:val="28"/>
        </w:rPr>
        <w:t>，</w:t>
      </w:r>
      <w:r>
        <w:rPr>
          <w:rFonts w:hint="eastAsia" w:ascii="仿宋" w:hAnsi="仿宋" w:eastAsia="仿宋"/>
          <w:sz w:val="28"/>
          <w:szCs w:val="28"/>
        </w:rPr>
        <w:t>其中合格</w:t>
      </w:r>
      <w:r>
        <w:rPr>
          <w:rFonts w:hint="eastAsia" w:ascii="仿宋" w:hAnsi="仿宋" w:eastAsia="仿宋"/>
          <w:sz w:val="28"/>
          <w:szCs w:val="28"/>
          <w:lang w:val="en-US" w:eastAsia="zh-CN"/>
        </w:rPr>
        <w:t>5</w:t>
      </w:r>
      <w:r>
        <w:rPr>
          <w:rFonts w:hint="eastAsia" w:ascii="仿宋" w:hAnsi="仿宋" w:eastAsia="仿宋"/>
          <w:sz w:val="28"/>
          <w:szCs w:val="28"/>
        </w:rPr>
        <w:t>批次</w:t>
      </w:r>
      <w:r>
        <w:rPr>
          <w:rFonts w:ascii="仿宋" w:hAnsi="仿宋" w:eastAsia="仿宋"/>
          <w:sz w:val="28"/>
          <w:szCs w:val="28"/>
        </w:rPr>
        <w:t>，总体合格率</w:t>
      </w:r>
      <w:r>
        <w:rPr>
          <w:rFonts w:hint="eastAsia" w:ascii="仿宋" w:hAnsi="仿宋" w:eastAsia="仿宋"/>
          <w:sz w:val="28"/>
          <w:szCs w:val="28"/>
          <w:lang w:val="en-US" w:eastAsia="zh-CN"/>
        </w:rPr>
        <w:t>100</w:t>
      </w:r>
      <w:r>
        <w:rPr>
          <w:rFonts w:ascii="仿宋" w:hAnsi="仿宋" w:eastAsia="仿宋"/>
          <w:sz w:val="28"/>
          <w:szCs w:val="28"/>
        </w:rPr>
        <w:t>%</w:t>
      </w:r>
      <w:r>
        <w:rPr>
          <w:rFonts w:hint="eastAsia" w:ascii="仿宋" w:hAnsi="仿宋" w:eastAsia="仿宋"/>
          <w:sz w:val="28"/>
          <w:szCs w:val="28"/>
        </w:rPr>
        <w:t>。</w:t>
      </w:r>
    </w:p>
    <w:p>
      <w:pPr>
        <w:pStyle w:val="27"/>
        <w:spacing w:line="360" w:lineRule="auto"/>
        <w:ind w:firstLine="0" w:firstLineChars="0"/>
        <w:rPr>
          <w:rFonts w:ascii="仿宋" w:hAnsi="仿宋" w:eastAsia="仿宋"/>
          <w:b/>
          <w:sz w:val="28"/>
          <w:szCs w:val="28"/>
        </w:rPr>
      </w:pPr>
      <w:r>
        <w:rPr>
          <w:rFonts w:hint="eastAsia" w:ascii="仿宋" w:hAnsi="仿宋" w:eastAsia="仿宋"/>
          <w:b/>
          <w:sz w:val="28"/>
          <w:szCs w:val="28"/>
        </w:rPr>
        <w:t>（1）</w:t>
      </w:r>
      <w:r>
        <w:rPr>
          <w:rFonts w:hint="eastAsia" w:ascii="仿宋" w:hAnsi="仿宋" w:eastAsia="仿宋"/>
          <w:b/>
          <w:sz w:val="28"/>
          <w:szCs w:val="28"/>
          <w:lang w:val="en-US" w:eastAsia="zh-CN"/>
        </w:rPr>
        <w:t>抽查</w:t>
      </w:r>
      <w:r>
        <w:rPr>
          <w:rFonts w:hint="eastAsia" w:ascii="仿宋" w:hAnsi="仿宋" w:eastAsia="仿宋"/>
          <w:b/>
          <w:sz w:val="28"/>
          <w:szCs w:val="28"/>
        </w:rPr>
        <w:t>情况</w:t>
      </w:r>
    </w:p>
    <w:p>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此次</w:t>
      </w:r>
      <w:r>
        <w:rPr>
          <w:rFonts w:hint="eastAsia" w:ascii="仿宋" w:hAnsi="仿宋" w:eastAsia="仿宋"/>
          <w:sz w:val="28"/>
          <w:szCs w:val="28"/>
          <w:lang w:val="en-US" w:eastAsia="zh-CN"/>
        </w:rPr>
        <w:t>共</w:t>
      </w:r>
      <w:r>
        <w:rPr>
          <w:rFonts w:hint="eastAsia" w:ascii="仿宋" w:hAnsi="仿宋" w:eastAsia="仿宋"/>
          <w:sz w:val="28"/>
          <w:szCs w:val="28"/>
        </w:rPr>
        <w:t>抽</w:t>
      </w:r>
      <w:r>
        <w:rPr>
          <w:rFonts w:hint="eastAsia" w:ascii="仿宋" w:hAnsi="仿宋" w:eastAsia="仿宋"/>
          <w:sz w:val="28"/>
          <w:szCs w:val="28"/>
          <w:lang w:val="en-US" w:eastAsia="zh-CN"/>
        </w:rPr>
        <w:t>检烟花5</w:t>
      </w:r>
      <w:r>
        <w:rPr>
          <w:rFonts w:hint="eastAsia" w:ascii="仿宋" w:hAnsi="仿宋" w:eastAsia="仿宋"/>
          <w:sz w:val="28"/>
          <w:szCs w:val="28"/>
        </w:rPr>
        <w:t>批次</w:t>
      </w:r>
      <w:r>
        <w:rPr>
          <w:rFonts w:hint="eastAsia" w:ascii="仿宋" w:hAnsi="仿宋" w:eastAsia="仿宋"/>
          <w:sz w:val="28"/>
          <w:szCs w:val="28"/>
          <w:lang w:eastAsia="zh-CN"/>
        </w:rPr>
        <w:t>，</w:t>
      </w:r>
      <w:r>
        <w:rPr>
          <w:rFonts w:ascii="仿宋" w:hAnsi="仿宋" w:eastAsia="仿宋"/>
          <w:sz w:val="28"/>
          <w:szCs w:val="28"/>
        </w:rPr>
        <w:t>合格</w:t>
      </w:r>
      <w:r>
        <w:rPr>
          <w:rFonts w:hint="eastAsia" w:ascii="仿宋" w:hAnsi="仿宋" w:eastAsia="仿宋"/>
          <w:sz w:val="28"/>
          <w:szCs w:val="28"/>
          <w:lang w:val="en-US" w:eastAsia="zh-CN"/>
        </w:rPr>
        <w:t>5</w:t>
      </w:r>
      <w:r>
        <w:rPr>
          <w:rFonts w:hint="eastAsia" w:ascii="仿宋" w:hAnsi="仿宋" w:eastAsia="仿宋"/>
          <w:sz w:val="28"/>
          <w:szCs w:val="28"/>
        </w:rPr>
        <w:t>批次</w:t>
      </w:r>
      <w:r>
        <w:rPr>
          <w:rFonts w:hint="eastAsia" w:ascii="仿宋" w:hAnsi="仿宋" w:eastAsia="仿宋"/>
          <w:sz w:val="28"/>
          <w:szCs w:val="28"/>
          <w:lang w:eastAsia="zh-CN"/>
        </w:rPr>
        <w:t>，</w:t>
      </w:r>
      <w:r>
        <w:rPr>
          <w:rFonts w:hint="eastAsia" w:ascii="仿宋" w:hAnsi="仿宋" w:eastAsia="仿宋"/>
          <w:sz w:val="28"/>
          <w:szCs w:val="28"/>
        </w:rPr>
        <w:t>合格率</w:t>
      </w:r>
      <w:r>
        <w:rPr>
          <w:rFonts w:hint="eastAsia" w:ascii="仿宋" w:hAnsi="仿宋" w:eastAsia="仿宋"/>
          <w:sz w:val="28"/>
          <w:szCs w:val="28"/>
          <w:lang w:val="en-US" w:eastAsia="zh-CN"/>
        </w:rPr>
        <w:t>100</w:t>
      </w:r>
      <w:r>
        <w:rPr>
          <w:rFonts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抽查结果见表1和图1、图</w:t>
      </w:r>
      <w:r>
        <w:rPr>
          <w:rFonts w:ascii="仿宋" w:hAnsi="仿宋" w:eastAsia="仿宋"/>
          <w:sz w:val="28"/>
          <w:szCs w:val="28"/>
        </w:rPr>
        <w:t>2</w:t>
      </w:r>
      <w:r>
        <w:rPr>
          <w:rFonts w:hint="eastAsia" w:ascii="仿宋" w:hAnsi="仿宋" w:eastAsia="仿宋"/>
          <w:sz w:val="28"/>
          <w:szCs w:val="28"/>
        </w:rPr>
        <w:t>。</w:t>
      </w:r>
    </w:p>
    <w:p>
      <w:pPr>
        <w:pStyle w:val="27"/>
        <w:spacing w:line="360" w:lineRule="auto"/>
        <w:ind w:firstLine="0" w:firstLineChars="0"/>
        <w:jc w:val="center"/>
        <w:rPr>
          <w:rFonts w:ascii="仿宋" w:hAnsi="仿宋" w:eastAsia="仿宋"/>
          <w:b/>
          <w:sz w:val="28"/>
          <w:szCs w:val="28"/>
        </w:rPr>
      </w:pPr>
      <w:r>
        <w:rPr>
          <w:rFonts w:hint="eastAsia" w:ascii="仿宋" w:hAnsi="仿宋" w:eastAsia="仿宋"/>
          <w:b/>
          <w:sz w:val="28"/>
          <w:szCs w:val="28"/>
        </w:rPr>
        <w:t>表1抽查结果</w:t>
      </w:r>
    </w:p>
    <w:tbl>
      <w:tblPr>
        <w:tblStyle w:val="19"/>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3162"/>
        <w:gridCol w:w="2126"/>
        <w:gridCol w:w="1985"/>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bottom w:val="nil"/>
              <w:right w:val="single" w:color="auto" w:sz="8" w:space="0"/>
              <w:insideH w:val="nil"/>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bookmarkStart w:id="0" w:name="OLE_LINK2"/>
            <w:bookmarkStart w:id="1" w:name="OLE_LINK1"/>
            <w:r>
              <w:rPr>
                <w:rFonts w:ascii="仿宋" w:hAnsi="仿宋" w:eastAsia="仿宋"/>
                <w:b/>
                <w:bCs/>
                <w:i w:val="0"/>
                <w:iCs w:val="0"/>
                <w:color w:val="auto"/>
                <w:sz w:val="28"/>
                <w:szCs w:val="28"/>
              </w:rPr>
              <w:t>抽查</w:t>
            </w:r>
            <w:r>
              <w:rPr>
                <w:rFonts w:hint="eastAsia" w:ascii="仿宋" w:hAnsi="仿宋" w:eastAsia="仿宋"/>
                <w:b/>
                <w:bCs/>
                <w:i w:val="0"/>
                <w:iCs w:val="0"/>
                <w:color w:val="auto"/>
                <w:sz w:val="28"/>
                <w:szCs w:val="28"/>
              </w:rPr>
              <w:t>类别</w:t>
            </w:r>
          </w:p>
        </w:tc>
        <w:tc>
          <w:tcPr>
            <w:tcW w:w="2126" w:type="dxa"/>
            <w:tcBorders>
              <w:top w:val="single" w:color="auto" w:sz="4" w:space="0"/>
              <w:left w:val="single" w:color="auto" w:sz="4" w:space="0"/>
              <w:bottom w:val="single" w:color="auto" w:sz="4" w:space="0"/>
              <w:right w:val="single" w:color="auto" w:sz="8"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抽查批次</w:t>
            </w:r>
          </w:p>
        </w:tc>
        <w:tc>
          <w:tcPr>
            <w:tcW w:w="1985" w:type="dxa"/>
            <w:tcBorders>
              <w:top w:val="single" w:color="auto" w:sz="4" w:space="0"/>
              <w:left w:val="single" w:color="auto" w:sz="4" w:space="0"/>
              <w:bottom w:val="single" w:color="auto" w:sz="4" w:space="0"/>
              <w:right w:val="single" w:color="auto" w:sz="8"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合格批次</w:t>
            </w:r>
          </w:p>
        </w:tc>
        <w:tc>
          <w:tcPr>
            <w:tcW w:w="1601" w:type="dxa"/>
            <w:tcBorders>
              <w:top w:val="single" w:color="auto" w:sz="4" w:space="0"/>
              <w:left w:val="single" w:color="auto" w:sz="4" w:space="0"/>
              <w:bottom w:val="single" w:color="auto" w:sz="4" w:space="0"/>
              <w:right w:val="single" w:color="auto" w:sz="4"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合格率（%）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bottom w:val="nil"/>
              <w:right w:val="single" w:color="auto" w:sz="4" w:space="0"/>
              <w:insideH w:val="nil"/>
            </w:tcBorders>
            <w:shd w:val="clear" w:color="auto" w:fill="FFFFFF" w:themeFill="background1"/>
          </w:tcPr>
          <w:p>
            <w:pPr>
              <w:spacing w:line="312" w:lineRule="auto"/>
              <w:jc w:val="center"/>
              <w:rPr>
                <w:rFonts w:hint="eastAsia" w:ascii="仿宋" w:hAnsi="仿宋" w:eastAsia="仿宋"/>
                <w:b w:val="0"/>
                <w:bCs w:val="0"/>
                <w:i w:val="0"/>
                <w:iCs w:val="0"/>
                <w:color w:val="FFFFFF" w:themeColor="background1"/>
                <w:sz w:val="28"/>
                <w:szCs w:val="28"/>
                <w:lang w:eastAsia="zh-CN"/>
                <w14:textFill>
                  <w14:solidFill>
                    <w14:schemeClr w14:val="bg1"/>
                  </w14:solidFill>
                </w14:textFill>
              </w:rPr>
            </w:pPr>
            <w:r>
              <w:rPr>
                <w:rFonts w:hint="eastAsia" w:ascii="仿宋" w:hAnsi="仿宋" w:eastAsia="仿宋"/>
                <w:b/>
                <w:bCs/>
                <w:i w:val="0"/>
                <w:iCs w:val="0"/>
                <w:color w:val="auto"/>
                <w:sz w:val="28"/>
                <w:szCs w:val="28"/>
                <w:lang w:val="en-US" w:eastAsia="zh-CN"/>
              </w:rPr>
              <w:t>烟花</w:t>
            </w:r>
          </w:p>
        </w:tc>
        <w:tc>
          <w:tcPr>
            <w:tcW w:w="2126"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985"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601"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right w:val="single" w:color="auto" w:sz="4" w:space="0"/>
              <w:insideH w:val="nil"/>
            </w:tcBorders>
            <w:shd w:val="clear" w:color="auto" w:fill="FFFFFF" w:themeFill="background1"/>
          </w:tcPr>
          <w:p>
            <w:pPr>
              <w:spacing w:line="312" w:lineRule="auto"/>
              <w:jc w:val="center"/>
              <w:rPr>
                <w:rFonts w:ascii="仿宋" w:hAnsi="仿宋" w:eastAsia="仿宋" w:cs="Arial"/>
                <w:b w:val="0"/>
                <w:bCs w:val="0"/>
                <w:i w:val="0"/>
                <w:iCs w:val="0"/>
                <w:color w:val="FFFFFF" w:themeColor="background1"/>
                <w:sz w:val="28"/>
                <w:szCs w:val="28"/>
                <w14:textFill>
                  <w14:solidFill>
                    <w14:schemeClr w14:val="bg1"/>
                  </w14:solidFill>
                </w14:textFill>
              </w:rPr>
            </w:pPr>
            <w:r>
              <w:rPr>
                <w:rFonts w:hint="eastAsia" w:ascii="仿宋" w:hAnsi="仿宋" w:eastAsia="仿宋" w:cs="Arial"/>
                <w:b/>
                <w:bCs w:val="0"/>
                <w:i w:val="0"/>
                <w:iCs w:val="0"/>
                <w:color w:val="auto"/>
                <w:sz w:val="28"/>
                <w:szCs w:val="28"/>
              </w:rPr>
              <w:t>总计</w:t>
            </w:r>
          </w:p>
        </w:tc>
        <w:tc>
          <w:tcPr>
            <w:tcW w:w="2126"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985"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601"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100</w:t>
            </w:r>
          </w:p>
        </w:tc>
      </w:tr>
      <w:bookmarkEnd w:id="0"/>
      <w:bookmarkEnd w:id="1"/>
    </w:tbl>
    <w:p>
      <w:pPr>
        <w:pStyle w:val="27"/>
        <w:spacing w:line="360" w:lineRule="auto"/>
        <w:ind w:firstLine="0" w:firstLineChars="0"/>
        <w:jc w:val="center"/>
      </w:pPr>
      <w:r>
        <w:drawing>
          <wp:inline distT="0" distB="0" distL="0" distR="0">
            <wp:extent cx="5149215" cy="3966210"/>
            <wp:effectExtent l="0" t="0" r="13335" b="1524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7"/>
        <w:spacing w:line="360" w:lineRule="auto"/>
        <w:ind w:firstLine="0" w:firstLineChars="0"/>
        <w:rPr>
          <w:rFonts w:asciiTheme="majorEastAsia" w:hAnsiTheme="majorEastAsia" w:eastAsiaTheme="majorEastAsia" w:cstheme="majorEastAsia"/>
          <w:b/>
          <w:bCs/>
          <w:spacing w:val="4"/>
          <w:sz w:val="24"/>
          <w:szCs w:val="24"/>
        </w:rPr>
      </w:pPr>
      <w:r>
        <w:rPr>
          <w:rFonts w:hint="eastAsia" w:asciiTheme="majorEastAsia" w:hAnsiTheme="majorEastAsia" w:eastAsiaTheme="majorEastAsia" w:cstheme="majorEastAsia"/>
          <w:b/>
          <w:bCs/>
          <w:spacing w:val="4"/>
          <w:sz w:val="24"/>
          <w:szCs w:val="24"/>
        </w:rPr>
        <w:drawing>
          <wp:inline distT="0" distB="0" distL="0" distR="0">
            <wp:extent cx="4974590" cy="4296410"/>
            <wp:effectExtent l="4445" t="4445" r="12065" b="2349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7"/>
        <w:spacing w:line="360" w:lineRule="auto"/>
        <w:ind w:firstLine="0" w:firstLineChars="0"/>
        <w:rPr>
          <w:rFonts w:ascii="仿宋" w:hAnsi="仿宋" w:eastAsia="仿宋"/>
          <w:b/>
          <w:sz w:val="28"/>
          <w:szCs w:val="28"/>
        </w:rPr>
      </w:pPr>
      <w:r>
        <w:rPr>
          <w:rFonts w:hint="eastAsia" w:ascii="仿宋" w:hAnsi="仿宋" w:eastAsia="仿宋"/>
          <w:b/>
          <w:sz w:val="28"/>
          <w:szCs w:val="28"/>
        </w:rPr>
        <w:t>二、常见不合格项目危害</w:t>
      </w:r>
    </w:p>
    <w:p>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562" w:firstLineChars="200"/>
        <w:jc w:val="left"/>
        <w:textAlignment w:val="auto"/>
        <w:rPr>
          <w:rFonts w:hint="eastAsia" w:ascii="仿宋" w:hAnsi="仿宋" w:eastAsia="仿宋" w:cstheme="minorBidi"/>
          <w:spacing w:val="0"/>
          <w:kern w:val="2"/>
          <w:sz w:val="28"/>
          <w:szCs w:val="28"/>
          <w:lang w:val="en-US" w:eastAsia="zh-CN" w:bidi="ar-SA"/>
        </w:rPr>
      </w:pPr>
      <w:r>
        <w:rPr>
          <w:rFonts w:hint="eastAsia" w:ascii="仿宋" w:hAnsi="仿宋" w:eastAsia="仿宋" w:cstheme="minorBidi"/>
          <w:b/>
          <w:bCs/>
          <w:spacing w:val="0"/>
          <w:kern w:val="2"/>
          <w:sz w:val="28"/>
          <w:szCs w:val="28"/>
          <w:lang w:val="en-US" w:eastAsia="zh-CN" w:bidi="ar-SA"/>
        </w:rPr>
        <w:t>1、引火线：</w:t>
      </w:r>
      <w:r>
        <w:rPr>
          <w:rFonts w:hint="eastAsia" w:ascii="仿宋" w:hAnsi="仿宋" w:eastAsia="仿宋" w:cstheme="minorBidi"/>
          <w:spacing w:val="0"/>
          <w:kern w:val="2"/>
          <w:sz w:val="28"/>
          <w:szCs w:val="28"/>
          <w:lang w:val="en-US" w:eastAsia="zh-CN" w:bidi="ar-SA"/>
        </w:rPr>
        <w:t>GB 10631-2013《烟花爆竹 安全与质量》标准规定点火引线必须是绿色安全引火线且应有明显标识，目的是利用绿色这种醒目的颜色提醒消费者不要在其他部位点火，而有的企业却没有安装绿色安全引火线。</w:t>
      </w:r>
    </w:p>
    <w:p>
      <w:pPr>
        <w:pStyle w:val="27"/>
        <w:spacing w:line="360" w:lineRule="auto"/>
        <w:ind w:firstLine="562" w:firstLineChars="200"/>
        <w:rPr>
          <w:rFonts w:hint="eastAsia" w:ascii="仿宋" w:hAnsi="仿宋" w:eastAsia="仿宋" w:cstheme="minorBidi"/>
          <w:spacing w:val="0"/>
          <w:kern w:val="2"/>
          <w:sz w:val="28"/>
          <w:szCs w:val="28"/>
          <w:lang w:val="en-US" w:eastAsia="zh-CN" w:bidi="ar-SA"/>
        </w:rPr>
      </w:pPr>
      <w:r>
        <w:rPr>
          <w:rFonts w:hint="eastAsia" w:ascii="仿宋" w:hAnsi="仿宋" w:eastAsia="仿宋" w:cstheme="minorBidi"/>
          <w:b/>
          <w:bCs/>
          <w:spacing w:val="0"/>
          <w:kern w:val="2"/>
          <w:sz w:val="28"/>
          <w:szCs w:val="28"/>
          <w:lang w:val="en-US" w:eastAsia="zh-CN" w:bidi="ar-SA"/>
        </w:rPr>
        <w:t>2、引燃时间：</w:t>
      </w:r>
      <w:r>
        <w:rPr>
          <w:rFonts w:hint="eastAsia" w:ascii="仿宋" w:hAnsi="仿宋" w:eastAsia="仿宋" w:cstheme="minorBidi"/>
          <w:spacing w:val="0"/>
          <w:kern w:val="2"/>
          <w:sz w:val="28"/>
          <w:szCs w:val="28"/>
          <w:lang w:val="en-US" w:eastAsia="zh-CN" w:bidi="ar-SA"/>
        </w:rPr>
        <w:t>引燃时间过短或过长会增加燃放过程的安全隐患。不合格的主要原因是点火引火线过短或过长。</w:t>
      </w:r>
    </w:p>
    <w:p>
      <w:pPr>
        <w:pStyle w:val="27"/>
        <w:spacing w:line="360" w:lineRule="auto"/>
        <w:ind w:firstLine="0" w:firstLineChars="0"/>
        <w:rPr>
          <w:rFonts w:ascii="仿宋" w:hAnsi="仿宋" w:eastAsia="仿宋"/>
          <w:b/>
          <w:sz w:val="28"/>
          <w:szCs w:val="28"/>
        </w:rPr>
      </w:pPr>
      <w:r>
        <w:rPr>
          <w:rFonts w:hint="eastAsia" w:ascii="仿宋" w:hAnsi="仿宋" w:eastAsia="仿宋"/>
          <w:b/>
          <w:sz w:val="28"/>
          <w:szCs w:val="28"/>
        </w:rPr>
        <w:t xml:space="preserve">三、建议和措施： </w:t>
      </w:r>
    </w:p>
    <w:p>
      <w:pPr>
        <w:spacing w:line="360" w:lineRule="auto"/>
        <w:ind w:firstLine="576" w:firstLineChars="200"/>
        <w:jc w:val="left"/>
        <w:rPr>
          <w:rFonts w:hint="eastAsia" w:ascii="仿宋" w:hAnsi="仿宋" w:eastAsia="仿宋" w:cs="仿宋"/>
          <w:spacing w:val="4"/>
          <w:sz w:val="28"/>
          <w:szCs w:val="28"/>
        </w:rPr>
      </w:pPr>
      <w:r>
        <w:rPr>
          <w:rFonts w:hint="eastAsia" w:ascii="仿宋" w:hAnsi="仿宋" w:eastAsia="仿宋" w:cs="仿宋"/>
          <w:spacing w:val="4"/>
          <w:sz w:val="28"/>
          <w:szCs w:val="28"/>
          <w:lang w:val="en-US" w:eastAsia="zh-CN"/>
        </w:rPr>
        <w:t>1</w:t>
      </w:r>
      <w:r>
        <w:rPr>
          <w:rFonts w:hint="eastAsia" w:ascii="仿宋" w:hAnsi="仿宋" w:eastAsia="仿宋" w:cs="仿宋"/>
          <w:spacing w:val="4"/>
          <w:sz w:val="28"/>
          <w:szCs w:val="28"/>
        </w:rPr>
        <w:t>、督促生产企业和经营企业提高质量意识和质量管理水平，从而有效提高企业产品质量水平，为广大消费者提供放心满意的产品。进一步规范企业的经营行为，确保其商业活动符合法律、法规和规章的要求。</w:t>
      </w:r>
    </w:p>
    <w:p>
      <w:pPr>
        <w:spacing w:line="360" w:lineRule="auto"/>
        <w:ind w:firstLine="576" w:firstLineChars="200"/>
        <w:jc w:val="left"/>
        <w:rPr>
          <w:rFonts w:hint="eastAsia" w:ascii="仿宋" w:hAnsi="仿宋" w:eastAsia="仿宋" w:cs="仿宋"/>
          <w:spacing w:val="4"/>
          <w:sz w:val="28"/>
          <w:szCs w:val="28"/>
        </w:rPr>
      </w:pPr>
      <w:r>
        <w:rPr>
          <w:rFonts w:hint="eastAsia" w:ascii="仿宋" w:hAnsi="仿宋" w:eastAsia="仿宋" w:cs="仿宋"/>
          <w:spacing w:val="4"/>
          <w:sz w:val="28"/>
          <w:szCs w:val="28"/>
          <w:lang w:val="en-US" w:eastAsia="zh-CN"/>
        </w:rPr>
        <w:t>2</w:t>
      </w:r>
      <w:r>
        <w:rPr>
          <w:rFonts w:hint="eastAsia" w:ascii="仿宋" w:hAnsi="仿宋" w:eastAsia="仿宋" w:cs="仿宋"/>
          <w:spacing w:val="4"/>
          <w:sz w:val="28"/>
          <w:szCs w:val="28"/>
        </w:rPr>
        <w:t>、加强对企业的政策引导。一方面加强对行业大中型企业引导、不断加强大中型企业的研发能力和引进消化吸收能力，不断通过自主创新、技术引进、技术改造提升企业的技术与装备水平。</w:t>
      </w:r>
    </w:p>
    <w:p>
      <w:pPr>
        <w:pStyle w:val="9"/>
        <w:ind w:firstLine="576" w:firstLineChars="200"/>
        <w:rPr>
          <w:rFonts w:hint="eastAsia" w:ascii="仿宋_GB2312" w:hAnsi="宋体" w:eastAsia="仿宋_GB2312"/>
          <w:spacing w:val="4"/>
          <w:sz w:val="28"/>
          <w:szCs w:val="28"/>
          <w:lang w:val="en-US" w:eastAsia="zh-CN"/>
        </w:rPr>
      </w:pPr>
      <w:r>
        <w:rPr>
          <w:rFonts w:hint="eastAsia" w:ascii="仿宋_GB2312" w:hAnsi="宋体" w:eastAsia="仿宋_GB2312"/>
          <w:spacing w:val="4"/>
          <w:sz w:val="28"/>
          <w:szCs w:val="28"/>
          <w:lang w:val="en-US" w:eastAsia="zh-CN"/>
        </w:rPr>
        <w:t>3、政府监管部门应对企业落实产品质量主体责任的情况采取有效措施，加强监管，消费者对价格低，缺乏质量保障的产品要谨慎购买，避免不必要的损失。</w:t>
      </w:r>
    </w:p>
    <w:p>
      <w:pPr>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p>
    <w:p>
      <w:pPr>
        <w:pStyle w:val="2"/>
        <w:rPr>
          <w:rFonts w:hint="eastAsia" w:ascii="仿宋_GB2312" w:hAnsi="宋体" w:eastAsia="仿宋_GB2312"/>
          <w:spacing w:val="4"/>
          <w:sz w:val="28"/>
          <w:szCs w:val="28"/>
          <w:lang w:val="en-US" w:eastAsia="zh-CN"/>
        </w:rPr>
      </w:pPr>
      <w:bookmarkStart w:id="2" w:name="_GoBack"/>
      <w:bookmarkEnd w:id="2"/>
    </w:p>
    <w:p>
      <w:pPr>
        <w:pStyle w:val="27"/>
        <w:spacing w:line="360" w:lineRule="auto"/>
        <w:ind w:firstLine="4498" w:firstLineChars="1600"/>
        <w:jc w:val="both"/>
        <w:rPr>
          <w:rFonts w:ascii="仿宋" w:hAnsi="仿宋" w:eastAsia="仿宋"/>
          <w:b/>
          <w:sz w:val="28"/>
          <w:szCs w:val="28"/>
        </w:rPr>
      </w:pPr>
      <w:r>
        <w:rPr>
          <w:rFonts w:hint="eastAsia" w:ascii="仿宋" w:hAnsi="仿宋" w:eastAsia="仿宋"/>
          <w:b/>
          <w:sz w:val="28"/>
          <w:szCs w:val="28"/>
        </w:rPr>
        <w:t>山东腾翔产品质量检测有限公司</w:t>
      </w:r>
    </w:p>
    <w:p>
      <w:pPr>
        <w:pStyle w:val="27"/>
        <w:spacing w:line="360" w:lineRule="auto"/>
        <w:ind w:firstLine="0" w:firstLineChars="0"/>
        <w:jc w:val="right"/>
        <w:rPr>
          <w:rFonts w:hint="eastAsia" w:ascii="仿宋" w:hAnsi="仿宋" w:eastAsia="仿宋"/>
          <w:b/>
          <w:sz w:val="28"/>
          <w:szCs w:val="28"/>
          <w:lang w:val="en-US" w:eastAsia="zh-CN"/>
        </w:rPr>
        <w:sectPr>
          <w:footerReference r:id="rId5" w:type="first"/>
          <w:headerReference r:id="rId3" w:type="default"/>
          <w:footerReference r:id="rId4" w:type="default"/>
          <w:pgSz w:w="11906" w:h="16838"/>
          <w:pgMar w:top="1134" w:right="1701" w:bottom="1134" w:left="1701" w:header="567" w:footer="850" w:gutter="0"/>
          <w:pgNumType w:start="0"/>
          <w:cols w:space="425" w:num="1"/>
          <w:titlePg/>
          <w:docGrid w:type="lines" w:linePitch="312" w:charSpace="0"/>
        </w:sectPr>
      </w:pPr>
      <w:r>
        <w:rPr>
          <w:rFonts w:hint="eastAsia" w:ascii="仿宋" w:hAnsi="仿宋" w:eastAsia="仿宋"/>
          <w:b/>
          <w:sz w:val="28"/>
          <w:szCs w:val="28"/>
        </w:rPr>
        <w:t xml:space="preserve">                   20</w:t>
      </w:r>
      <w:r>
        <w:rPr>
          <w:rFonts w:ascii="仿宋" w:hAnsi="仿宋" w:eastAsia="仿宋"/>
          <w:b/>
          <w:sz w:val="28"/>
          <w:szCs w:val="28"/>
        </w:rPr>
        <w:t>2</w:t>
      </w:r>
      <w:r>
        <w:rPr>
          <w:rFonts w:hint="eastAsia" w:ascii="仿宋" w:hAnsi="仿宋" w:eastAsia="仿宋"/>
          <w:b/>
          <w:sz w:val="28"/>
          <w:szCs w:val="28"/>
          <w:lang w:val="en-US" w:eastAsia="zh-CN"/>
        </w:rPr>
        <w:t>2</w:t>
      </w:r>
      <w:r>
        <w:rPr>
          <w:rFonts w:hint="eastAsia" w:ascii="仿宋" w:hAnsi="仿宋" w:eastAsia="仿宋"/>
          <w:b/>
          <w:sz w:val="28"/>
          <w:szCs w:val="28"/>
        </w:rPr>
        <w:t>年</w:t>
      </w:r>
      <w:r>
        <w:rPr>
          <w:rFonts w:hint="eastAsia" w:ascii="仿宋" w:hAnsi="仿宋" w:eastAsia="仿宋"/>
          <w:b/>
          <w:sz w:val="28"/>
          <w:szCs w:val="28"/>
          <w:lang w:val="en-US" w:eastAsia="zh-CN"/>
        </w:rPr>
        <w:t>10</w:t>
      </w:r>
      <w:r>
        <w:rPr>
          <w:rFonts w:hint="eastAsia" w:ascii="仿宋" w:hAnsi="仿宋" w:eastAsia="仿宋"/>
          <w:b/>
          <w:sz w:val="28"/>
          <w:szCs w:val="28"/>
        </w:rPr>
        <w:t>月</w:t>
      </w:r>
      <w:r>
        <w:rPr>
          <w:rFonts w:hint="eastAsia" w:ascii="仿宋" w:hAnsi="仿宋" w:eastAsia="仿宋"/>
          <w:b/>
          <w:sz w:val="28"/>
          <w:szCs w:val="28"/>
          <w:lang w:val="en-US" w:eastAsia="zh-CN"/>
        </w:rPr>
        <w:t>12日</w:t>
      </w:r>
    </w:p>
    <w:tbl>
      <w:tblPr>
        <w:tblStyle w:val="11"/>
        <w:tblW w:w="9405"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1560"/>
        <w:gridCol w:w="1710"/>
        <w:gridCol w:w="1080"/>
        <w:gridCol w:w="2895"/>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405" w:type="dxa"/>
            <w:gridSpan w:val="6"/>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南昌市市场监督管理局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样品编号</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样品名称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标称商标</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受检单位</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20220810062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花魁盛世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官渡烟花</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进贤县鸿豪花炮销售有限公司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20220810081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金满地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金利</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安义县熊市日杂经营部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20220810083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光明特红炮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安义县梅芳烟花爆竹店</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20220810085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福林闪光炮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福林</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南昌县新坊春红烟花爆竹店</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20220810086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财富花</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中洲烟花</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南昌县新坊春红烟花爆竹店</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bl>
    <w:p>
      <w:pPr>
        <w:spacing w:line="480" w:lineRule="auto"/>
        <w:rPr>
          <w:rFonts w:asciiTheme="minorEastAsia" w:hAnsiTheme="minorEastAsia"/>
          <w:sz w:val="30"/>
          <w:szCs w:val="30"/>
        </w:rPr>
      </w:pPr>
    </w:p>
    <w:sectPr>
      <w:pgSz w:w="11906" w:h="16838"/>
      <w:pgMar w:top="1134" w:right="1701" w:bottom="1134" w:left="1701" w:header="567"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9604965"/>
    </w:sdtPr>
    <w:sdtEndPr>
      <w:rPr>
        <w:rFonts w:ascii="Times New Roman" w:hAnsi="Times New Roman" w:cs="Times New Roman"/>
        <w:sz w:val="20"/>
      </w:rPr>
    </w:sdtEndPr>
    <w:sdtContent>
      <w:p>
        <w:pPr>
          <w:pStyle w:val="7"/>
          <w:jc w:val="center"/>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PAGE   \* MERGEFORMAT</w:instrText>
        </w:r>
        <w:r>
          <w:rPr>
            <w:rFonts w:ascii="Times New Roman" w:hAnsi="Times New Roman" w:cs="Times New Roman"/>
            <w:sz w:val="20"/>
          </w:rPr>
          <w:fldChar w:fldCharType="separate"/>
        </w:r>
        <w:r>
          <w:rPr>
            <w:rFonts w:ascii="Times New Roman" w:hAnsi="Times New Roman" w:cs="Times New Roman"/>
            <w:sz w:val="20"/>
            <w:lang w:val="zh-CN"/>
          </w:rPr>
          <w:t>1</w:t>
        </w:r>
        <w:r>
          <w:rPr>
            <w:rFonts w:ascii="Times New Roman" w:hAnsi="Times New Roman" w:cs="Times New Roman"/>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imes New Roman" w:hAnsi="Times New Roman" w:cs="Times New Roman"/>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240" w:lineRule="atLeast"/>
      <w:jc w:val="right"/>
      <w:rPr>
        <w:color w:val="000000" w:themeColor="text1"/>
        <w14:textFill>
          <w14:solidFill>
            <w14:schemeClr w14:val="tx1"/>
          </w14:solidFill>
        </w14:textFill>
      </w:rPr>
    </w:pPr>
    <w:r>
      <w:rPr>
        <w:rFonts w:hint="eastAsia"/>
        <w:b/>
      </w:rPr>
      <w:t xml:space="preserve">   </w:t>
    </w:r>
    <w:r>
      <w:rPr>
        <w:rFonts w:hint="eastAsia"/>
        <w:color w:val="000000" w:themeColor="text1"/>
        <w14:textFill>
          <w14:solidFill>
            <w14:schemeClr w14:val="tx1"/>
          </w14:solidFill>
        </w14:textFill>
      </w:rPr>
      <w:t xml:space="preserve"> 山东腾翔产品质量检测有限公司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jkxYjdlMjI4NjE2NDAzNGIxODQ2YTRhODE4MzIifQ=="/>
  </w:docVars>
  <w:rsids>
    <w:rsidRoot w:val="00377BE8"/>
    <w:rsid w:val="000056AE"/>
    <w:rsid w:val="000156AD"/>
    <w:rsid w:val="00021311"/>
    <w:rsid w:val="00021D09"/>
    <w:rsid w:val="00024F47"/>
    <w:rsid w:val="00030957"/>
    <w:rsid w:val="000359F1"/>
    <w:rsid w:val="00037338"/>
    <w:rsid w:val="000378B3"/>
    <w:rsid w:val="00051710"/>
    <w:rsid w:val="00052412"/>
    <w:rsid w:val="00060A30"/>
    <w:rsid w:val="0007651B"/>
    <w:rsid w:val="00097478"/>
    <w:rsid w:val="00097888"/>
    <w:rsid w:val="00097A25"/>
    <w:rsid w:val="000C258F"/>
    <w:rsid w:val="000C4460"/>
    <w:rsid w:val="000D788D"/>
    <w:rsid w:val="000D7C10"/>
    <w:rsid w:val="000E0891"/>
    <w:rsid w:val="000E672D"/>
    <w:rsid w:val="000F275C"/>
    <w:rsid w:val="000F7473"/>
    <w:rsid w:val="0010179F"/>
    <w:rsid w:val="00112F5E"/>
    <w:rsid w:val="001230D9"/>
    <w:rsid w:val="00130A0A"/>
    <w:rsid w:val="00130F14"/>
    <w:rsid w:val="001351CC"/>
    <w:rsid w:val="0013682F"/>
    <w:rsid w:val="00136899"/>
    <w:rsid w:val="00145506"/>
    <w:rsid w:val="001503FF"/>
    <w:rsid w:val="00154693"/>
    <w:rsid w:val="00157C39"/>
    <w:rsid w:val="0016466D"/>
    <w:rsid w:val="00171597"/>
    <w:rsid w:val="0017334A"/>
    <w:rsid w:val="00186D2B"/>
    <w:rsid w:val="001A3073"/>
    <w:rsid w:val="001C11CE"/>
    <w:rsid w:val="001C227A"/>
    <w:rsid w:val="001C6D2D"/>
    <w:rsid w:val="001D06F6"/>
    <w:rsid w:val="001D3599"/>
    <w:rsid w:val="001E1B1B"/>
    <w:rsid w:val="001E6BAD"/>
    <w:rsid w:val="001E7433"/>
    <w:rsid w:val="001F01CA"/>
    <w:rsid w:val="001F50EC"/>
    <w:rsid w:val="001F64C9"/>
    <w:rsid w:val="002035E1"/>
    <w:rsid w:val="00203DC7"/>
    <w:rsid w:val="0021272C"/>
    <w:rsid w:val="00214C00"/>
    <w:rsid w:val="00216273"/>
    <w:rsid w:val="00217964"/>
    <w:rsid w:val="00227DD2"/>
    <w:rsid w:val="0025501C"/>
    <w:rsid w:val="00256DE3"/>
    <w:rsid w:val="00257FDD"/>
    <w:rsid w:val="0027094A"/>
    <w:rsid w:val="00271AD8"/>
    <w:rsid w:val="0027433E"/>
    <w:rsid w:val="002A6095"/>
    <w:rsid w:val="002A72BB"/>
    <w:rsid w:val="002C0229"/>
    <w:rsid w:val="002C4D99"/>
    <w:rsid w:val="002C73DD"/>
    <w:rsid w:val="002D5448"/>
    <w:rsid w:val="002E65C0"/>
    <w:rsid w:val="002F02F6"/>
    <w:rsid w:val="002F1CC2"/>
    <w:rsid w:val="002F40C4"/>
    <w:rsid w:val="00300C15"/>
    <w:rsid w:val="00306858"/>
    <w:rsid w:val="00312C16"/>
    <w:rsid w:val="003152D5"/>
    <w:rsid w:val="00325B1D"/>
    <w:rsid w:val="00332DFE"/>
    <w:rsid w:val="003462E4"/>
    <w:rsid w:val="003472E1"/>
    <w:rsid w:val="00350161"/>
    <w:rsid w:val="0037252D"/>
    <w:rsid w:val="00375475"/>
    <w:rsid w:val="00377BE8"/>
    <w:rsid w:val="0038262A"/>
    <w:rsid w:val="00382E9F"/>
    <w:rsid w:val="00386970"/>
    <w:rsid w:val="003906CE"/>
    <w:rsid w:val="00392E2D"/>
    <w:rsid w:val="00396F4F"/>
    <w:rsid w:val="003A28AF"/>
    <w:rsid w:val="003A3BE9"/>
    <w:rsid w:val="003A404F"/>
    <w:rsid w:val="003A5C91"/>
    <w:rsid w:val="003B42ED"/>
    <w:rsid w:val="003B686B"/>
    <w:rsid w:val="003C06D2"/>
    <w:rsid w:val="003C1E8D"/>
    <w:rsid w:val="003C6074"/>
    <w:rsid w:val="003C616A"/>
    <w:rsid w:val="003D166F"/>
    <w:rsid w:val="003E25F9"/>
    <w:rsid w:val="0040383F"/>
    <w:rsid w:val="00404694"/>
    <w:rsid w:val="00405259"/>
    <w:rsid w:val="00406F70"/>
    <w:rsid w:val="004072EC"/>
    <w:rsid w:val="00411F6C"/>
    <w:rsid w:val="00435C01"/>
    <w:rsid w:val="004366E6"/>
    <w:rsid w:val="00445623"/>
    <w:rsid w:val="004456A5"/>
    <w:rsid w:val="004459B9"/>
    <w:rsid w:val="00450855"/>
    <w:rsid w:val="00451D68"/>
    <w:rsid w:val="00452B51"/>
    <w:rsid w:val="00452E1B"/>
    <w:rsid w:val="0046095D"/>
    <w:rsid w:val="00463847"/>
    <w:rsid w:val="00482A6A"/>
    <w:rsid w:val="0048477B"/>
    <w:rsid w:val="004855DD"/>
    <w:rsid w:val="00491CBD"/>
    <w:rsid w:val="00493CB6"/>
    <w:rsid w:val="004A1754"/>
    <w:rsid w:val="004A50C5"/>
    <w:rsid w:val="004A5BB8"/>
    <w:rsid w:val="004A5D33"/>
    <w:rsid w:val="004A6C6E"/>
    <w:rsid w:val="004B63E1"/>
    <w:rsid w:val="004B6DB5"/>
    <w:rsid w:val="004C480F"/>
    <w:rsid w:val="004D33C9"/>
    <w:rsid w:val="004D6245"/>
    <w:rsid w:val="004E1EA8"/>
    <w:rsid w:val="004F17AB"/>
    <w:rsid w:val="004F2327"/>
    <w:rsid w:val="005018E5"/>
    <w:rsid w:val="00507606"/>
    <w:rsid w:val="00514B97"/>
    <w:rsid w:val="00514F76"/>
    <w:rsid w:val="00516273"/>
    <w:rsid w:val="00537FAE"/>
    <w:rsid w:val="00547E60"/>
    <w:rsid w:val="00552A4F"/>
    <w:rsid w:val="00553472"/>
    <w:rsid w:val="00555232"/>
    <w:rsid w:val="00555810"/>
    <w:rsid w:val="005577C2"/>
    <w:rsid w:val="005601E4"/>
    <w:rsid w:val="00561D4A"/>
    <w:rsid w:val="00564F50"/>
    <w:rsid w:val="00587121"/>
    <w:rsid w:val="00590433"/>
    <w:rsid w:val="005A20FB"/>
    <w:rsid w:val="005A5028"/>
    <w:rsid w:val="005B1086"/>
    <w:rsid w:val="005B6532"/>
    <w:rsid w:val="005B754A"/>
    <w:rsid w:val="005D6BB5"/>
    <w:rsid w:val="005D7690"/>
    <w:rsid w:val="005E0B76"/>
    <w:rsid w:val="005E44DA"/>
    <w:rsid w:val="00610A4C"/>
    <w:rsid w:val="00620F47"/>
    <w:rsid w:val="0062526B"/>
    <w:rsid w:val="00641AB8"/>
    <w:rsid w:val="00646665"/>
    <w:rsid w:val="006473EA"/>
    <w:rsid w:val="006610C9"/>
    <w:rsid w:val="00670018"/>
    <w:rsid w:val="00680101"/>
    <w:rsid w:val="00680834"/>
    <w:rsid w:val="00682906"/>
    <w:rsid w:val="00691027"/>
    <w:rsid w:val="006A2EC3"/>
    <w:rsid w:val="006A53F8"/>
    <w:rsid w:val="006B3C96"/>
    <w:rsid w:val="006C5006"/>
    <w:rsid w:val="006D020F"/>
    <w:rsid w:val="006D17EF"/>
    <w:rsid w:val="006D18D9"/>
    <w:rsid w:val="006E7C69"/>
    <w:rsid w:val="006F1E02"/>
    <w:rsid w:val="006F270B"/>
    <w:rsid w:val="006F2F15"/>
    <w:rsid w:val="00702F9E"/>
    <w:rsid w:val="0071246F"/>
    <w:rsid w:val="00713429"/>
    <w:rsid w:val="00715533"/>
    <w:rsid w:val="007210D9"/>
    <w:rsid w:val="007223F2"/>
    <w:rsid w:val="007244A6"/>
    <w:rsid w:val="0072490A"/>
    <w:rsid w:val="007269A2"/>
    <w:rsid w:val="007321FE"/>
    <w:rsid w:val="007355CD"/>
    <w:rsid w:val="00736734"/>
    <w:rsid w:val="00747F41"/>
    <w:rsid w:val="00750BF6"/>
    <w:rsid w:val="007512EF"/>
    <w:rsid w:val="007520F5"/>
    <w:rsid w:val="00760155"/>
    <w:rsid w:val="007622A9"/>
    <w:rsid w:val="00762533"/>
    <w:rsid w:val="00763935"/>
    <w:rsid w:val="00771E13"/>
    <w:rsid w:val="00771F56"/>
    <w:rsid w:val="00773558"/>
    <w:rsid w:val="007767E3"/>
    <w:rsid w:val="00781355"/>
    <w:rsid w:val="0078437D"/>
    <w:rsid w:val="00787297"/>
    <w:rsid w:val="0079491A"/>
    <w:rsid w:val="007A1370"/>
    <w:rsid w:val="007A60D4"/>
    <w:rsid w:val="007B2DB8"/>
    <w:rsid w:val="007B626F"/>
    <w:rsid w:val="007C36B9"/>
    <w:rsid w:val="007C396A"/>
    <w:rsid w:val="007C701F"/>
    <w:rsid w:val="007D7CE3"/>
    <w:rsid w:val="007E5226"/>
    <w:rsid w:val="007F35E6"/>
    <w:rsid w:val="007F782B"/>
    <w:rsid w:val="008053D9"/>
    <w:rsid w:val="0081484E"/>
    <w:rsid w:val="00814D05"/>
    <w:rsid w:val="00825A83"/>
    <w:rsid w:val="0083361B"/>
    <w:rsid w:val="00840F73"/>
    <w:rsid w:val="008446CE"/>
    <w:rsid w:val="00844DE5"/>
    <w:rsid w:val="00851382"/>
    <w:rsid w:val="0085614D"/>
    <w:rsid w:val="008579FB"/>
    <w:rsid w:val="00857E01"/>
    <w:rsid w:val="008612D6"/>
    <w:rsid w:val="008651CD"/>
    <w:rsid w:val="00867594"/>
    <w:rsid w:val="008805C6"/>
    <w:rsid w:val="00884295"/>
    <w:rsid w:val="00885FF4"/>
    <w:rsid w:val="008966D8"/>
    <w:rsid w:val="00896810"/>
    <w:rsid w:val="008A42F8"/>
    <w:rsid w:val="008B1482"/>
    <w:rsid w:val="008B43EC"/>
    <w:rsid w:val="008B4FAC"/>
    <w:rsid w:val="008C400D"/>
    <w:rsid w:val="008D4701"/>
    <w:rsid w:val="008E3258"/>
    <w:rsid w:val="008E58D8"/>
    <w:rsid w:val="0090537D"/>
    <w:rsid w:val="00913613"/>
    <w:rsid w:val="00913936"/>
    <w:rsid w:val="00914CEA"/>
    <w:rsid w:val="00917A0C"/>
    <w:rsid w:val="0092467A"/>
    <w:rsid w:val="00924BD8"/>
    <w:rsid w:val="009315B1"/>
    <w:rsid w:val="00935919"/>
    <w:rsid w:val="00937DBE"/>
    <w:rsid w:val="00945C8B"/>
    <w:rsid w:val="009501D4"/>
    <w:rsid w:val="0095653E"/>
    <w:rsid w:val="0095714E"/>
    <w:rsid w:val="00961828"/>
    <w:rsid w:val="00966A4E"/>
    <w:rsid w:val="009715E7"/>
    <w:rsid w:val="009766A2"/>
    <w:rsid w:val="00981FAE"/>
    <w:rsid w:val="009848A5"/>
    <w:rsid w:val="00995D14"/>
    <w:rsid w:val="00995D93"/>
    <w:rsid w:val="00997CE8"/>
    <w:rsid w:val="009B1841"/>
    <w:rsid w:val="009B1D06"/>
    <w:rsid w:val="009B462A"/>
    <w:rsid w:val="009B6C90"/>
    <w:rsid w:val="009D3937"/>
    <w:rsid w:val="009D55FD"/>
    <w:rsid w:val="009D6646"/>
    <w:rsid w:val="009D6A99"/>
    <w:rsid w:val="009D7967"/>
    <w:rsid w:val="009E56A0"/>
    <w:rsid w:val="00A1023D"/>
    <w:rsid w:val="00A1297A"/>
    <w:rsid w:val="00A139EE"/>
    <w:rsid w:val="00A153DC"/>
    <w:rsid w:val="00A36348"/>
    <w:rsid w:val="00A413DB"/>
    <w:rsid w:val="00A43C83"/>
    <w:rsid w:val="00A473CA"/>
    <w:rsid w:val="00A4749D"/>
    <w:rsid w:val="00A5125A"/>
    <w:rsid w:val="00A51FCA"/>
    <w:rsid w:val="00A54079"/>
    <w:rsid w:val="00A54F4D"/>
    <w:rsid w:val="00A55A97"/>
    <w:rsid w:val="00A66B5B"/>
    <w:rsid w:val="00A723F1"/>
    <w:rsid w:val="00A7384C"/>
    <w:rsid w:val="00A87CCB"/>
    <w:rsid w:val="00A9626B"/>
    <w:rsid w:val="00AA3859"/>
    <w:rsid w:val="00AB2935"/>
    <w:rsid w:val="00AB42EA"/>
    <w:rsid w:val="00AB586D"/>
    <w:rsid w:val="00AC7963"/>
    <w:rsid w:val="00AD5953"/>
    <w:rsid w:val="00AE356A"/>
    <w:rsid w:val="00AE5B30"/>
    <w:rsid w:val="00AE6978"/>
    <w:rsid w:val="00AF484B"/>
    <w:rsid w:val="00B03709"/>
    <w:rsid w:val="00B122AA"/>
    <w:rsid w:val="00B13446"/>
    <w:rsid w:val="00B14254"/>
    <w:rsid w:val="00B22D2C"/>
    <w:rsid w:val="00B51F4A"/>
    <w:rsid w:val="00B53CAE"/>
    <w:rsid w:val="00B55EC0"/>
    <w:rsid w:val="00B568C7"/>
    <w:rsid w:val="00B66A7F"/>
    <w:rsid w:val="00B735EF"/>
    <w:rsid w:val="00B7469D"/>
    <w:rsid w:val="00B77EEE"/>
    <w:rsid w:val="00B90C71"/>
    <w:rsid w:val="00B9396D"/>
    <w:rsid w:val="00B94F51"/>
    <w:rsid w:val="00B95666"/>
    <w:rsid w:val="00BA52FB"/>
    <w:rsid w:val="00BB4C39"/>
    <w:rsid w:val="00BC22FB"/>
    <w:rsid w:val="00BC2677"/>
    <w:rsid w:val="00BC506A"/>
    <w:rsid w:val="00BD2D86"/>
    <w:rsid w:val="00BD4A31"/>
    <w:rsid w:val="00BE1AEE"/>
    <w:rsid w:val="00BE2229"/>
    <w:rsid w:val="00BF0D78"/>
    <w:rsid w:val="00BF1C84"/>
    <w:rsid w:val="00BF5FED"/>
    <w:rsid w:val="00C043F9"/>
    <w:rsid w:val="00C04D7F"/>
    <w:rsid w:val="00C15906"/>
    <w:rsid w:val="00C263FA"/>
    <w:rsid w:val="00C27042"/>
    <w:rsid w:val="00C32E75"/>
    <w:rsid w:val="00C43FC4"/>
    <w:rsid w:val="00C4559E"/>
    <w:rsid w:val="00C564C9"/>
    <w:rsid w:val="00C63294"/>
    <w:rsid w:val="00C74767"/>
    <w:rsid w:val="00C758C2"/>
    <w:rsid w:val="00C775DA"/>
    <w:rsid w:val="00C8305E"/>
    <w:rsid w:val="00C87ADC"/>
    <w:rsid w:val="00C903F9"/>
    <w:rsid w:val="00C96AE1"/>
    <w:rsid w:val="00CB05F5"/>
    <w:rsid w:val="00CB2CCE"/>
    <w:rsid w:val="00CB3AD0"/>
    <w:rsid w:val="00CD4650"/>
    <w:rsid w:val="00CD77DC"/>
    <w:rsid w:val="00CE0899"/>
    <w:rsid w:val="00CE43FB"/>
    <w:rsid w:val="00CE575D"/>
    <w:rsid w:val="00CF666F"/>
    <w:rsid w:val="00D272AB"/>
    <w:rsid w:val="00D36AFE"/>
    <w:rsid w:val="00D4071A"/>
    <w:rsid w:val="00D415E6"/>
    <w:rsid w:val="00D41B12"/>
    <w:rsid w:val="00D44E94"/>
    <w:rsid w:val="00D82FFB"/>
    <w:rsid w:val="00D86A80"/>
    <w:rsid w:val="00D96D3A"/>
    <w:rsid w:val="00D9766A"/>
    <w:rsid w:val="00DA3B4C"/>
    <w:rsid w:val="00DA4417"/>
    <w:rsid w:val="00DA5C20"/>
    <w:rsid w:val="00DB4DB6"/>
    <w:rsid w:val="00DC078A"/>
    <w:rsid w:val="00DC2E1A"/>
    <w:rsid w:val="00DC63D5"/>
    <w:rsid w:val="00DD441A"/>
    <w:rsid w:val="00DD5B67"/>
    <w:rsid w:val="00DD6C27"/>
    <w:rsid w:val="00DE7F01"/>
    <w:rsid w:val="00DF3C9F"/>
    <w:rsid w:val="00E1676E"/>
    <w:rsid w:val="00E172AD"/>
    <w:rsid w:val="00E1764D"/>
    <w:rsid w:val="00E35273"/>
    <w:rsid w:val="00E43272"/>
    <w:rsid w:val="00E529A4"/>
    <w:rsid w:val="00E53A32"/>
    <w:rsid w:val="00E54CC2"/>
    <w:rsid w:val="00E623C5"/>
    <w:rsid w:val="00E93AD0"/>
    <w:rsid w:val="00EB531C"/>
    <w:rsid w:val="00EB5942"/>
    <w:rsid w:val="00EB597F"/>
    <w:rsid w:val="00EC4770"/>
    <w:rsid w:val="00ED16E0"/>
    <w:rsid w:val="00ED7219"/>
    <w:rsid w:val="00EE0165"/>
    <w:rsid w:val="00EE58D8"/>
    <w:rsid w:val="00EF2DCD"/>
    <w:rsid w:val="00EF724A"/>
    <w:rsid w:val="00F01911"/>
    <w:rsid w:val="00F027B3"/>
    <w:rsid w:val="00F048BA"/>
    <w:rsid w:val="00F05E56"/>
    <w:rsid w:val="00F17D39"/>
    <w:rsid w:val="00F24261"/>
    <w:rsid w:val="00F362ED"/>
    <w:rsid w:val="00F57857"/>
    <w:rsid w:val="00F65514"/>
    <w:rsid w:val="00F763A3"/>
    <w:rsid w:val="00F84EF2"/>
    <w:rsid w:val="00F93A1E"/>
    <w:rsid w:val="00F9449B"/>
    <w:rsid w:val="00F958FE"/>
    <w:rsid w:val="00FA080B"/>
    <w:rsid w:val="00FA1B13"/>
    <w:rsid w:val="00FB29F6"/>
    <w:rsid w:val="00FB2E9C"/>
    <w:rsid w:val="00FB3145"/>
    <w:rsid w:val="00FB5280"/>
    <w:rsid w:val="00FC0808"/>
    <w:rsid w:val="00FC0C03"/>
    <w:rsid w:val="00FD0957"/>
    <w:rsid w:val="00FD1297"/>
    <w:rsid w:val="00FD30DE"/>
    <w:rsid w:val="00FD35EF"/>
    <w:rsid w:val="00FE1DF3"/>
    <w:rsid w:val="00FE22C0"/>
    <w:rsid w:val="026E0171"/>
    <w:rsid w:val="0352559F"/>
    <w:rsid w:val="0402286F"/>
    <w:rsid w:val="045263AE"/>
    <w:rsid w:val="04CA77B6"/>
    <w:rsid w:val="04FE6188"/>
    <w:rsid w:val="07C23947"/>
    <w:rsid w:val="07DA42C7"/>
    <w:rsid w:val="085D1049"/>
    <w:rsid w:val="08E866EB"/>
    <w:rsid w:val="0B727430"/>
    <w:rsid w:val="0B7C4561"/>
    <w:rsid w:val="10275BE3"/>
    <w:rsid w:val="1045530E"/>
    <w:rsid w:val="1158070A"/>
    <w:rsid w:val="12203F8F"/>
    <w:rsid w:val="12AF0F2B"/>
    <w:rsid w:val="13996A8C"/>
    <w:rsid w:val="14C73E1C"/>
    <w:rsid w:val="15B15B80"/>
    <w:rsid w:val="164439EC"/>
    <w:rsid w:val="16D47E18"/>
    <w:rsid w:val="18B90CFF"/>
    <w:rsid w:val="1BB21F6E"/>
    <w:rsid w:val="1CBB6B50"/>
    <w:rsid w:val="1D047E0D"/>
    <w:rsid w:val="1D5C507C"/>
    <w:rsid w:val="1ED13455"/>
    <w:rsid w:val="1FD3695E"/>
    <w:rsid w:val="1FF70C2C"/>
    <w:rsid w:val="21356142"/>
    <w:rsid w:val="21531D87"/>
    <w:rsid w:val="217A4732"/>
    <w:rsid w:val="234C2DAD"/>
    <w:rsid w:val="23770136"/>
    <w:rsid w:val="24177C06"/>
    <w:rsid w:val="245328E0"/>
    <w:rsid w:val="26125975"/>
    <w:rsid w:val="2D275D82"/>
    <w:rsid w:val="2F08296F"/>
    <w:rsid w:val="2FB17C36"/>
    <w:rsid w:val="30711A91"/>
    <w:rsid w:val="309C26A0"/>
    <w:rsid w:val="311717F1"/>
    <w:rsid w:val="32F00034"/>
    <w:rsid w:val="34C53B82"/>
    <w:rsid w:val="373A5E08"/>
    <w:rsid w:val="377E07CB"/>
    <w:rsid w:val="37851916"/>
    <w:rsid w:val="38E818F2"/>
    <w:rsid w:val="392653E4"/>
    <w:rsid w:val="398E2332"/>
    <w:rsid w:val="39C36FD4"/>
    <w:rsid w:val="39C77388"/>
    <w:rsid w:val="39DD6971"/>
    <w:rsid w:val="3AA543A0"/>
    <w:rsid w:val="3B6304EC"/>
    <w:rsid w:val="3CDE455E"/>
    <w:rsid w:val="3D8B6634"/>
    <w:rsid w:val="3F366A97"/>
    <w:rsid w:val="3F565DAC"/>
    <w:rsid w:val="3FA316DC"/>
    <w:rsid w:val="40EE062D"/>
    <w:rsid w:val="43495F9C"/>
    <w:rsid w:val="460C649A"/>
    <w:rsid w:val="47C80303"/>
    <w:rsid w:val="48E6349B"/>
    <w:rsid w:val="48F57FB3"/>
    <w:rsid w:val="49015918"/>
    <w:rsid w:val="492A259C"/>
    <w:rsid w:val="49D4781F"/>
    <w:rsid w:val="4CCB5239"/>
    <w:rsid w:val="4F7C777B"/>
    <w:rsid w:val="5044100E"/>
    <w:rsid w:val="56826696"/>
    <w:rsid w:val="58243F69"/>
    <w:rsid w:val="59EE4613"/>
    <w:rsid w:val="5A4E3394"/>
    <w:rsid w:val="5A595E20"/>
    <w:rsid w:val="5A945FE1"/>
    <w:rsid w:val="5C0E7F8D"/>
    <w:rsid w:val="5DC95A84"/>
    <w:rsid w:val="5E9F0C8F"/>
    <w:rsid w:val="5EA01D9D"/>
    <w:rsid w:val="5F4B270A"/>
    <w:rsid w:val="61705682"/>
    <w:rsid w:val="63004BD0"/>
    <w:rsid w:val="656D674B"/>
    <w:rsid w:val="658314CB"/>
    <w:rsid w:val="65B55790"/>
    <w:rsid w:val="66842D71"/>
    <w:rsid w:val="66AF65DA"/>
    <w:rsid w:val="67E320B6"/>
    <w:rsid w:val="68ED2D4F"/>
    <w:rsid w:val="69A2662D"/>
    <w:rsid w:val="69D519B4"/>
    <w:rsid w:val="6B8D6867"/>
    <w:rsid w:val="6D983628"/>
    <w:rsid w:val="6DDE4723"/>
    <w:rsid w:val="6F8454D6"/>
    <w:rsid w:val="6F9C66A6"/>
    <w:rsid w:val="70A36645"/>
    <w:rsid w:val="72A33D26"/>
    <w:rsid w:val="73980B9B"/>
    <w:rsid w:val="743A15DE"/>
    <w:rsid w:val="745D4C60"/>
    <w:rsid w:val="757F3BE3"/>
    <w:rsid w:val="75E06877"/>
    <w:rsid w:val="766C18F8"/>
    <w:rsid w:val="7A9B68AB"/>
    <w:rsid w:val="7DF6407D"/>
    <w:rsid w:val="7EA8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1">
    <w:name w:val="Default Paragraph Font"/>
    <w:unhideWhenUsed/>
    <w:uiPriority w:val="1"/>
  </w:style>
  <w:style w:type="table" w:default="1" w:styleId="11">
    <w:name w:val="Normal Table"/>
    <w:unhideWhenUsed/>
    <w:uiPriority w:val="99"/>
    <w:tblPr>
      <w:tblCellMar>
        <w:top w:w="0" w:type="dxa"/>
        <w:left w:w="108" w:type="dxa"/>
        <w:bottom w:w="0" w:type="dxa"/>
        <w:right w:w="108" w:type="dxa"/>
      </w:tblCellMar>
    </w:tblPr>
  </w:style>
  <w:style w:type="paragraph" w:customStyle="1" w:styleId="2">
    <w:name w:val="正文格式"/>
    <w:basedOn w:val="3"/>
    <w:qFormat/>
    <w:uiPriority w:val="0"/>
    <w:pPr>
      <w:widowControl/>
      <w:adjustRightInd w:val="0"/>
      <w:snapToGrid w:val="0"/>
      <w:spacing w:line="400" w:lineRule="atLeast"/>
      <w:ind w:firstLine="482"/>
      <w:textAlignment w:val="baseline"/>
    </w:pPr>
    <w:rPr>
      <w:rFonts w:ascii="Times New Roman" w:hAnsi="Times New Roman" w:eastAsia="宋体" w:cs="Times New Roman"/>
      <w:kern w:val="0"/>
      <w:sz w:val="24"/>
    </w:rPr>
  </w:style>
  <w:style w:type="paragraph" w:styleId="3">
    <w:name w:val="Body Text"/>
    <w:basedOn w:val="1"/>
    <w:next w:val="1"/>
    <w:unhideWhenUsed/>
    <w:qFormat/>
    <w:uiPriority w:val="0"/>
    <w:pPr>
      <w:spacing w:after="120"/>
    </w:pPr>
    <w:rPr>
      <w:rFonts w:ascii="Calibri" w:hAnsi="Calibri"/>
      <w:szCs w:val="22"/>
    </w:rPr>
  </w:style>
  <w:style w:type="paragraph" w:styleId="4">
    <w:name w:val="annotation text"/>
    <w:basedOn w:val="1"/>
    <w:link w:val="36"/>
    <w:unhideWhenUsed/>
    <w:qFormat/>
    <w:uiPriority w:val="99"/>
    <w:pPr>
      <w:jc w:val="left"/>
    </w:pPr>
  </w:style>
  <w:style w:type="paragraph" w:styleId="5">
    <w:name w:val="Date"/>
    <w:basedOn w:val="1"/>
    <w:next w:val="1"/>
    <w:link w:val="34"/>
    <w:unhideWhenUsed/>
    <w:qFormat/>
    <w:uiPriority w:val="99"/>
    <w:pPr>
      <w:ind w:left="100" w:leftChars="2500"/>
    </w:pPr>
  </w:style>
  <w:style w:type="paragraph" w:styleId="6">
    <w:name w:val="Balloon Text"/>
    <w:basedOn w:val="1"/>
    <w:link w:val="28"/>
    <w:unhideWhenUsed/>
    <w:qFormat/>
    <w:uiPriority w:val="99"/>
    <w:rPr>
      <w:sz w:val="18"/>
      <w:szCs w:val="18"/>
    </w:rPr>
  </w:style>
  <w:style w:type="paragraph" w:styleId="7">
    <w:name w:val="footer"/>
    <w:basedOn w:val="1"/>
    <w:link w:val="26"/>
    <w:unhideWhenUsed/>
    <w:qFormat/>
    <w:uiPriority w:val="99"/>
    <w:pPr>
      <w:tabs>
        <w:tab w:val="center" w:pos="4153"/>
        <w:tab w:val="right" w:pos="8306"/>
      </w:tabs>
      <w:snapToGrid w:val="0"/>
      <w:jc w:val="left"/>
    </w:pPr>
    <w:rPr>
      <w:sz w:val="18"/>
      <w:szCs w:val="18"/>
    </w:rPr>
  </w:style>
  <w:style w:type="paragraph" w:styleId="8">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semiHidden/>
    <w:unhideWhenUsed/>
    <w:qFormat/>
    <w:uiPriority w:val="39"/>
  </w:style>
  <w:style w:type="paragraph" w:styleId="10">
    <w:name w:val="annotation subject"/>
    <w:basedOn w:val="4"/>
    <w:next w:val="4"/>
    <w:link w:val="37"/>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13">
    <w:name w:val="Light Shading Accent 4"/>
    <w:basedOn w:val="11"/>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4">
    <w:name w:val="Light Shading Accent 5"/>
    <w:basedOn w:val="11"/>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15">
    <w:name w:val="Light List Accent 5"/>
    <w:basedOn w:val="11"/>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6">
    <w:name w:val="Light Grid Accent 6"/>
    <w:basedOn w:val="11"/>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7">
    <w:name w:val="Medium Shading 1 Accent 3"/>
    <w:basedOn w:val="11"/>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8">
    <w:name w:val="Medium Grid 1 Accent 5"/>
    <w:basedOn w:val="11"/>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9">
    <w:name w:val="Medium Grid 3 Accent 5"/>
    <w:basedOn w:val="11"/>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20">
    <w:name w:val="Colorful Grid Accent 5"/>
    <w:basedOn w:val="11"/>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22">
    <w:name w:val="FollowedHyperlink"/>
    <w:basedOn w:val="21"/>
    <w:unhideWhenUsed/>
    <w:qFormat/>
    <w:uiPriority w:val="99"/>
    <w:rPr>
      <w:color w:val="800080"/>
      <w:u w:val="single"/>
    </w:rPr>
  </w:style>
  <w:style w:type="character" w:styleId="23">
    <w:name w:val="Hyperlink"/>
    <w:basedOn w:val="21"/>
    <w:unhideWhenUsed/>
    <w:qFormat/>
    <w:uiPriority w:val="99"/>
    <w:rPr>
      <w:color w:val="0000FF"/>
      <w:u w:val="single"/>
    </w:rPr>
  </w:style>
  <w:style w:type="character" w:styleId="24">
    <w:name w:val="annotation reference"/>
    <w:basedOn w:val="21"/>
    <w:unhideWhenUsed/>
    <w:qFormat/>
    <w:uiPriority w:val="99"/>
    <w:rPr>
      <w:sz w:val="21"/>
      <w:szCs w:val="21"/>
    </w:rPr>
  </w:style>
  <w:style w:type="character" w:customStyle="1" w:styleId="25">
    <w:name w:val="页眉 字符"/>
    <w:basedOn w:val="21"/>
    <w:link w:val="8"/>
    <w:qFormat/>
    <w:uiPriority w:val="99"/>
    <w:rPr>
      <w:sz w:val="18"/>
      <w:szCs w:val="18"/>
    </w:rPr>
  </w:style>
  <w:style w:type="character" w:customStyle="1" w:styleId="26">
    <w:name w:val="页脚 字符"/>
    <w:basedOn w:val="21"/>
    <w:link w:val="7"/>
    <w:qFormat/>
    <w:uiPriority w:val="99"/>
    <w:rPr>
      <w:sz w:val="18"/>
      <w:szCs w:val="18"/>
    </w:rPr>
  </w:style>
  <w:style w:type="paragraph" w:customStyle="1" w:styleId="27">
    <w:name w:val="列出段落1"/>
    <w:basedOn w:val="1"/>
    <w:qFormat/>
    <w:uiPriority w:val="99"/>
    <w:pPr>
      <w:ind w:firstLine="420" w:firstLineChars="200"/>
    </w:pPr>
  </w:style>
  <w:style w:type="character" w:customStyle="1" w:styleId="28">
    <w:name w:val="批注框文本 字符"/>
    <w:basedOn w:val="21"/>
    <w:link w:val="6"/>
    <w:semiHidden/>
    <w:qFormat/>
    <w:uiPriority w:val="99"/>
    <w:rPr>
      <w:sz w:val="18"/>
      <w:szCs w:val="18"/>
    </w:rPr>
  </w:style>
  <w:style w:type="paragraph" w:customStyle="1" w:styleId="29">
    <w:name w:val="font5"/>
    <w:basedOn w:val="1"/>
    <w:qFormat/>
    <w:uiPriority w:val="0"/>
    <w:pPr>
      <w:widowControl/>
      <w:spacing w:before="100" w:beforeAutospacing="1" w:after="100" w:afterAutospacing="1"/>
      <w:jc w:val="left"/>
    </w:pPr>
    <w:rPr>
      <w:rFonts w:ascii="Arial" w:hAnsi="Arial" w:eastAsia="宋体" w:cs="Arial"/>
      <w:kern w:val="0"/>
      <w:sz w:val="16"/>
      <w:szCs w:val="16"/>
    </w:rPr>
  </w:style>
  <w:style w:type="paragraph" w:customStyle="1" w:styleId="30">
    <w:name w:val="font6"/>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31">
    <w:name w:val="xl6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paragraph" w:customStyle="1" w:styleId="32">
    <w:name w:val="xl67"/>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paragraph" w:customStyle="1" w:styleId="33">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character" w:customStyle="1" w:styleId="34">
    <w:name w:val="日期 字符"/>
    <w:basedOn w:val="21"/>
    <w:link w:val="5"/>
    <w:semiHidden/>
    <w:qFormat/>
    <w:uiPriority w:val="99"/>
    <w:rPr>
      <w:kern w:val="2"/>
      <w:sz w:val="21"/>
      <w:szCs w:val="22"/>
    </w:rPr>
  </w:style>
  <w:style w:type="paragraph" w:customStyle="1" w:styleId="35">
    <w:name w:val="列出段落2"/>
    <w:basedOn w:val="1"/>
    <w:unhideWhenUsed/>
    <w:qFormat/>
    <w:uiPriority w:val="99"/>
    <w:pPr>
      <w:ind w:firstLine="420" w:firstLineChars="200"/>
    </w:pPr>
  </w:style>
  <w:style w:type="character" w:customStyle="1" w:styleId="36">
    <w:name w:val="批注文字 字符"/>
    <w:basedOn w:val="21"/>
    <w:link w:val="4"/>
    <w:semiHidden/>
    <w:qFormat/>
    <w:uiPriority w:val="99"/>
    <w:rPr>
      <w:rFonts w:asciiTheme="minorHAnsi" w:hAnsiTheme="minorHAnsi" w:eastAsiaTheme="minorEastAsia" w:cstheme="minorBidi"/>
      <w:kern w:val="2"/>
      <w:sz w:val="21"/>
      <w:szCs w:val="22"/>
    </w:rPr>
  </w:style>
  <w:style w:type="character" w:customStyle="1" w:styleId="37">
    <w:name w:val="批注主题 字符"/>
    <w:basedOn w:val="36"/>
    <w:link w:val="10"/>
    <w:semiHidden/>
    <w:qFormat/>
    <w:uiPriority w:val="99"/>
    <w:rPr>
      <w:rFonts w:asciiTheme="minorHAnsi" w:hAnsiTheme="minorHAnsi" w:eastAsiaTheme="minorEastAsia" w:cstheme="minorBidi"/>
      <w:b/>
      <w:bCs/>
      <w:kern w:val="2"/>
      <w:sz w:val="21"/>
      <w:szCs w:val="22"/>
    </w:rPr>
  </w:style>
  <w:style w:type="character" w:customStyle="1" w:styleId="38">
    <w:name w:val="font01"/>
    <w:basedOn w:val="21"/>
    <w:qFormat/>
    <w:uiPriority w:val="0"/>
    <w:rPr>
      <w:rFonts w:hint="default" w:ascii="Arial" w:hAnsi="Arial" w:cs="Arial"/>
      <w:color w:val="000000"/>
      <w:sz w:val="20"/>
      <w:szCs w:val="20"/>
      <w:u w:val="none"/>
    </w:rPr>
  </w:style>
  <w:style w:type="character" w:customStyle="1" w:styleId="39">
    <w:name w:val="font51"/>
    <w:basedOn w:val="21"/>
    <w:qFormat/>
    <w:uiPriority w:val="0"/>
    <w:rPr>
      <w:rFonts w:hint="eastAsia" w:ascii="宋体" w:hAnsi="宋体" w:eastAsia="宋体" w:cs="宋体"/>
      <w:color w:val="000000"/>
      <w:sz w:val="20"/>
      <w:szCs w:val="20"/>
      <w:u w:val="none"/>
    </w:rPr>
  </w:style>
  <w:style w:type="character" w:customStyle="1" w:styleId="40">
    <w:name w:val="font11"/>
    <w:basedOn w:val="21"/>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1">
                <a:latin typeface="仿宋" panose="02010609060101010101" pitchFamily="3" charset="-122"/>
                <a:ea typeface="仿宋" panose="02010609060101010101" pitchFamily="3" charset="-122"/>
              </a:rPr>
              <a:t>图</a:t>
            </a:r>
            <a:r>
              <a:rPr lang="en-US" altLang="zh-CN" sz="1400" b="1">
                <a:latin typeface="仿宋" panose="02010609060101010101" pitchFamily="3" charset="-122"/>
                <a:ea typeface="仿宋" panose="02010609060101010101" pitchFamily="3" charset="-122"/>
              </a:rPr>
              <a:t>1 </a:t>
            </a:r>
            <a:r>
              <a:rPr lang="zh-CN" altLang="en-US" sz="1400" b="1">
                <a:latin typeface="仿宋" panose="02010609060101010101" pitchFamily="3" charset="-122"/>
                <a:ea typeface="仿宋" panose="02010609060101010101" pitchFamily="3" charset="-122"/>
              </a:rPr>
              <a:t>类别</a:t>
            </a:r>
            <a:r>
              <a:rPr lang="zh-CN" altLang="zh-CN" sz="1400" b="1">
                <a:latin typeface="仿宋" panose="02010609060101010101" pitchFamily="3" charset="-122"/>
                <a:ea typeface="仿宋" panose="02010609060101010101" pitchFamily="3" charset="-122"/>
              </a:rPr>
              <a:t>抽查结果</a:t>
            </a:r>
            <a:endParaRPr lang="zh-CN" altLang="zh-CN" sz="1400">
              <a:latin typeface="仿宋" panose="02010609060101010101" pitchFamily="3" charset="-122"/>
              <a:ea typeface="仿宋" panose="02010609060101010101" pitchFamily="3" charset="-122"/>
            </a:endParaRPr>
          </a:p>
        </c:rich>
      </c:tx>
      <c:layout>
        <c:manualLayout>
          <c:xMode val="edge"/>
          <c:yMode val="edge"/>
          <c:x val="0.3651869245413"/>
          <c:y val="0.0241886716387825"/>
        </c:manualLayout>
      </c:layout>
      <c:overlay val="0"/>
    </c:title>
    <c:autoTitleDeleted val="0"/>
    <c:plotArea>
      <c:layout>
        <c:manualLayout>
          <c:layoutTarget val="inner"/>
          <c:xMode val="edge"/>
          <c:yMode val="edge"/>
          <c:x val="0.0617832038475768"/>
          <c:y val="0.119756644252321"/>
          <c:w val="0.867677888765569"/>
          <c:h val="0.567723342939481"/>
        </c:manualLayout>
      </c:layout>
      <c:barChart>
        <c:barDir val="col"/>
        <c:grouping val="clustered"/>
        <c:varyColors val="0"/>
        <c:ser>
          <c:idx val="0"/>
          <c:order val="0"/>
          <c:tx>
            <c:strRef>
              <c:f>Sheet1!$B$1</c:f>
              <c:strCache>
                <c:ptCount val="1"/>
                <c:pt idx="0">
                  <c:v>抽查批次</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烟花</c:v>
                </c:pt>
              </c:strCache>
            </c:strRef>
          </c:cat>
          <c:val>
            <c:numRef>
              <c:f>Sheet1!$B$2</c:f>
              <c:numCache>
                <c:formatCode>General</c:formatCode>
                <c:ptCount val="1"/>
                <c:pt idx="0">
                  <c:v>5</c:v>
                </c:pt>
              </c:numCache>
            </c:numRef>
          </c:val>
        </c:ser>
        <c:ser>
          <c:idx val="1"/>
          <c:order val="1"/>
          <c:tx>
            <c:strRef>
              <c:f>Sheet1!$C$1</c:f>
              <c:strCache>
                <c:ptCount val="1"/>
                <c:pt idx="0">
                  <c:v>合格批次</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烟花</c:v>
                </c:pt>
              </c:strCache>
            </c:strRef>
          </c:cat>
          <c:val>
            <c:numRef>
              <c:f>Sheet1!$C$2</c:f>
              <c:numCache>
                <c:formatCode>General</c:formatCode>
                <c:ptCount val="1"/>
                <c:pt idx="0">
                  <c:v>5</c:v>
                </c:pt>
              </c:numCache>
            </c:numRef>
          </c:val>
        </c:ser>
        <c:dLbls>
          <c:showLegendKey val="0"/>
          <c:showVal val="0"/>
          <c:showCatName val="0"/>
          <c:showSerName val="0"/>
          <c:showPercent val="0"/>
          <c:showBubbleSize val="0"/>
        </c:dLbls>
        <c:gapWidth val="75"/>
        <c:overlap val="-25"/>
        <c:axId val="256744832"/>
        <c:axId val="256745392"/>
      </c:barChart>
      <c:lineChart>
        <c:grouping val="standard"/>
        <c:varyColors val="0"/>
        <c:ser>
          <c:idx val="2"/>
          <c:order val="2"/>
          <c:tx>
            <c:strRef>
              <c:f>Sheet1!$D$1</c:f>
              <c:strCache>
                <c:ptCount val="1"/>
                <c:pt idx="0">
                  <c:v>合格率（%）</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c:f>
              <c:strCache>
                <c:ptCount val="1"/>
                <c:pt idx="0">
                  <c:v>烟花</c:v>
                </c:pt>
              </c:strCache>
            </c:strRef>
          </c:cat>
          <c:val>
            <c:numRef>
              <c:f>Sheet1!$D$2</c:f>
              <c:numCache>
                <c:formatCode>General</c:formatCode>
                <c:ptCount val="1"/>
                <c:pt idx="0">
                  <c:v>100</c:v>
                </c:pt>
              </c:numCache>
            </c:numRef>
          </c:val>
          <c:smooth val="0"/>
        </c:ser>
        <c:dLbls>
          <c:showLegendKey val="0"/>
          <c:showVal val="0"/>
          <c:showCatName val="0"/>
          <c:showSerName val="0"/>
          <c:showPercent val="0"/>
          <c:showBubbleSize val="0"/>
        </c:dLbls>
        <c:marker val="1"/>
        <c:smooth val="0"/>
        <c:axId val="457512800"/>
        <c:axId val="457507760"/>
      </c:lineChart>
      <c:catAx>
        <c:axId val="256744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6745392"/>
        <c:crosses val="autoZero"/>
        <c:auto val="1"/>
        <c:lblAlgn val="ctr"/>
        <c:lblOffset val="100"/>
        <c:noMultiLvlLbl val="0"/>
      </c:catAx>
      <c:valAx>
        <c:axId val="256745392"/>
        <c:scaling>
          <c:orientation val="minMax"/>
          <c:max val="30"/>
          <c:min val="0"/>
        </c:scaling>
        <c:delete val="0"/>
        <c:axPos val="l"/>
        <c:majorGridlines/>
        <c:numFmt formatCode="General"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6744832"/>
        <c:crosses val="autoZero"/>
        <c:crossBetween val="between"/>
        <c:majorUnit val="2"/>
      </c:valAx>
      <c:catAx>
        <c:axId val="457512800"/>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57507760"/>
        <c:crosses val="autoZero"/>
        <c:auto val="1"/>
        <c:lblAlgn val="ctr"/>
        <c:lblOffset val="100"/>
        <c:noMultiLvlLbl val="0"/>
      </c:catAx>
      <c:valAx>
        <c:axId val="457507760"/>
        <c:scaling>
          <c:orientation val="minMax"/>
          <c:max val="100"/>
        </c:scaling>
        <c:delete val="0"/>
        <c:axPos val="r"/>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57512800"/>
        <c:crosses val="max"/>
        <c:crossBetween val="between"/>
      </c:valAx>
    </c:plotArea>
    <c:legend>
      <c:legendPos val="b"/>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no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b="1">
                <a:solidFill>
                  <a:sysClr val="windowText" lastClr="000000"/>
                </a:solidFill>
                <a:latin typeface="仿宋" panose="02010609060101010101" pitchFamily="3" charset="-122"/>
                <a:ea typeface="仿宋" panose="02010609060101010101" pitchFamily="3" charset="-122"/>
              </a:rPr>
              <a:t>图</a:t>
            </a:r>
            <a:r>
              <a:rPr lang="en-US" b="1">
                <a:solidFill>
                  <a:sysClr val="windowText" lastClr="000000"/>
                </a:solidFill>
                <a:latin typeface="仿宋" panose="02010609060101010101" pitchFamily="3" charset="-122"/>
                <a:ea typeface="仿宋" panose="02010609060101010101" pitchFamily="3" charset="-122"/>
              </a:rPr>
              <a:t>2 </a:t>
            </a:r>
            <a:r>
              <a:rPr lang="zh-CN" b="1">
                <a:solidFill>
                  <a:sysClr val="windowText" lastClr="000000"/>
                </a:solidFill>
                <a:latin typeface="仿宋" panose="02010609060101010101" pitchFamily="3" charset="-122"/>
                <a:ea typeface="仿宋" panose="02010609060101010101" pitchFamily="3" charset="-122"/>
              </a:rPr>
              <a:t>类别抽查占比</a:t>
            </a:r>
            <a:r>
              <a:rPr lang="en-US"/>
              <a:t> </a:t>
            </a:r>
            <a:endParaRPr lang="zh-CN"/>
          </a:p>
        </c:rich>
      </c:tx>
      <c:layout/>
      <c:overlay val="0"/>
      <c:spPr>
        <a:noFill/>
        <a:ln>
          <a:noFill/>
        </a:ln>
        <a:effectLst/>
      </c:spPr>
    </c:title>
    <c:autoTitleDeleted val="0"/>
    <c:plotArea>
      <c:layout/>
      <c:pieChart>
        <c:varyColors val="1"/>
        <c:ser>
          <c:idx val="0"/>
          <c:order val="0"/>
          <c:tx>
            <c:strRef>
              <c:f>Sheet1!$B$1</c:f>
              <c:strCache>
                <c:ptCount val="1"/>
                <c:pt idx="0">
                  <c:v>抽查批次</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烟花</c:v>
                </c:pt>
              </c:strCache>
            </c:strRef>
          </c:cat>
          <c:val>
            <c:numRef>
              <c:f>Sheet1!$B$2</c:f>
              <c:numCache>
                <c:formatCode>General</c:formatCode>
                <c:ptCount val="1"/>
                <c:pt idx="0">
                  <c:v>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F3C08-5DEC-4362-85EE-F802688E769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1394</Words>
  <Characters>1615</Characters>
  <Lines>32</Lines>
  <Paragraphs>9</Paragraphs>
  <TotalTime>1</TotalTime>
  <ScaleCrop>false</ScaleCrop>
  <LinksUpToDate>false</LinksUpToDate>
  <CharactersWithSpaces>1661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2018-01-29T01:52:00Z</dcterms:created>
  <dc:creator>Administrator</dc:creator>
  <cp:lastModifiedBy>蔡正道</cp:lastModifiedBy>
  <cp:lastPrinted>2020-12-04T05:30:00Z</cp:lastPrinted>
  <dcterms:modified xsi:type="dcterms:W3CDTF">2022-10-12T09:43:49Z</dcterms:modified>
  <dc:title>2017年宁夏回族自治区工商行政管理局流通领域日化用品商品质量抽查检验结果分析报告</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35F2897CD1C0450A86758243726ECC45</vt:lpwstr>
  </property>
</Properties>
</file>