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640" w:lineRule="exact"/>
        <w:jc w:val="center"/>
        <w:rPr>
          <w:rFonts w:hint="eastAsia"/>
          <w:b/>
          <w:bCs/>
          <w:sz w:val="48"/>
          <w:szCs w:val="48"/>
        </w:rPr>
      </w:pPr>
      <w:r>
        <w:rPr>
          <w:rFonts w:hint="eastAsia"/>
          <w:b/>
          <w:bCs/>
          <w:sz w:val="48"/>
          <w:szCs w:val="48"/>
        </w:rPr>
        <w:t>南昌市市场监督管理局</w:t>
      </w:r>
    </w:p>
    <w:p>
      <w:pPr>
        <w:spacing w:line="640" w:lineRule="exact"/>
        <w:jc w:val="center"/>
        <w:rPr>
          <w:b/>
          <w:bCs/>
          <w:sz w:val="48"/>
          <w:szCs w:val="48"/>
        </w:rPr>
      </w:pPr>
      <w:r>
        <w:rPr>
          <w:rFonts w:hint="eastAsia"/>
          <w:b/>
          <w:bCs/>
          <w:sz w:val="48"/>
          <w:szCs w:val="48"/>
        </w:rPr>
        <w:t>流通领域商品质量抽查检验分析报告</w:t>
      </w: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ind w:left="1"/>
        <w:rPr>
          <w:b/>
          <w:color w:val="000000"/>
          <w:sz w:val="40"/>
          <w:szCs w:val="40"/>
        </w:rPr>
      </w:pPr>
    </w:p>
    <w:p>
      <w:pPr>
        <w:ind w:left="1"/>
        <w:rPr>
          <w:b/>
          <w:color w:val="000000"/>
          <w:sz w:val="40"/>
          <w:szCs w:val="40"/>
        </w:rPr>
      </w:pPr>
      <w:r>
        <w:rPr>
          <w:rFonts w:hint="eastAsia"/>
          <w:b/>
          <w:sz w:val="44"/>
          <w:szCs w:val="44"/>
        </w:rPr>
        <w:drawing>
          <wp:anchor distT="0" distB="0" distL="114300" distR="114300" simplePos="0" relativeHeight="251659264" behindDoc="1" locked="0" layoutInCell="1" allowOverlap="1">
            <wp:simplePos x="0" y="0"/>
            <wp:positionH relativeFrom="page">
              <wp:posOffset>895350</wp:posOffset>
            </wp:positionH>
            <wp:positionV relativeFrom="page">
              <wp:posOffset>8042275</wp:posOffset>
            </wp:positionV>
            <wp:extent cx="1130300" cy="1064895"/>
            <wp:effectExtent l="0" t="0" r="12700" b="1905"/>
            <wp:wrapTight wrapText="bothSides">
              <wp:wrapPolygon>
                <wp:start x="0" y="0"/>
                <wp:lineTo x="0" y="21252"/>
                <wp:lineTo x="21115" y="21252"/>
                <wp:lineTo x="21115" y="0"/>
                <wp:lineTo x="0" y="0"/>
              </wp:wrapPolygon>
            </wp:wrapTight>
            <wp:docPr id="1" name="图片 3" descr="58250735412145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582507354121450054"/>
                    <pic:cNvPicPr>
                      <a:picLocks noChangeAspect="1"/>
                    </pic:cNvPicPr>
                  </pic:nvPicPr>
                  <pic:blipFill>
                    <a:blip r:embed="rId7" cstate="print"/>
                    <a:stretch>
                      <a:fillRect/>
                    </a:stretch>
                  </pic:blipFill>
                  <pic:spPr>
                    <a:xfrm>
                      <a:off x="0" y="0"/>
                      <a:ext cx="1130300" cy="1064895"/>
                    </a:xfrm>
                    <a:prstGeom prst="rect">
                      <a:avLst/>
                    </a:prstGeom>
                    <a:noFill/>
                    <a:ln w="9525">
                      <a:noFill/>
                    </a:ln>
                  </pic:spPr>
                </pic:pic>
              </a:graphicData>
            </a:graphic>
          </wp:anchor>
        </w:drawing>
      </w:r>
    </w:p>
    <w:p>
      <w:pPr>
        <w:jc w:val="center"/>
        <w:rPr>
          <w:b/>
          <w:color w:val="000000"/>
          <w:sz w:val="36"/>
          <w:szCs w:val="36"/>
        </w:rPr>
      </w:pPr>
      <w:r>
        <w:rPr>
          <w:rFonts w:hint="eastAsia"/>
          <w:b/>
          <w:color w:val="000000"/>
          <w:sz w:val="40"/>
          <w:szCs w:val="40"/>
        </w:rPr>
        <w:t>山东腾翔产品质量检测有限公司</w:t>
      </w:r>
    </w:p>
    <w:p>
      <w:pPr>
        <w:ind w:firstLine="241" w:firstLineChars="100"/>
        <w:jc w:val="center"/>
        <w:rPr>
          <w:b/>
          <w:color w:val="000000"/>
          <w:sz w:val="24"/>
        </w:rPr>
      </w:pPr>
      <w:r>
        <w:rPr>
          <w:rFonts w:hint="eastAsia"/>
          <w:b/>
          <w:color w:val="000000"/>
          <w:sz w:val="24"/>
        </w:rPr>
        <w:t>ShanDong TengXiang Product Q</w:t>
      </w:r>
      <w:r>
        <w:rPr>
          <w:b/>
          <w:color w:val="000000"/>
          <w:sz w:val="24"/>
        </w:rPr>
        <w:t>uality</w:t>
      </w:r>
      <w:r>
        <w:rPr>
          <w:rFonts w:hint="eastAsia"/>
          <w:b/>
          <w:color w:val="000000"/>
          <w:sz w:val="24"/>
        </w:rPr>
        <w:t xml:space="preserve"> Testing </w:t>
      </w:r>
      <w:r>
        <w:rPr>
          <w:b/>
          <w:color w:val="000000"/>
          <w:sz w:val="24"/>
        </w:rPr>
        <w:t>Co., LTD</w:t>
      </w:r>
      <w:r>
        <w:rPr>
          <w:rFonts w:hint="eastAsia"/>
          <w:b/>
          <w:color w:val="000000"/>
          <w:sz w:val="24"/>
        </w:rPr>
        <w:t>.</w:t>
      </w:r>
    </w:p>
    <w:p>
      <w:pPr>
        <w:spacing w:line="480" w:lineRule="auto"/>
        <w:rPr>
          <w:rFonts w:asciiTheme="minorEastAsia" w:hAnsiTheme="minorEastAsia"/>
          <w:b/>
          <w:sz w:val="24"/>
          <w:szCs w:val="24"/>
        </w:rPr>
      </w:pPr>
      <w:r>
        <w:rPr>
          <w:rFonts w:asciiTheme="minorEastAsia" w:hAnsiTheme="minorEastAsia"/>
          <w:b/>
          <w:sz w:val="36"/>
          <w:szCs w:val="36"/>
        </w:rPr>
        <w:br w:type="page"/>
      </w:r>
    </w:p>
    <w:p>
      <w:pPr>
        <w:snapToGrid w:val="0"/>
        <w:spacing w:line="360" w:lineRule="auto"/>
        <w:jc w:val="left"/>
        <w:rPr>
          <w:rFonts w:ascii="仿宋" w:hAnsi="仿宋" w:eastAsia="仿宋"/>
          <w:sz w:val="28"/>
          <w:szCs w:val="28"/>
        </w:rPr>
      </w:pPr>
      <w:r>
        <w:rPr>
          <w:rFonts w:hint="eastAsia" w:asciiTheme="minorEastAsia" w:hAnsiTheme="minorEastAsia"/>
          <w:sz w:val="24"/>
          <w:szCs w:val="24"/>
        </w:rPr>
        <w:t xml:space="preserve">    </w:t>
      </w:r>
      <w:r>
        <w:rPr>
          <w:rFonts w:hint="eastAsia" w:ascii="仿宋" w:hAnsi="仿宋" w:eastAsia="仿宋"/>
          <w:sz w:val="28"/>
          <w:szCs w:val="28"/>
        </w:rPr>
        <w:t>南昌市市场监督管理局委托山东腾翔产品质量有限公司于20</w:t>
      </w:r>
      <w:r>
        <w:rPr>
          <w:rFonts w:ascii="仿宋" w:hAnsi="仿宋" w:eastAsia="仿宋"/>
          <w:sz w:val="28"/>
          <w:szCs w:val="28"/>
        </w:rPr>
        <w:t>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eastAsia="zh-CN"/>
        </w:rPr>
        <w:t>第</w:t>
      </w:r>
      <w:r>
        <w:rPr>
          <w:rFonts w:hint="eastAsia" w:ascii="仿宋" w:hAnsi="仿宋" w:eastAsia="仿宋"/>
          <w:sz w:val="28"/>
          <w:szCs w:val="28"/>
          <w:lang w:val="en-US" w:eastAsia="zh-CN"/>
        </w:rPr>
        <w:t>3季度</w:t>
      </w:r>
      <w:r>
        <w:rPr>
          <w:rFonts w:hint="eastAsia" w:ascii="仿宋" w:hAnsi="仿宋" w:eastAsia="仿宋"/>
          <w:sz w:val="28"/>
          <w:szCs w:val="28"/>
        </w:rPr>
        <w:t>对全市流通领域的</w:t>
      </w:r>
      <w:r>
        <w:rPr>
          <w:rFonts w:hint="eastAsia" w:ascii="仿宋" w:hAnsi="仿宋" w:eastAsia="仿宋"/>
          <w:sz w:val="28"/>
          <w:szCs w:val="28"/>
          <w:lang w:val="en-US" w:eastAsia="zh-CN"/>
        </w:rPr>
        <w:t>口罩</w:t>
      </w:r>
      <w:r>
        <w:rPr>
          <w:rFonts w:hint="eastAsia" w:ascii="仿宋" w:hAnsi="仿宋" w:eastAsia="仿宋"/>
          <w:sz w:val="28"/>
          <w:szCs w:val="28"/>
        </w:rPr>
        <w:t>产品进行了抽查检验，现将抽查检验结果质量分析报告如下：</w:t>
      </w:r>
    </w:p>
    <w:p>
      <w:pPr>
        <w:pStyle w:val="26"/>
        <w:spacing w:line="360" w:lineRule="auto"/>
        <w:ind w:firstLine="0" w:firstLineChars="0"/>
        <w:rPr>
          <w:rFonts w:hint="eastAsia" w:ascii="仿宋" w:hAnsi="仿宋" w:eastAsia="仿宋"/>
          <w:b/>
          <w:sz w:val="28"/>
          <w:szCs w:val="28"/>
        </w:rPr>
      </w:pPr>
      <w:r>
        <w:rPr>
          <w:rFonts w:hint="eastAsia" w:ascii="仿宋" w:hAnsi="仿宋" w:eastAsia="仿宋"/>
          <w:b/>
          <w:sz w:val="28"/>
          <w:szCs w:val="28"/>
        </w:rPr>
        <w:t>一、抽检样品的基本情况</w:t>
      </w:r>
    </w:p>
    <w:p>
      <w:pPr>
        <w:snapToGrid w:val="0"/>
        <w:spacing w:line="360" w:lineRule="auto"/>
        <w:ind w:firstLine="700" w:firstLineChars="250"/>
        <w:jc w:val="left"/>
        <w:rPr>
          <w:rFonts w:ascii="仿宋" w:hAnsi="仿宋" w:eastAsia="仿宋"/>
          <w:sz w:val="28"/>
          <w:szCs w:val="28"/>
        </w:rPr>
      </w:pPr>
      <w:r>
        <w:rPr>
          <w:rFonts w:hint="eastAsia" w:ascii="仿宋" w:hAnsi="仿宋" w:eastAsia="仿宋"/>
          <w:sz w:val="28"/>
          <w:szCs w:val="28"/>
        </w:rPr>
        <w:t>此次商品查区域为南昌市。抽查方式为随机抽样。抽查商品为</w:t>
      </w:r>
      <w:r>
        <w:rPr>
          <w:rFonts w:hint="eastAsia" w:ascii="仿宋" w:hAnsi="仿宋" w:eastAsia="仿宋"/>
          <w:sz w:val="28"/>
          <w:szCs w:val="28"/>
          <w:lang w:val="en-US" w:eastAsia="zh-CN"/>
        </w:rPr>
        <w:t>口罩</w:t>
      </w:r>
      <w:r>
        <w:rPr>
          <w:rFonts w:ascii="仿宋" w:hAnsi="仿宋" w:eastAsia="仿宋"/>
          <w:sz w:val="28"/>
          <w:szCs w:val="28"/>
        </w:rPr>
        <w:t>。</w:t>
      </w:r>
      <w:r>
        <w:rPr>
          <w:rFonts w:hint="eastAsia" w:ascii="仿宋" w:hAnsi="仿宋" w:eastAsia="仿宋"/>
          <w:sz w:val="28"/>
          <w:szCs w:val="28"/>
        </w:rPr>
        <w:t>共抽检</w:t>
      </w:r>
      <w:r>
        <w:rPr>
          <w:rFonts w:hint="eastAsia" w:ascii="仿宋" w:hAnsi="仿宋" w:eastAsia="仿宋"/>
          <w:sz w:val="28"/>
          <w:szCs w:val="28"/>
          <w:lang w:val="en-US" w:eastAsia="zh-CN"/>
        </w:rPr>
        <w:t>5</w:t>
      </w:r>
      <w:r>
        <w:rPr>
          <w:rFonts w:hint="eastAsia" w:ascii="仿宋" w:hAnsi="仿宋" w:eastAsia="仿宋"/>
          <w:sz w:val="28"/>
          <w:szCs w:val="28"/>
        </w:rPr>
        <w:t>批次产品</w:t>
      </w:r>
      <w:r>
        <w:rPr>
          <w:rFonts w:ascii="仿宋" w:hAnsi="仿宋" w:eastAsia="仿宋"/>
          <w:sz w:val="28"/>
          <w:szCs w:val="28"/>
        </w:rPr>
        <w:t>，</w:t>
      </w:r>
      <w:r>
        <w:rPr>
          <w:rFonts w:hint="eastAsia" w:ascii="仿宋" w:hAnsi="仿宋" w:eastAsia="仿宋"/>
          <w:sz w:val="28"/>
          <w:szCs w:val="28"/>
        </w:rPr>
        <w:t>其中合格</w:t>
      </w:r>
      <w:r>
        <w:rPr>
          <w:rFonts w:hint="eastAsia" w:ascii="仿宋" w:hAnsi="仿宋" w:eastAsia="仿宋"/>
          <w:sz w:val="28"/>
          <w:szCs w:val="28"/>
          <w:lang w:val="en-US" w:eastAsia="zh-CN"/>
        </w:rPr>
        <w:t>5</w:t>
      </w:r>
      <w:r>
        <w:rPr>
          <w:rFonts w:hint="eastAsia" w:ascii="仿宋" w:hAnsi="仿宋" w:eastAsia="仿宋"/>
          <w:sz w:val="28"/>
          <w:szCs w:val="28"/>
        </w:rPr>
        <w:t>批次</w:t>
      </w:r>
      <w:r>
        <w:rPr>
          <w:rFonts w:ascii="仿宋" w:hAnsi="仿宋" w:eastAsia="仿宋"/>
          <w:sz w:val="28"/>
          <w:szCs w:val="28"/>
        </w:rPr>
        <w:t>，总体合格率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rPr>
        <w:t>。</w:t>
      </w:r>
    </w:p>
    <w:p>
      <w:pPr>
        <w:pStyle w:val="26"/>
        <w:spacing w:line="360" w:lineRule="auto"/>
        <w:ind w:firstLine="0" w:firstLineChars="0"/>
        <w:rPr>
          <w:rFonts w:ascii="仿宋" w:hAnsi="仿宋" w:eastAsia="仿宋"/>
          <w:b/>
          <w:sz w:val="28"/>
          <w:szCs w:val="28"/>
        </w:rPr>
      </w:pPr>
      <w:r>
        <w:rPr>
          <w:rFonts w:hint="eastAsia" w:ascii="仿宋" w:hAnsi="仿宋" w:eastAsia="仿宋"/>
          <w:b/>
          <w:sz w:val="28"/>
          <w:szCs w:val="28"/>
        </w:rPr>
        <w:t>（1）</w:t>
      </w:r>
      <w:r>
        <w:rPr>
          <w:rFonts w:hint="eastAsia" w:ascii="仿宋" w:hAnsi="仿宋" w:eastAsia="仿宋"/>
          <w:b/>
          <w:sz w:val="28"/>
          <w:szCs w:val="28"/>
          <w:lang w:val="en-US" w:eastAsia="zh-CN"/>
        </w:rPr>
        <w:t>抽查</w:t>
      </w:r>
      <w:r>
        <w:rPr>
          <w:rFonts w:hint="eastAsia" w:ascii="仿宋" w:hAnsi="仿宋" w:eastAsia="仿宋"/>
          <w:b/>
          <w:sz w:val="28"/>
          <w:szCs w:val="28"/>
        </w:rPr>
        <w:t>情况</w:t>
      </w:r>
    </w:p>
    <w:p>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此次</w:t>
      </w:r>
      <w:r>
        <w:rPr>
          <w:rFonts w:hint="eastAsia" w:ascii="仿宋" w:hAnsi="仿宋" w:eastAsia="仿宋"/>
          <w:sz w:val="28"/>
          <w:szCs w:val="28"/>
          <w:lang w:val="en-US" w:eastAsia="zh-CN"/>
        </w:rPr>
        <w:t>共</w:t>
      </w:r>
      <w:r>
        <w:rPr>
          <w:rFonts w:hint="eastAsia" w:ascii="仿宋" w:hAnsi="仿宋" w:eastAsia="仿宋"/>
          <w:sz w:val="28"/>
          <w:szCs w:val="28"/>
        </w:rPr>
        <w:t>抽</w:t>
      </w:r>
      <w:r>
        <w:rPr>
          <w:rFonts w:hint="eastAsia" w:ascii="仿宋" w:hAnsi="仿宋" w:eastAsia="仿宋"/>
          <w:sz w:val="28"/>
          <w:szCs w:val="28"/>
          <w:lang w:val="en-US" w:eastAsia="zh-CN"/>
        </w:rPr>
        <w:t>检口罩</w:t>
      </w:r>
      <w:bookmarkStart w:id="2" w:name="_GoBack"/>
      <w:bookmarkEnd w:id="2"/>
      <w:r>
        <w:rPr>
          <w:rFonts w:hint="eastAsia" w:ascii="仿宋" w:hAnsi="仿宋" w:eastAsia="仿宋"/>
          <w:sz w:val="28"/>
          <w:szCs w:val="28"/>
          <w:lang w:val="en-US" w:eastAsia="zh-CN"/>
        </w:rPr>
        <w:t>5</w:t>
      </w:r>
      <w:r>
        <w:rPr>
          <w:rFonts w:hint="eastAsia" w:ascii="仿宋" w:hAnsi="仿宋" w:eastAsia="仿宋"/>
          <w:sz w:val="28"/>
          <w:szCs w:val="28"/>
        </w:rPr>
        <w:t>批次</w:t>
      </w:r>
      <w:r>
        <w:rPr>
          <w:rFonts w:hint="eastAsia" w:ascii="仿宋" w:hAnsi="仿宋" w:eastAsia="仿宋"/>
          <w:sz w:val="28"/>
          <w:szCs w:val="28"/>
          <w:lang w:eastAsia="zh-CN"/>
        </w:rPr>
        <w:t>，</w:t>
      </w:r>
      <w:r>
        <w:rPr>
          <w:rFonts w:ascii="仿宋" w:hAnsi="仿宋" w:eastAsia="仿宋"/>
          <w:sz w:val="28"/>
          <w:szCs w:val="28"/>
        </w:rPr>
        <w:t>合格</w:t>
      </w:r>
      <w:r>
        <w:rPr>
          <w:rFonts w:hint="eastAsia" w:ascii="仿宋" w:hAnsi="仿宋" w:eastAsia="仿宋"/>
          <w:sz w:val="28"/>
          <w:szCs w:val="28"/>
          <w:lang w:val="en-US" w:eastAsia="zh-CN"/>
        </w:rPr>
        <w:t>5</w:t>
      </w:r>
      <w:r>
        <w:rPr>
          <w:rFonts w:hint="eastAsia" w:ascii="仿宋" w:hAnsi="仿宋" w:eastAsia="仿宋"/>
          <w:sz w:val="28"/>
          <w:szCs w:val="28"/>
        </w:rPr>
        <w:t>批次</w:t>
      </w:r>
      <w:r>
        <w:rPr>
          <w:rFonts w:hint="eastAsia" w:ascii="仿宋" w:hAnsi="仿宋" w:eastAsia="仿宋"/>
          <w:sz w:val="28"/>
          <w:szCs w:val="28"/>
          <w:lang w:eastAsia="zh-CN"/>
        </w:rPr>
        <w:t>，</w:t>
      </w:r>
      <w:r>
        <w:rPr>
          <w:rFonts w:hint="eastAsia" w:ascii="仿宋" w:hAnsi="仿宋" w:eastAsia="仿宋"/>
          <w:sz w:val="28"/>
          <w:szCs w:val="28"/>
        </w:rPr>
        <w:t>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抽查结果见表1和图1、图</w:t>
      </w:r>
      <w:r>
        <w:rPr>
          <w:rFonts w:ascii="仿宋" w:hAnsi="仿宋" w:eastAsia="仿宋"/>
          <w:sz w:val="28"/>
          <w:szCs w:val="28"/>
        </w:rPr>
        <w:t>2</w:t>
      </w:r>
      <w:r>
        <w:rPr>
          <w:rFonts w:hint="eastAsia" w:ascii="仿宋" w:hAnsi="仿宋" w:eastAsia="仿宋"/>
          <w:sz w:val="28"/>
          <w:szCs w:val="28"/>
        </w:rPr>
        <w:t>。</w:t>
      </w:r>
    </w:p>
    <w:p>
      <w:pPr>
        <w:pStyle w:val="26"/>
        <w:spacing w:line="360" w:lineRule="auto"/>
        <w:ind w:firstLine="0" w:firstLineChars="0"/>
        <w:jc w:val="center"/>
        <w:rPr>
          <w:rFonts w:ascii="仿宋" w:hAnsi="仿宋" w:eastAsia="仿宋"/>
          <w:b/>
          <w:sz w:val="28"/>
          <w:szCs w:val="28"/>
        </w:rPr>
      </w:pPr>
      <w:r>
        <w:rPr>
          <w:rFonts w:hint="eastAsia" w:ascii="仿宋" w:hAnsi="仿宋" w:eastAsia="仿宋"/>
          <w:b/>
          <w:sz w:val="28"/>
          <w:szCs w:val="28"/>
        </w:rPr>
        <w:t>表1抽查结果</w:t>
      </w:r>
    </w:p>
    <w:tbl>
      <w:tblPr>
        <w:tblStyle w:val="18"/>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3162"/>
        <w:gridCol w:w="2126"/>
        <w:gridCol w:w="1985"/>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8" w:space="0"/>
              <w:insideH w:val="nil"/>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bookmarkStart w:id="0" w:name="OLE_LINK2"/>
            <w:bookmarkStart w:id="1" w:name="OLE_LINK1"/>
            <w:r>
              <w:rPr>
                <w:rFonts w:ascii="仿宋" w:hAnsi="仿宋" w:eastAsia="仿宋"/>
                <w:b/>
                <w:bCs/>
                <w:i w:val="0"/>
                <w:iCs w:val="0"/>
                <w:color w:val="auto"/>
                <w:sz w:val="28"/>
                <w:szCs w:val="28"/>
              </w:rPr>
              <w:t>抽查</w:t>
            </w:r>
            <w:r>
              <w:rPr>
                <w:rFonts w:hint="eastAsia" w:ascii="仿宋" w:hAnsi="仿宋" w:eastAsia="仿宋"/>
                <w:b/>
                <w:bCs/>
                <w:i w:val="0"/>
                <w:iCs w:val="0"/>
                <w:color w:val="auto"/>
                <w:sz w:val="28"/>
                <w:szCs w:val="28"/>
              </w:rPr>
              <w:t>类别</w:t>
            </w:r>
          </w:p>
        </w:tc>
        <w:tc>
          <w:tcPr>
            <w:tcW w:w="2126"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抽查批次</w:t>
            </w:r>
          </w:p>
        </w:tc>
        <w:tc>
          <w:tcPr>
            <w:tcW w:w="1985"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合格批次</w:t>
            </w:r>
          </w:p>
        </w:tc>
        <w:tc>
          <w:tcPr>
            <w:tcW w:w="1601" w:type="dxa"/>
            <w:tcBorders>
              <w:top w:val="single" w:color="auto" w:sz="4" w:space="0"/>
              <w:left w:val="single" w:color="auto" w:sz="4" w:space="0"/>
              <w:bottom w:val="single" w:color="auto" w:sz="4" w:space="0"/>
              <w:right w:val="single" w:color="auto" w:sz="4"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4" w:space="0"/>
              <w:insideH w:val="nil"/>
            </w:tcBorders>
            <w:shd w:val="clear" w:color="auto" w:fill="FFFFFF" w:themeFill="background1"/>
          </w:tcPr>
          <w:p>
            <w:pPr>
              <w:spacing w:line="312" w:lineRule="auto"/>
              <w:jc w:val="center"/>
              <w:rPr>
                <w:rFonts w:hint="eastAsia" w:ascii="仿宋" w:hAnsi="仿宋" w:eastAsia="仿宋"/>
                <w:b w:val="0"/>
                <w:bCs w:val="0"/>
                <w:i w:val="0"/>
                <w:iCs w:val="0"/>
                <w:color w:val="FFFFFF" w:themeColor="background1"/>
                <w:sz w:val="28"/>
                <w:szCs w:val="28"/>
                <w:lang w:eastAsia="zh-CN"/>
                <w14:textFill>
                  <w14:solidFill>
                    <w14:schemeClr w14:val="bg1"/>
                  </w14:solidFill>
                </w14:textFill>
              </w:rPr>
            </w:pPr>
            <w:r>
              <w:rPr>
                <w:rFonts w:hint="eastAsia" w:ascii="仿宋" w:hAnsi="仿宋" w:eastAsia="仿宋"/>
                <w:b/>
                <w:bCs/>
                <w:i w:val="0"/>
                <w:iCs w:val="0"/>
                <w:color w:val="auto"/>
                <w:sz w:val="28"/>
                <w:szCs w:val="28"/>
                <w:lang w:val="en-US" w:eastAsia="zh-CN"/>
              </w:rPr>
              <w:t>口罩</w:t>
            </w:r>
          </w:p>
        </w:tc>
        <w:tc>
          <w:tcPr>
            <w:tcW w:w="2126"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985"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601"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right w:val="single" w:color="auto" w:sz="4" w:space="0"/>
              <w:insideH w:val="nil"/>
            </w:tcBorders>
            <w:shd w:val="clear" w:color="auto" w:fill="FFFFFF" w:themeFill="background1"/>
          </w:tcPr>
          <w:p>
            <w:pPr>
              <w:spacing w:line="312" w:lineRule="auto"/>
              <w:jc w:val="center"/>
              <w:rPr>
                <w:rFonts w:ascii="仿宋" w:hAnsi="仿宋" w:eastAsia="仿宋" w:cs="Arial"/>
                <w:b w:val="0"/>
                <w:bCs w:val="0"/>
                <w:i w:val="0"/>
                <w:iCs w:val="0"/>
                <w:color w:val="FFFFFF" w:themeColor="background1"/>
                <w:sz w:val="28"/>
                <w:szCs w:val="28"/>
                <w14:textFill>
                  <w14:solidFill>
                    <w14:schemeClr w14:val="bg1"/>
                  </w14:solidFill>
                </w14:textFill>
              </w:rPr>
            </w:pPr>
            <w:r>
              <w:rPr>
                <w:rFonts w:hint="eastAsia" w:ascii="仿宋" w:hAnsi="仿宋" w:eastAsia="仿宋" w:cs="Arial"/>
                <w:b/>
                <w:bCs w:val="0"/>
                <w:i w:val="0"/>
                <w:iCs w:val="0"/>
                <w:color w:val="auto"/>
                <w:sz w:val="28"/>
                <w:szCs w:val="28"/>
              </w:rPr>
              <w:t>总计</w:t>
            </w:r>
          </w:p>
        </w:tc>
        <w:tc>
          <w:tcPr>
            <w:tcW w:w="2126"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985"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601"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bookmarkEnd w:id="0"/>
      <w:bookmarkEnd w:id="1"/>
    </w:tbl>
    <w:p>
      <w:pPr>
        <w:pStyle w:val="26"/>
        <w:spacing w:line="360" w:lineRule="auto"/>
        <w:ind w:firstLine="0" w:firstLineChars="0"/>
        <w:jc w:val="center"/>
      </w:pPr>
      <w:r>
        <w:drawing>
          <wp:inline distT="0" distB="0" distL="0" distR="0">
            <wp:extent cx="5149215" cy="3966210"/>
            <wp:effectExtent l="0" t="0" r="13335" b="1524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6"/>
        <w:spacing w:line="360" w:lineRule="auto"/>
        <w:ind w:firstLine="0" w:firstLineChars="0"/>
        <w:rPr>
          <w:rFonts w:asciiTheme="majorEastAsia" w:hAnsiTheme="majorEastAsia" w:eastAsiaTheme="majorEastAsia" w:cstheme="majorEastAsia"/>
          <w:b/>
          <w:bCs/>
          <w:spacing w:val="4"/>
          <w:sz w:val="24"/>
          <w:szCs w:val="24"/>
        </w:rPr>
      </w:pPr>
      <w:r>
        <w:rPr>
          <w:rFonts w:hint="eastAsia" w:asciiTheme="majorEastAsia" w:hAnsiTheme="majorEastAsia" w:eastAsiaTheme="majorEastAsia" w:cstheme="majorEastAsia"/>
          <w:b/>
          <w:bCs/>
          <w:spacing w:val="4"/>
          <w:sz w:val="24"/>
          <w:szCs w:val="24"/>
        </w:rPr>
        <w:drawing>
          <wp:inline distT="0" distB="0" distL="0" distR="0">
            <wp:extent cx="4974590" cy="4296410"/>
            <wp:effectExtent l="4445" t="4445" r="12065" b="234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6"/>
        <w:spacing w:line="360" w:lineRule="auto"/>
        <w:ind w:firstLine="0" w:firstLineChars="0"/>
        <w:rPr>
          <w:rFonts w:ascii="仿宋" w:hAnsi="仿宋" w:eastAsia="仿宋"/>
          <w:b/>
          <w:sz w:val="28"/>
          <w:szCs w:val="28"/>
        </w:rPr>
      </w:pPr>
      <w:r>
        <w:rPr>
          <w:rFonts w:hint="eastAsia" w:ascii="仿宋" w:hAnsi="仿宋" w:eastAsia="仿宋"/>
          <w:b/>
          <w:sz w:val="28"/>
          <w:szCs w:val="28"/>
        </w:rPr>
        <w:t>二、常见不合格项目危害</w:t>
      </w:r>
    </w:p>
    <w:p>
      <w:pPr>
        <w:pStyle w:val="26"/>
        <w:spacing w:line="360" w:lineRule="auto"/>
        <w:ind w:firstLine="560"/>
        <w:rPr>
          <w:rFonts w:hint="eastAsia" w:ascii="仿宋" w:hAnsi="仿宋" w:eastAsia="仿宋"/>
          <w:sz w:val="28"/>
          <w:szCs w:val="28"/>
        </w:rPr>
      </w:pPr>
      <w:r>
        <w:rPr>
          <w:rFonts w:hint="eastAsia" w:ascii="仿宋" w:hAnsi="仿宋" w:eastAsia="仿宋"/>
          <w:b/>
          <w:bCs/>
          <w:sz w:val="28"/>
          <w:szCs w:val="28"/>
          <w:lang w:val="en-US" w:eastAsia="zh-CN"/>
        </w:rPr>
        <w:t>1、防护效果</w:t>
      </w:r>
    </w:p>
    <w:p>
      <w:pPr>
        <w:pStyle w:val="26"/>
        <w:spacing w:line="360" w:lineRule="auto"/>
        <w:ind w:firstLine="560"/>
        <w:rPr>
          <w:rFonts w:ascii="仿宋" w:hAnsi="仿宋" w:eastAsia="仿宋"/>
          <w:sz w:val="28"/>
          <w:szCs w:val="28"/>
        </w:rPr>
      </w:pPr>
      <w:r>
        <w:rPr>
          <w:rFonts w:hint="eastAsia" w:ascii="仿宋" w:hAnsi="仿宋" w:eastAsia="仿宋"/>
          <w:sz w:val="28"/>
          <w:szCs w:val="28"/>
        </w:rPr>
        <w:t>防护效果即头模戴上口罩在检测装置下，记录通过头模呼吸管道进入头模的气体内颗粒物浓度，根据流体力学原理，气流首先流向阻力小处，如果口罩与人体面部密合不好，呼吸气流首先穿过口罩直接与人体面部接触，而不通过过滤材料，无论滤料的过滤效率多高，均起不到过滤作用。因此防护效果不合格除了与熔喷布的质量（过滤效率）有关外还与口罩鼻夹条（影响口罩密合性）有关。口罩鼻夹条市场上存在不同材质和价格，因此有些企业转而选择更便宜的材料生产，甚至使用劣质的回料生产制作。该项目不合格，可能导致口罩不能有效过滤空气中的悬浮颗粒物（如细菌、粉尘等），极大地增加了使用者患病或传染的风险。</w:t>
      </w:r>
    </w:p>
    <w:p>
      <w:pPr>
        <w:pStyle w:val="26"/>
        <w:spacing w:line="360" w:lineRule="auto"/>
        <w:ind w:firstLine="560"/>
        <w:rPr>
          <w:rFonts w:hint="eastAsia" w:ascii="仿宋" w:hAnsi="仿宋" w:eastAsia="仿宋"/>
          <w:b/>
          <w:bCs/>
          <w:sz w:val="28"/>
          <w:szCs w:val="28"/>
        </w:rPr>
      </w:pPr>
      <w:r>
        <w:rPr>
          <w:rFonts w:hint="eastAsia" w:ascii="仿宋" w:hAnsi="仿宋" w:eastAsia="仿宋"/>
          <w:b/>
          <w:bCs/>
          <w:sz w:val="28"/>
          <w:szCs w:val="28"/>
          <w:lang w:val="en-US" w:eastAsia="zh-CN"/>
        </w:rPr>
        <w:t>2、过滤效率</w:t>
      </w:r>
    </w:p>
    <w:p>
      <w:pPr>
        <w:pStyle w:val="26"/>
        <w:spacing w:line="360" w:lineRule="auto"/>
        <w:ind w:firstLine="560"/>
        <w:rPr>
          <w:rFonts w:ascii="仿宋" w:hAnsi="仿宋" w:eastAsia="仿宋"/>
          <w:sz w:val="28"/>
          <w:szCs w:val="28"/>
        </w:rPr>
      </w:pPr>
      <w:r>
        <w:rPr>
          <w:rFonts w:hint="eastAsia" w:ascii="仿宋" w:hAnsi="仿宋" w:eastAsia="仿宋"/>
          <w:sz w:val="28"/>
          <w:szCs w:val="28"/>
        </w:rPr>
        <w:t>口罩由内层（吸湿层）、中层（核心过滤层）和外层（阻水层）所构成。而熔喷布作为口罩核心过滤层，俗称口罩的“心脏”，它的有效孔径只有普通无纺布孔径的十分之一，空隙多、结构蓬松、抗褶皱能力好且具有良好的静电吸附性能，从而使熔喷布具有很好的过滤性、屏蔽性、绝热性和吸油性。其口罩过滤效率不合格主要是因为作为滤料的熔喷非织造布未经驻极处理或其本身过滤效率不达标或用普通非织造布来替代熔喷法非织造布。该项目不合格，可能导致口罩不能有效过滤空气中的悬浮颗粒物（如细菌、粉尘等），极大地增加了使用者患病或传染的风险。</w:t>
      </w:r>
    </w:p>
    <w:p>
      <w:pPr>
        <w:pStyle w:val="26"/>
        <w:spacing w:line="360" w:lineRule="auto"/>
        <w:ind w:firstLine="0" w:firstLineChars="0"/>
        <w:rPr>
          <w:rFonts w:ascii="仿宋" w:hAnsi="仿宋" w:eastAsia="仿宋"/>
          <w:b/>
          <w:sz w:val="28"/>
          <w:szCs w:val="28"/>
        </w:rPr>
      </w:pPr>
      <w:r>
        <w:rPr>
          <w:rFonts w:hint="eastAsia" w:ascii="仿宋" w:hAnsi="仿宋" w:eastAsia="仿宋"/>
          <w:b/>
          <w:sz w:val="28"/>
          <w:szCs w:val="28"/>
        </w:rPr>
        <w:t xml:space="preserve">三、建议和措施： </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1</w:t>
      </w:r>
      <w:r>
        <w:rPr>
          <w:rFonts w:hint="eastAsia" w:ascii="仿宋" w:hAnsi="仿宋" w:eastAsia="仿宋" w:cs="仿宋"/>
          <w:spacing w:val="4"/>
          <w:sz w:val="28"/>
          <w:szCs w:val="28"/>
        </w:rPr>
        <w:t>、督促生产企业和经营企业提高质量意识和质量管理水平，从而有效提高企业产品质量水平，为广大消费者提供放心满意的产品。进一步规范企业的经营行为，确保其商业活动符合法律、法规和规章的要求。</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2</w:t>
      </w:r>
      <w:r>
        <w:rPr>
          <w:rFonts w:hint="eastAsia" w:ascii="仿宋" w:hAnsi="仿宋" w:eastAsia="仿宋" w:cs="仿宋"/>
          <w:spacing w:val="4"/>
          <w:sz w:val="28"/>
          <w:szCs w:val="28"/>
        </w:rPr>
        <w:t>、加强对企业的政策引导。一方面加强对行业大中型企业引导、不断加强大中型企业的研发能力和引进消化吸收能力，不断通过自主创新、技术引进、技术改造提升企业的技术与装备水平。</w:t>
      </w:r>
    </w:p>
    <w:p>
      <w:pPr>
        <w:pStyle w:val="8"/>
        <w:ind w:firstLine="576" w:firstLineChars="200"/>
        <w:rPr>
          <w:rFonts w:hint="eastAsia" w:ascii="仿宋" w:hAnsi="仿宋" w:eastAsia="仿宋"/>
          <w:b/>
          <w:sz w:val="28"/>
          <w:szCs w:val="28"/>
        </w:rPr>
      </w:pPr>
      <w:r>
        <w:rPr>
          <w:rFonts w:hint="eastAsia" w:ascii="仿宋_GB2312" w:hAnsi="宋体" w:eastAsia="仿宋_GB2312"/>
          <w:spacing w:val="4"/>
          <w:sz w:val="28"/>
          <w:szCs w:val="28"/>
          <w:lang w:val="en-US" w:eastAsia="zh-CN"/>
        </w:rPr>
        <w:t>3、政府监管部门应对企业落实产品质量主体责任的情况采取有效措施，加强监管，消费者对价格低，缺乏质量保障的产品要谨慎购买，避免不必要的损失。</w:t>
      </w:r>
    </w:p>
    <w:p>
      <w:pPr>
        <w:pStyle w:val="26"/>
        <w:spacing w:line="360" w:lineRule="auto"/>
        <w:ind w:firstLine="4498" w:firstLineChars="1600"/>
        <w:jc w:val="both"/>
        <w:rPr>
          <w:rFonts w:ascii="仿宋" w:hAnsi="仿宋" w:eastAsia="仿宋"/>
          <w:b/>
          <w:sz w:val="28"/>
          <w:szCs w:val="28"/>
        </w:rPr>
      </w:pPr>
      <w:r>
        <w:rPr>
          <w:rFonts w:hint="eastAsia" w:ascii="仿宋" w:hAnsi="仿宋" w:eastAsia="仿宋"/>
          <w:b/>
          <w:sz w:val="28"/>
          <w:szCs w:val="28"/>
        </w:rPr>
        <w:t>山东腾翔产品质量检测有限公司</w:t>
      </w:r>
    </w:p>
    <w:p>
      <w:pPr>
        <w:pStyle w:val="26"/>
        <w:spacing w:line="360" w:lineRule="auto"/>
        <w:ind w:firstLine="0" w:firstLineChars="0"/>
        <w:jc w:val="right"/>
        <w:rPr>
          <w:rFonts w:hint="default" w:ascii="仿宋" w:hAnsi="仿宋" w:eastAsia="仿宋"/>
          <w:b/>
          <w:sz w:val="28"/>
          <w:szCs w:val="28"/>
          <w:lang w:val="en-US"/>
        </w:rPr>
      </w:pPr>
      <w:r>
        <w:rPr>
          <w:rFonts w:hint="eastAsia" w:ascii="仿宋" w:hAnsi="仿宋" w:eastAsia="仿宋"/>
          <w:b/>
          <w:sz w:val="28"/>
          <w:szCs w:val="28"/>
        </w:rPr>
        <w:t xml:space="preserve">                                         20</w:t>
      </w:r>
      <w:r>
        <w:rPr>
          <w:rFonts w:ascii="仿宋" w:hAnsi="仿宋" w:eastAsia="仿宋"/>
          <w:b/>
          <w:sz w:val="28"/>
          <w:szCs w:val="28"/>
        </w:rPr>
        <w:t>2</w:t>
      </w:r>
      <w:r>
        <w:rPr>
          <w:rFonts w:hint="eastAsia" w:ascii="仿宋" w:hAnsi="仿宋" w:eastAsia="仿宋"/>
          <w:b/>
          <w:sz w:val="28"/>
          <w:szCs w:val="28"/>
          <w:lang w:val="en-US" w:eastAsia="zh-CN"/>
        </w:rPr>
        <w:t>2</w:t>
      </w:r>
      <w:r>
        <w:rPr>
          <w:rFonts w:hint="eastAsia" w:ascii="仿宋" w:hAnsi="仿宋" w:eastAsia="仿宋"/>
          <w:b/>
          <w:sz w:val="28"/>
          <w:szCs w:val="28"/>
        </w:rPr>
        <w:t>年</w:t>
      </w:r>
      <w:r>
        <w:rPr>
          <w:rFonts w:hint="eastAsia" w:ascii="仿宋" w:hAnsi="仿宋" w:eastAsia="仿宋"/>
          <w:b/>
          <w:sz w:val="28"/>
          <w:szCs w:val="28"/>
          <w:lang w:val="en-US" w:eastAsia="zh-CN"/>
        </w:rPr>
        <w:t>10</w:t>
      </w:r>
      <w:r>
        <w:rPr>
          <w:rFonts w:hint="eastAsia" w:ascii="仿宋" w:hAnsi="仿宋" w:eastAsia="仿宋"/>
          <w:b/>
          <w:sz w:val="28"/>
          <w:szCs w:val="28"/>
        </w:rPr>
        <w:t>月</w:t>
      </w:r>
      <w:r>
        <w:rPr>
          <w:rFonts w:hint="eastAsia" w:ascii="仿宋" w:hAnsi="仿宋" w:eastAsia="仿宋"/>
          <w:b/>
          <w:sz w:val="28"/>
          <w:szCs w:val="28"/>
          <w:lang w:val="en-US" w:eastAsia="zh-CN"/>
        </w:rPr>
        <w:t>12</w:t>
      </w:r>
    </w:p>
    <w:p>
      <w:pPr>
        <w:pStyle w:val="26"/>
        <w:spacing w:line="360" w:lineRule="auto"/>
        <w:ind w:firstLine="0" w:firstLineChars="0"/>
        <w:jc w:val="right"/>
        <w:rPr>
          <w:rFonts w:ascii="仿宋" w:hAnsi="仿宋" w:eastAsia="仿宋"/>
          <w:b/>
          <w:sz w:val="28"/>
          <w:szCs w:val="28"/>
        </w:rPr>
        <w:sectPr>
          <w:footerReference r:id="rId5" w:type="first"/>
          <w:headerReference r:id="rId3" w:type="default"/>
          <w:footerReference r:id="rId4" w:type="default"/>
          <w:pgSz w:w="11906" w:h="16838"/>
          <w:pgMar w:top="1134" w:right="1701" w:bottom="1134" w:left="1701" w:header="567" w:footer="850" w:gutter="0"/>
          <w:pgNumType w:start="0"/>
          <w:cols w:space="425" w:num="1"/>
          <w:titlePg/>
          <w:docGrid w:type="lines" w:linePitch="312" w:charSpace="0"/>
        </w:sectPr>
      </w:pPr>
    </w:p>
    <w:tbl>
      <w:tblPr>
        <w:tblStyle w:val="10"/>
        <w:tblW w:w="9405"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1560"/>
        <w:gridCol w:w="1710"/>
        <w:gridCol w:w="1080"/>
        <w:gridCol w:w="289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405" w:type="dxa"/>
            <w:gridSpan w:val="6"/>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南昌市市场监督管理局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样品编号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标称商标</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受检单位</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20220810068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十片装一次性立体学生口罩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MINISO</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南昌经济技术开发区欣慧日用百货店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20220810071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迪士尼皮克斯巴斯光年系列一次性口罩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MINISO</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南昌经济技术开发区欣慧日用百货店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20220810074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优颂一次性防护口罩10片装</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优颂</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江西永辉超市有限公司青山湖万达广场店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20220810077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中国版一次性防护口罩（非医用）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南昌王府井首航超市有限公司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20220810078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九木X卓大王烘焙乐园印花口罩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卓大王</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南昌市青云谱区亿彩文化用品店</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bl>
    <w:p>
      <w:pPr>
        <w:spacing w:line="480" w:lineRule="auto"/>
        <w:rPr>
          <w:rFonts w:asciiTheme="minorEastAsia" w:hAnsiTheme="minorEastAsia"/>
          <w:sz w:val="30"/>
          <w:szCs w:val="30"/>
        </w:rPr>
      </w:pPr>
    </w:p>
    <w:sectPr>
      <w:pgSz w:w="11906" w:h="16838"/>
      <w:pgMar w:top="1134" w:right="1701" w:bottom="1134" w:left="1701" w:header="567"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9604965"/>
    </w:sdtPr>
    <w:sdtEndPr>
      <w:rPr>
        <w:rFonts w:ascii="Times New Roman" w:hAnsi="Times New Roman" w:cs="Times New Roman"/>
        <w:sz w:val="20"/>
      </w:rPr>
    </w:sdtEndPr>
    <w:sdtContent>
      <w:p>
        <w:pPr>
          <w:pStyle w:val="6"/>
          <w:jc w:val="center"/>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PAGE   \* MERGEFORMAT</w:instrText>
        </w:r>
        <w:r>
          <w:rPr>
            <w:rFonts w:ascii="Times New Roman" w:hAnsi="Times New Roman" w:cs="Times New Roman"/>
            <w:sz w:val="20"/>
          </w:rPr>
          <w:fldChar w:fldCharType="separate"/>
        </w:r>
        <w:r>
          <w:rPr>
            <w:rFonts w:ascii="Times New Roman" w:hAnsi="Times New Roman" w:cs="Times New Roman"/>
            <w:sz w:val="20"/>
            <w:lang w:val="zh-CN"/>
          </w:rPr>
          <w:t>1</w:t>
        </w:r>
        <w:r>
          <w:rPr>
            <w:rFonts w:ascii="Times New Roman" w:hAnsi="Times New Roman" w:cs="Times New Roman"/>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Times New Roman" w:hAnsi="Times New Roman" w:cs="Times New Roman"/>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240" w:lineRule="atLeast"/>
      <w:jc w:val="right"/>
      <w:rPr>
        <w:color w:val="000000" w:themeColor="text1"/>
        <w14:textFill>
          <w14:solidFill>
            <w14:schemeClr w14:val="tx1"/>
          </w14:solidFill>
        </w14:textFill>
      </w:rPr>
    </w:pPr>
    <w:r>
      <w:rPr>
        <w:rFonts w:hint="eastAsia"/>
        <w:b/>
      </w:rPr>
      <w:t xml:space="preserve">   </w:t>
    </w:r>
    <w:r>
      <w:rPr>
        <w:rFonts w:hint="eastAsia"/>
        <w:color w:val="000000" w:themeColor="text1"/>
        <w14:textFill>
          <w14:solidFill>
            <w14:schemeClr w14:val="tx1"/>
          </w14:solidFill>
        </w14:textFill>
      </w:rPr>
      <w:t xml:space="preserve"> 山东腾翔产品质量检测有限公司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xOGVlNDJmYzJiMjNjYjk0YzU4ZGQxNTZmNGMwYjAifQ=="/>
  </w:docVars>
  <w:rsids>
    <w:rsidRoot w:val="00377BE8"/>
    <w:rsid w:val="000056AE"/>
    <w:rsid w:val="000156AD"/>
    <w:rsid w:val="00021311"/>
    <w:rsid w:val="00021D09"/>
    <w:rsid w:val="00024F47"/>
    <w:rsid w:val="00030957"/>
    <w:rsid w:val="000359F1"/>
    <w:rsid w:val="00037338"/>
    <w:rsid w:val="000378B3"/>
    <w:rsid w:val="00051710"/>
    <w:rsid w:val="00052412"/>
    <w:rsid w:val="00060A30"/>
    <w:rsid w:val="0007651B"/>
    <w:rsid w:val="00097478"/>
    <w:rsid w:val="00097888"/>
    <w:rsid w:val="00097A25"/>
    <w:rsid w:val="000C258F"/>
    <w:rsid w:val="000C4460"/>
    <w:rsid w:val="000D788D"/>
    <w:rsid w:val="000D7C10"/>
    <w:rsid w:val="000E0891"/>
    <w:rsid w:val="000E672D"/>
    <w:rsid w:val="000F275C"/>
    <w:rsid w:val="000F7473"/>
    <w:rsid w:val="0010179F"/>
    <w:rsid w:val="00112F5E"/>
    <w:rsid w:val="001230D9"/>
    <w:rsid w:val="00130A0A"/>
    <w:rsid w:val="00130F14"/>
    <w:rsid w:val="001351CC"/>
    <w:rsid w:val="0013682F"/>
    <w:rsid w:val="00136899"/>
    <w:rsid w:val="00145506"/>
    <w:rsid w:val="001503FF"/>
    <w:rsid w:val="00154693"/>
    <w:rsid w:val="00157C39"/>
    <w:rsid w:val="0016466D"/>
    <w:rsid w:val="00171597"/>
    <w:rsid w:val="0017334A"/>
    <w:rsid w:val="00186D2B"/>
    <w:rsid w:val="001A3073"/>
    <w:rsid w:val="001C11CE"/>
    <w:rsid w:val="001C227A"/>
    <w:rsid w:val="001C6D2D"/>
    <w:rsid w:val="001D06F6"/>
    <w:rsid w:val="001D3599"/>
    <w:rsid w:val="001E1B1B"/>
    <w:rsid w:val="001E6BAD"/>
    <w:rsid w:val="001E7433"/>
    <w:rsid w:val="001F01CA"/>
    <w:rsid w:val="001F50EC"/>
    <w:rsid w:val="001F64C9"/>
    <w:rsid w:val="002035E1"/>
    <w:rsid w:val="00203DC7"/>
    <w:rsid w:val="0021272C"/>
    <w:rsid w:val="00214C00"/>
    <w:rsid w:val="00216273"/>
    <w:rsid w:val="00217964"/>
    <w:rsid w:val="00227DD2"/>
    <w:rsid w:val="0025501C"/>
    <w:rsid w:val="00256DE3"/>
    <w:rsid w:val="00257FDD"/>
    <w:rsid w:val="0027094A"/>
    <w:rsid w:val="00271AD8"/>
    <w:rsid w:val="0027433E"/>
    <w:rsid w:val="002A6095"/>
    <w:rsid w:val="002A72BB"/>
    <w:rsid w:val="002C0229"/>
    <w:rsid w:val="002C4D99"/>
    <w:rsid w:val="002C73DD"/>
    <w:rsid w:val="002D5448"/>
    <w:rsid w:val="002E65C0"/>
    <w:rsid w:val="002F02F6"/>
    <w:rsid w:val="002F1CC2"/>
    <w:rsid w:val="002F40C4"/>
    <w:rsid w:val="00300C15"/>
    <w:rsid w:val="00306858"/>
    <w:rsid w:val="00312C16"/>
    <w:rsid w:val="003152D5"/>
    <w:rsid w:val="00325B1D"/>
    <w:rsid w:val="00332DFE"/>
    <w:rsid w:val="003462E4"/>
    <w:rsid w:val="003472E1"/>
    <w:rsid w:val="00350161"/>
    <w:rsid w:val="0037252D"/>
    <w:rsid w:val="00375475"/>
    <w:rsid w:val="00377BE8"/>
    <w:rsid w:val="0038262A"/>
    <w:rsid w:val="00382E9F"/>
    <w:rsid w:val="00386970"/>
    <w:rsid w:val="003906CE"/>
    <w:rsid w:val="00392E2D"/>
    <w:rsid w:val="00396F4F"/>
    <w:rsid w:val="003A28AF"/>
    <w:rsid w:val="003A3BE9"/>
    <w:rsid w:val="003A404F"/>
    <w:rsid w:val="003A5C91"/>
    <w:rsid w:val="003B42ED"/>
    <w:rsid w:val="003B686B"/>
    <w:rsid w:val="003C06D2"/>
    <w:rsid w:val="003C1E8D"/>
    <w:rsid w:val="003C6074"/>
    <w:rsid w:val="003C616A"/>
    <w:rsid w:val="003D166F"/>
    <w:rsid w:val="003E25F9"/>
    <w:rsid w:val="0040383F"/>
    <w:rsid w:val="00404694"/>
    <w:rsid w:val="00405259"/>
    <w:rsid w:val="00406F70"/>
    <w:rsid w:val="004072EC"/>
    <w:rsid w:val="00411F6C"/>
    <w:rsid w:val="00435C01"/>
    <w:rsid w:val="004366E6"/>
    <w:rsid w:val="00445623"/>
    <w:rsid w:val="004456A5"/>
    <w:rsid w:val="004459B9"/>
    <w:rsid w:val="00450855"/>
    <w:rsid w:val="00451D68"/>
    <w:rsid w:val="00452B51"/>
    <w:rsid w:val="00452E1B"/>
    <w:rsid w:val="0046095D"/>
    <w:rsid w:val="00463847"/>
    <w:rsid w:val="00482A6A"/>
    <w:rsid w:val="0048477B"/>
    <w:rsid w:val="004855DD"/>
    <w:rsid w:val="00491CBD"/>
    <w:rsid w:val="00493CB6"/>
    <w:rsid w:val="004A1754"/>
    <w:rsid w:val="004A50C5"/>
    <w:rsid w:val="004A5BB8"/>
    <w:rsid w:val="004A5D33"/>
    <w:rsid w:val="004A6C6E"/>
    <w:rsid w:val="004B63E1"/>
    <w:rsid w:val="004B6DB5"/>
    <w:rsid w:val="004C480F"/>
    <w:rsid w:val="004D33C9"/>
    <w:rsid w:val="004D6245"/>
    <w:rsid w:val="004E1EA8"/>
    <w:rsid w:val="004F17AB"/>
    <w:rsid w:val="004F2327"/>
    <w:rsid w:val="005018E5"/>
    <w:rsid w:val="00507606"/>
    <w:rsid w:val="00514B97"/>
    <w:rsid w:val="00514F76"/>
    <w:rsid w:val="00516273"/>
    <w:rsid w:val="00537FAE"/>
    <w:rsid w:val="00547E60"/>
    <w:rsid w:val="00552A4F"/>
    <w:rsid w:val="00553472"/>
    <w:rsid w:val="00555232"/>
    <w:rsid w:val="00555810"/>
    <w:rsid w:val="005577C2"/>
    <w:rsid w:val="005601E4"/>
    <w:rsid w:val="00561D4A"/>
    <w:rsid w:val="00564F50"/>
    <w:rsid w:val="00587121"/>
    <w:rsid w:val="00590433"/>
    <w:rsid w:val="005A20FB"/>
    <w:rsid w:val="005A5028"/>
    <w:rsid w:val="005B1086"/>
    <w:rsid w:val="005B6532"/>
    <w:rsid w:val="005B754A"/>
    <w:rsid w:val="005D6BB5"/>
    <w:rsid w:val="005D7690"/>
    <w:rsid w:val="005E0B76"/>
    <w:rsid w:val="005E44DA"/>
    <w:rsid w:val="00610A4C"/>
    <w:rsid w:val="00620F47"/>
    <w:rsid w:val="0062526B"/>
    <w:rsid w:val="00641AB8"/>
    <w:rsid w:val="00646665"/>
    <w:rsid w:val="006473EA"/>
    <w:rsid w:val="006610C9"/>
    <w:rsid w:val="00670018"/>
    <w:rsid w:val="00680101"/>
    <w:rsid w:val="00680834"/>
    <w:rsid w:val="00682906"/>
    <w:rsid w:val="00691027"/>
    <w:rsid w:val="006A2EC3"/>
    <w:rsid w:val="006A53F8"/>
    <w:rsid w:val="006B3C96"/>
    <w:rsid w:val="006C5006"/>
    <w:rsid w:val="006D020F"/>
    <w:rsid w:val="006D17EF"/>
    <w:rsid w:val="006D18D9"/>
    <w:rsid w:val="006E7C69"/>
    <w:rsid w:val="006F1E02"/>
    <w:rsid w:val="006F270B"/>
    <w:rsid w:val="006F2F15"/>
    <w:rsid w:val="00702F9E"/>
    <w:rsid w:val="0071246F"/>
    <w:rsid w:val="00713429"/>
    <w:rsid w:val="00715533"/>
    <w:rsid w:val="007210D9"/>
    <w:rsid w:val="007223F2"/>
    <w:rsid w:val="007244A6"/>
    <w:rsid w:val="0072490A"/>
    <w:rsid w:val="007269A2"/>
    <w:rsid w:val="007321FE"/>
    <w:rsid w:val="007355CD"/>
    <w:rsid w:val="00736734"/>
    <w:rsid w:val="00747F41"/>
    <w:rsid w:val="00750BF6"/>
    <w:rsid w:val="007512EF"/>
    <w:rsid w:val="007520F5"/>
    <w:rsid w:val="00760155"/>
    <w:rsid w:val="007622A9"/>
    <w:rsid w:val="00762533"/>
    <w:rsid w:val="00763935"/>
    <w:rsid w:val="00771E13"/>
    <w:rsid w:val="00771F56"/>
    <w:rsid w:val="00773558"/>
    <w:rsid w:val="007767E3"/>
    <w:rsid w:val="00781355"/>
    <w:rsid w:val="0078437D"/>
    <w:rsid w:val="00787297"/>
    <w:rsid w:val="0079491A"/>
    <w:rsid w:val="007A1370"/>
    <w:rsid w:val="007A60D4"/>
    <w:rsid w:val="007B2DB8"/>
    <w:rsid w:val="007B626F"/>
    <w:rsid w:val="007C36B9"/>
    <w:rsid w:val="007C396A"/>
    <w:rsid w:val="007C701F"/>
    <w:rsid w:val="007D7CE3"/>
    <w:rsid w:val="007E5226"/>
    <w:rsid w:val="007F35E6"/>
    <w:rsid w:val="007F782B"/>
    <w:rsid w:val="008053D9"/>
    <w:rsid w:val="0081484E"/>
    <w:rsid w:val="00814D05"/>
    <w:rsid w:val="00825A83"/>
    <w:rsid w:val="0083361B"/>
    <w:rsid w:val="00840F73"/>
    <w:rsid w:val="008446CE"/>
    <w:rsid w:val="00844DE5"/>
    <w:rsid w:val="00851382"/>
    <w:rsid w:val="0085614D"/>
    <w:rsid w:val="008579FB"/>
    <w:rsid w:val="00857E01"/>
    <w:rsid w:val="008612D6"/>
    <w:rsid w:val="008651CD"/>
    <w:rsid w:val="00867594"/>
    <w:rsid w:val="008805C6"/>
    <w:rsid w:val="00884295"/>
    <w:rsid w:val="00885FF4"/>
    <w:rsid w:val="008966D8"/>
    <w:rsid w:val="00896810"/>
    <w:rsid w:val="008A42F8"/>
    <w:rsid w:val="008B1482"/>
    <w:rsid w:val="008B43EC"/>
    <w:rsid w:val="008B4FAC"/>
    <w:rsid w:val="008C400D"/>
    <w:rsid w:val="008D4701"/>
    <w:rsid w:val="008E3258"/>
    <w:rsid w:val="008E58D8"/>
    <w:rsid w:val="0090537D"/>
    <w:rsid w:val="00913613"/>
    <w:rsid w:val="00913936"/>
    <w:rsid w:val="00914CEA"/>
    <w:rsid w:val="00917A0C"/>
    <w:rsid w:val="0092467A"/>
    <w:rsid w:val="00924BD8"/>
    <w:rsid w:val="009315B1"/>
    <w:rsid w:val="00935919"/>
    <w:rsid w:val="00937DBE"/>
    <w:rsid w:val="00945C8B"/>
    <w:rsid w:val="009501D4"/>
    <w:rsid w:val="0095653E"/>
    <w:rsid w:val="0095714E"/>
    <w:rsid w:val="00961828"/>
    <w:rsid w:val="00966A4E"/>
    <w:rsid w:val="009715E7"/>
    <w:rsid w:val="009766A2"/>
    <w:rsid w:val="00981FAE"/>
    <w:rsid w:val="009848A5"/>
    <w:rsid w:val="00995D14"/>
    <w:rsid w:val="00995D93"/>
    <w:rsid w:val="00997CE8"/>
    <w:rsid w:val="009B1841"/>
    <w:rsid w:val="009B1D06"/>
    <w:rsid w:val="009B462A"/>
    <w:rsid w:val="009B6C90"/>
    <w:rsid w:val="009D3937"/>
    <w:rsid w:val="009D55FD"/>
    <w:rsid w:val="009D6646"/>
    <w:rsid w:val="009D6A99"/>
    <w:rsid w:val="009D7967"/>
    <w:rsid w:val="009E56A0"/>
    <w:rsid w:val="00A1023D"/>
    <w:rsid w:val="00A1297A"/>
    <w:rsid w:val="00A139EE"/>
    <w:rsid w:val="00A153DC"/>
    <w:rsid w:val="00A36348"/>
    <w:rsid w:val="00A413DB"/>
    <w:rsid w:val="00A43C83"/>
    <w:rsid w:val="00A473CA"/>
    <w:rsid w:val="00A4749D"/>
    <w:rsid w:val="00A5125A"/>
    <w:rsid w:val="00A51FCA"/>
    <w:rsid w:val="00A54079"/>
    <w:rsid w:val="00A54F4D"/>
    <w:rsid w:val="00A55A97"/>
    <w:rsid w:val="00A66B5B"/>
    <w:rsid w:val="00A723F1"/>
    <w:rsid w:val="00A7384C"/>
    <w:rsid w:val="00A87CCB"/>
    <w:rsid w:val="00A9626B"/>
    <w:rsid w:val="00AA3859"/>
    <w:rsid w:val="00AB2935"/>
    <w:rsid w:val="00AB42EA"/>
    <w:rsid w:val="00AB586D"/>
    <w:rsid w:val="00AC7963"/>
    <w:rsid w:val="00AD5953"/>
    <w:rsid w:val="00AE356A"/>
    <w:rsid w:val="00AE5B30"/>
    <w:rsid w:val="00AE6978"/>
    <w:rsid w:val="00AF484B"/>
    <w:rsid w:val="00B03709"/>
    <w:rsid w:val="00B122AA"/>
    <w:rsid w:val="00B13446"/>
    <w:rsid w:val="00B14254"/>
    <w:rsid w:val="00B22D2C"/>
    <w:rsid w:val="00B51F4A"/>
    <w:rsid w:val="00B53CAE"/>
    <w:rsid w:val="00B55EC0"/>
    <w:rsid w:val="00B568C7"/>
    <w:rsid w:val="00B66A7F"/>
    <w:rsid w:val="00B735EF"/>
    <w:rsid w:val="00B7469D"/>
    <w:rsid w:val="00B77EEE"/>
    <w:rsid w:val="00B90C71"/>
    <w:rsid w:val="00B9396D"/>
    <w:rsid w:val="00B94F51"/>
    <w:rsid w:val="00B95666"/>
    <w:rsid w:val="00BA52FB"/>
    <w:rsid w:val="00BB4C39"/>
    <w:rsid w:val="00BC22FB"/>
    <w:rsid w:val="00BC2677"/>
    <w:rsid w:val="00BC506A"/>
    <w:rsid w:val="00BD2D86"/>
    <w:rsid w:val="00BD4A31"/>
    <w:rsid w:val="00BE1AEE"/>
    <w:rsid w:val="00BE2229"/>
    <w:rsid w:val="00BF0D78"/>
    <w:rsid w:val="00BF1C84"/>
    <w:rsid w:val="00BF5FED"/>
    <w:rsid w:val="00C043F9"/>
    <w:rsid w:val="00C04D7F"/>
    <w:rsid w:val="00C15906"/>
    <w:rsid w:val="00C263FA"/>
    <w:rsid w:val="00C27042"/>
    <w:rsid w:val="00C32E75"/>
    <w:rsid w:val="00C43FC4"/>
    <w:rsid w:val="00C4559E"/>
    <w:rsid w:val="00C564C9"/>
    <w:rsid w:val="00C63294"/>
    <w:rsid w:val="00C74767"/>
    <w:rsid w:val="00C758C2"/>
    <w:rsid w:val="00C775DA"/>
    <w:rsid w:val="00C8305E"/>
    <w:rsid w:val="00C87ADC"/>
    <w:rsid w:val="00C903F9"/>
    <w:rsid w:val="00C96AE1"/>
    <w:rsid w:val="00CB05F5"/>
    <w:rsid w:val="00CB2CCE"/>
    <w:rsid w:val="00CB3AD0"/>
    <w:rsid w:val="00CD4650"/>
    <w:rsid w:val="00CD77DC"/>
    <w:rsid w:val="00CE0899"/>
    <w:rsid w:val="00CE43FB"/>
    <w:rsid w:val="00CE575D"/>
    <w:rsid w:val="00CF666F"/>
    <w:rsid w:val="00D272AB"/>
    <w:rsid w:val="00D36AFE"/>
    <w:rsid w:val="00D4071A"/>
    <w:rsid w:val="00D415E6"/>
    <w:rsid w:val="00D41B12"/>
    <w:rsid w:val="00D44E94"/>
    <w:rsid w:val="00D82FFB"/>
    <w:rsid w:val="00D86A80"/>
    <w:rsid w:val="00D96D3A"/>
    <w:rsid w:val="00D9766A"/>
    <w:rsid w:val="00DA3B4C"/>
    <w:rsid w:val="00DA4417"/>
    <w:rsid w:val="00DA5C20"/>
    <w:rsid w:val="00DB4DB6"/>
    <w:rsid w:val="00DC078A"/>
    <w:rsid w:val="00DC2E1A"/>
    <w:rsid w:val="00DC63D5"/>
    <w:rsid w:val="00DD441A"/>
    <w:rsid w:val="00DD5B67"/>
    <w:rsid w:val="00DD6C27"/>
    <w:rsid w:val="00DE7F01"/>
    <w:rsid w:val="00DF3C9F"/>
    <w:rsid w:val="00E1676E"/>
    <w:rsid w:val="00E172AD"/>
    <w:rsid w:val="00E1764D"/>
    <w:rsid w:val="00E35273"/>
    <w:rsid w:val="00E43272"/>
    <w:rsid w:val="00E529A4"/>
    <w:rsid w:val="00E53A32"/>
    <w:rsid w:val="00E54CC2"/>
    <w:rsid w:val="00E623C5"/>
    <w:rsid w:val="00E93AD0"/>
    <w:rsid w:val="00EB531C"/>
    <w:rsid w:val="00EB5942"/>
    <w:rsid w:val="00EB597F"/>
    <w:rsid w:val="00EC4770"/>
    <w:rsid w:val="00ED16E0"/>
    <w:rsid w:val="00ED7219"/>
    <w:rsid w:val="00EE0165"/>
    <w:rsid w:val="00EE58D8"/>
    <w:rsid w:val="00EF2DCD"/>
    <w:rsid w:val="00EF724A"/>
    <w:rsid w:val="00F01911"/>
    <w:rsid w:val="00F027B3"/>
    <w:rsid w:val="00F048BA"/>
    <w:rsid w:val="00F05E56"/>
    <w:rsid w:val="00F17D39"/>
    <w:rsid w:val="00F24261"/>
    <w:rsid w:val="00F362ED"/>
    <w:rsid w:val="00F57857"/>
    <w:rsid w:val="00F65514"/>
    <w:rsid w:val="00F763A3"/>
    <w:rsid w:val="00F84EF2"/>
    <w:rsid w:val="00F93A1E"/>
    <w:rsid w:val="00F9449B"/>
    <w:rsid w:val="00F958FE"/>
    <w:rsid w:val="00FA080B"/>
    <w:rsid w:val="00FA1B13"/>
    <w:rsid w:val="00FB29F6"/>
    <w:rsid w:val="00FB2E9C"/>
    <w:rsid w:val="00FB3145"/>
    <w:rsid w:val="00FB5280"/>
    <w:rsid w:val="00FC0808"/>
    <w:rsid w:val="00FC0C03"/>
    <w:rsid w:val="00FD0957"/>
    <w:rsid w:val="00FD1297"/>
    <w:rsid w:val="00FD30DE"/>
    <w:rsid w:val="00FD35EF"/>
    <w:rsid w:val="00FE1DF3"/>
    <w:rsid w:val="00FE22C0"/>
    <w:rsid w:val="026E0171"/>
    <w:rsid w:val="0352559F"/>
    <w:rsid w:val="0402286F"/>
    <w:rsid w:val="045263AE"/>
    <w:rsid w:val="04CA77B6"/>
    <w:rsid w:val="04FE6188"/>
    <w:rsid w:val="07C23947"/>
    <w:rsid w:val="07DA42C7"/>
    <w:rsid w:val="085D1049"/>
    <w:rsid w:val="08E866EB"/>
    <w:rsid w:val="0B727430"/>
    <w:rsid w:val="0B7C4561"/>
    <w:rsid w:val="10275BE3"/>
    <w:rsid w:val="1045530E"/>
    <w:rsid w:val="1158070A"/>
    <w:rsid w:val="12203F8F"/>
    <w:rsid w:val="12AF0F2B"/>
    <w:rsid w:val="13996A8C"/>
    <w:rsid w:val="14C73E1C"/>
    <w:rsid w:val="15B15B80"/>
    <w:rsid w:val="164439EC"/>
    <w:rsid w:val="16D47E18"/>
    <w:rsid w:val="18B90CFF"/>
    <w:rsid w:val="1BB21F6E"/>
    <w:rsid w:val="1CBB6B50"/>
    <w:rsid w:val="1D047E0D"/>
    <w:rsid w:val="1D5C507C"/>
    <w:rsid w:val="1ED13455"/>
    <w:rsid w:val="1FD3695E"/>
    <w:rsid w:val="1FF70C2C"/>
    <w:rsid w:val="21356142"/>
    <w:rsid w:val="21531D87"/>
    <w:rsid w:val="217A4732"/>
    <w:rsid w:val="234C2DAD"/>
    <w:rsid w:val="24177C06"/>
    <w:rsid w:val="245328E0"/>
    <w:rsid w:val="26125975"/>
    <w:rsid w:val="2D275D82"/>
    <w:rsid w:val="2F08296F"/>
    <w:rsid w:val="2FB17C36"/>
    <w:rsid w:val="300F2A8A"/>
    <w:rsid w:val="30711A91"/>
    <w:rsid w:val="309C26A0"/>
    <w:rsid w:val="311717F1"/>
    <w:rsid w:val="32F00034"/>
    <w:rsid w:val="34C53B82"/>
    <w:rsid w:val="373A5E08"/>
    <w:rsid w:val="377E07CB"/>
    <w:rsid w:val="37851916"/>
    <w:rsid w:val="38E818F2"/>
    <w:rsid w:val="392653E4"/>
    <w:rsid w:val="3927476A"/>
    <w:rsid w:val="398E2332"/>
    <w:rsid w:val="39C36FD4"/>
    <w:rsid w:val="39C77388"/>
    <w:rsid w:val="39DD6971"/>
    <w:rsid w:val="3AA543A0"/>
    <w:rsid w:val="3B6304EC"/>
    <w:rsid w:val="3CDE455E"/>
    <w:rsid w:val="3D8B6634"/>
    <w:rsid w:val="3F366A97"/>
    <w:rsid w:val="3F565DAC"/>
    <w:rsid w:val="3FA316DC"/>
    <w:rsid w:val="40EE062D"/>
    <w:rsid w:val="43495F9C"/>
    <w:rsid w:val="460C649A"/>
    <w:rsid w:val="47C80303"/>
    <w:rsid w:val="48E6349B"/>
    <w:rsid w:val="48F57FB3"/>
    <w:rsid w:val="49015918"/>
    <w:rsid w:val="492A259C"/>
    <w:rsid w:val="49D4781F"/>
    <w:rsid w:val="4CCB5239"/>
    <w:rsid w:val="4F7C777B"/>
    <w:rsid w:val="5044100E"/>
    <w:rsid w:val="56826696"/>
    <w:rsid w:val="58243F69"/>
    <w:rsid w:val="59EE4613"/>
    <w:rsid w:val="5A4E3394"/>
    <w:rsid w:val="5A595E20"/>
    <w:rsid w:val="5A945FE1"/>
    <w:rsid w:val="5C0E7F8D"/>
    <w:rsid w:val="5DC95A84"/>
    <w:rsid w:val="5E9F0C8F"/>
    <w:rsid w:val="5EA01D9D"/>
    <w:rsid w:val="5F4B270A"/>
    <w:rsid w:val="63004BD0"/>
    <w:rsid w:val="656D674B"/>
    <w:rsid w:val="658314CB"/>
    <w:rsid w:val="66842D71"/>
    <w:rsid w:val="66AF65DA"/>
    <w:rsid w:val="67E320B6"/>
    <w:rsid w:val="68ED2D4F"/>
    <w:rsid w:val="69A2662D"/>
    <w:rsid w:val="69D519B4"/>
    <w:rsid w:val="6D983628"/>
    <w:rsid w:val="6DDE4723"/>
    <w:rsid w:val="6F8454D6"/>
    <w:rsid w:val="6F9C66A6"/>
    <w:rsid w:val="70A36645"/>
    <w:rsid w:val="72A33D26"/>
    <w:rsid w:val="73980B9B"/>
    <w:rsid w:val="743A15DE"/>
    <w:rsid w:val="745D4C60"/>
    <w:rsid w:val="757F3BE3"/>
    <w:rsid w:val="75E06877"/>
    <w:rsid w:val="766C18F8"/>
    <w:rsid w:val="7A9B68AB"/>
    <w:rsid w:val="7DF6407D"/>
    <w:rsid w:val="7EA8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0">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annotation text"/>
    <w:basedOn w:val="1"/>
    <w:link w:val="35"/>
    <w:unhideWhenUsed/>
    <w:qFormat/>
    <w:uiPriority w:val="99"/>
    <w:pPr>
      <w:jc w:val="left"/>
    </w:pPr>
  </w:style>
  <w:style w:type="paragraph" w:styleId="3">
    <w:name w:val="Body Text"/>
    <w:basedOn w:val="1"/>
    <w:next w:val="1"/>
    <w:unhideWhenUsed/>
    <w:qFormat/>
    <w:uiPriority w:val="0"/>
    <w:pPr>
      <w:spacing w:after="120"/>
    </w:pPr>
    <w:rPr>
      <w:rFonts w:ascii="Calibri" w:hAnsi="Calibri"/>
      <w:szCs w:val="22"/>
    </w:rPr>
  </w:style>
  <w:style w:type="paragraph" w:styleId="4">
    <w:name w:val="Date"/>
    <w:basedOn w:val="1"/>
    <w:next w:val="1"/>
    <w:link w:val="33"/>
    <w:unhideWhenUsed/>
    <w:qFormat/>
    <w:uiPriority w:val="99"/>
    <w:pPr>
      <w:ind w:left="100" w:leftChars="2500"/>
    </w:pPr>
  </w:style>
  <w:style w:type="paragraph" w:styleId="5">
    <w:name w:val="Balloon Text"/>
    <w:basedOn w:val="1"/>
    <w:link w:val="27"/>
    <w:unhideWhenUsed/>
    <w:qFormat/>
    <w:uiPriority w:val="99"/>
    <w:rPr>
      <w:sz w:val="18"/>
      <w:szCs w:val="18"/>
    </w:rPr>
  </w:style>
  <w:style w:type="paragraph" w:styleId="6">
    <w:name w:val="footer"/>
    <w:basedOn w:val="1"/>
    <w:link w:val="25"/>
    <w:unhideWhenUsed/>
    <w:qFormat/>
    <w:uiPriority w:val="99"/>
    <w:pPr>
      <w:tabs>
        <w:tab w:val="center" w:pos="4153"/>
        <w:tab w:val="right" w:pos="8306"/>
      </w:tabs>
      <w:snapToGrid w:val="0"/>
      <w:jc w:val="left"/>
    </w:pPr>
    <w:rPr>
      <w:sz w:val="18"/>
      <w:szCs w:val="18"/>
    </w:rPr>
  </w:style>
  <w:style w:type="paragraph" w:styleId="7">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semiHidden/>
    <w:unhideWhenUsed/>
    <w:qFormat/>
    <w:uiPriority w:val="39"/>
  </w:style>
  <w:style w:type="paragraph" w:styleId="9">
    <w:name w:val="annotation subject"/>
    <w:basedOn w:val="2"/>
    <w:next w:val="2"/>
    <w:link w:val="36"/>
    <w:unhideWhenUsed/>
    <w:qFormat/>
    <w:uiPriority w:val="99"/>
    <w:rPr>
      <w:b/>
      <w:bCs/>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12">
    <w:name w:val="Light Shading Accent 4"/>
    <w:basedOn w:val="10"/>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3">
    <w:name w:val="Light Shading Accent 5"/>
    <w:basedOn w:val="10"/>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4">
    <w:name w:val="Light List Accent 5"/>
    <w:basedOn w:val="10"/>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5">
    <w:name w:val="Light Grid Accent 6"/>
    <w:basedOn w:val="10"/>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6">
    <w:name w:val="Medium Shading 1 Accent 3"/>
    <w:basedOn w:val="10"/>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7">
    <w:name w:val="Medium Grid 1 Accent 5"/>
    <w:basedOn w:val="10"/>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
    <w:name w:val="Medium Grid 3 Accent 5"/>
    <w:basedOn w:val="10"/>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9">
    <w:name w:val="Colorful Grid Accent 5"/>
    <w:basedOn w:val="10"/>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21">
    <w:name w:val="FollowedHyperlink"/>
    <w:basedOn w:val="20"/>
    <w:unhideWhenUsed/>
    <w:qFormat/>
    <w:uiPriority w:val="99"/>
    <w:rPr>
      <w:color w:val="800080"/>
      <w:u w:val="single"/>
    </w:rPr>
  </w:style>
  <w:style w:type="character" w:styleId="22">
    <w:name w:val="Hyperlink"/>
    <w:basedOn w:val="20"/>
    <w:unhideWhenUsed/>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页眉 字符"/>
    <w:basedOn w:val="20"/>
    <w:link w:val="7"/>
    <w:qFormat/>
    <w:uiPriority w:val="99"/>
    <w:rPr>
      <w:sz w:val="18"/>
      <w:szCs w:val="18"/>
    </w:rPr>
  </w:style>
  <w:style w:type="character" w:customStyle="1" w:styleId="25">
    <w:name w:val="页脚 字符"/>
    <w:basedOn w:val="20"/>
    <w:link w:val="6"/>
    <w:qFormat/>
    <w:uiPriority w:val="99"/>
    <w:rPr>
      <w:sz w:val="18"/>
      <w:szCs w:val="18"/>
    </w:rPr>
  </w:style>
  <w:style w:type="paragraph" w:customStyle="1" w:styleId="26">
    <w:name w:val="列出段落1"/>
    <w:basedOn w:val="1"/>
    <w:qFormat/>
    <w:uiPriority w:val="99"/>
    <w:pPr>
      <w:ind w:firstLine="420" w:firstLineChars="200"/>
    </w:pPr>
  </w:style>
  <w:style w:type="character" w:customStyle="1" w:styleId="27">
    <w:name w:val="批注框文本 字符"/>
    <w:basedOn w:val="20"/>
    <w:link w:val="5"/>
    <w:semiHidden/>
    <w:qFormat/>
    <w:uiPriority w:val="99"/>
    <w:rPr>
      <w:sz w:val="18"/>
      <w:szCs w:val="18"/>
    </w:rPr>
  </w:style>
  <w:style w:type="paragraph" w:customStyle="1" w:styleId="28">
    <w:name w:val="font5"/>
    <w:basedOn w:val="1"/>
    <w:qFormat/>
    <w:uiPriority w:val="0"/>
    <w:pPr>
      <w:widowControl/>
      <w:spacing w:before="100" w:beforeAutospacing="1" w:after="100" w:afterAutospacing="1"/>
      <w:jc w:val="left"/>
    </w:pPr>
    <w:rPr>
      <w:rFonts w:ascii="Arial" w:hAnsi="Arial" w:eastAsia="宋体" w:cs="Arial"/>
      <w:kern w:val="0"/>
      <w:sz w:val="16"/>
      <w:szCs w:val="16"/>
    </w:rPr>
  </w:style>
  <w:style w:type="paragraph" w:customStyle="1" w:styleId="29">
    <w:name w:val="font6"/>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30">
    <w:name w:val="xl6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1">
    <w:name w:val="xl67"/>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2">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character" w:customStyle="1" w:styleId="33">
    <w:name w:val="日期 字符"/>
    <w:basedOn w:val="20"/>
    <w:link w:val="4"/>
    <w:semiHidden/>
    <w:qFormat/>
    <w:uiPriority w:val="99"/>
    <w:rPr>
      <w:kern w:val="2"/>
      <w:sz w:val="21"/>
      <w:szCs w:val="22"/>
    </w:rPr>
  </w:style>
  <w:style w:type="paragraph" w:customStyle="1" w:styleId="34">
    <w:name w:val="列出段落2"/>
    <w:basedOn w:val="1"/>
    <w:unhideWhenUsed/>
    <w:qFormat/>
    <w:uiPriority w:val="99"/>
    <w:pPr>
      <w:ind w:firstLine="420" w:firstLineChars="200"/>
    </w:pPr>
  </w:style>
  <w:style w:type="character" w:customStyle="1" w:styleId="35">
    <w:name w:val="批注文字 字符"/>
    <w:basedOn w:val="20"/>
    <w:link w:val="2"/>
    <w:semiHidden/>
    <w:qFormat/>
    <w:uiPriority w:val="99"/>
    <w:rPr>
      <w:rFonts w:asciiTheme="minorHAnsi" w:hAnsiTheme="minorHAnsi" w:eastAsiaTheme="minorEastAsia" w:cstheme="minorBidi"/>
      <w:kern w:val="2"/>
      <w:sz w:val="21"/>
      <w:szCs w:val="22"/>
    </w:rPr>
  </w:style>
  <w:style w:type="character" w:customStyle="1" w:styleId="36">
    <w:name w:val="批注主题 字符"/>
    <w:basedOn w:val="35"/>
    <w:link w:val="9"/>
    <w:semiHidden/>
    <w:qFormat/>
    <w:uiPriority w:val="99"/>
    <w:rPr>
      <w:rFonts w:asciiTheme="minorHAnsi" w:hAnsiTheme="minorHAnsi" w:eastAsiaTheme="minorEastAsia" w:cstheme="minorBidi"/>
      <w:b/>
      <w:bCs/>
      <w:kern w:val="2"/>
      <w:sz w:val="21"/>
      <w:szCs w:val="22"/>
    </w:rPr>
  </w:style>
  <w:style w:type="character" w:customStyle="1" w:styleId="37">
    <w:name w:val="font01"/>
    <w:basedOn w:val="20"/>
    <w:qFormat/>
    <w:uiPriority w:val="0"/>
    <w:rPr>
      <w:rFonts w:hint="default" w:ascii="Arial" w:hAnsi="Arial" w:cs="Arial"/>
      <w:color w:val="000000"/>
      <w:sz w:val="20"/>
      <w:szCs w:val="20"/>
      <w:u w:val="none"/>
    </w:rPr>
  </w:style>
  <w:style w:type="character" w:customStyle="1" w:styleId="38">
    <w:name w:val="font51"/>
    <w:basedOn w:val="20"/>
    <w:qFormat/>
    <w:uiPriority w:val="0"/>
    <w:rPr>
      <w:rFonts w:hint="eastAsia" w:ascii="宋体" w:hAnsi="宋体" w:eastAsia="宋体" w:cs="宋体"/>
      <w:color w:val="000000"/>
      <w:sz w:val="20"/>
      <w:szCs w:val="20"/>
      <w:u w:val="none"/>
    </w:rPr>
  </w:style>
  <w:style w:type="character" w:customStyle="1" w:styleId="39">
    <w:name w:val="font11"/>
    <w:basedOn w:val="20"/>
    <w:qFormat/>
    <w:uiPriority w:val="0"/>
    <w:rPr>
      <w:rFonts w:hint="default" w:ascii="Arial" w:hAnsi="Arial" w:cs="Arial"/>
      <w:color w:val="000000"/>
      <w:sz w:val="20"/>
      <w:szCs w:val="20"/>
      <w:u w:val="none"/>
    </w:rPr>
  </w:style>
  <w:style w:type="paragraph" w:customStyle="1" w:styleId="40">
    <w:name w:val="正文格式"/>
    <w:basedOn w:val="3"/>
    <w:qFormat/>
    <w:uiPriority w:val="0"/>
    <w:pPr>
      <w:widowControl/>
      <w:adjustRightInd w:val="0"/>
      <w:snapToGrid w:val="0"/>
      <w:spacing w:line="400" w:lineRule="atLeast"/>
      <w:ind w:firstLine="482"/>
      <w:textAlignment w:val="baseline"/>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1">
                <a:latin typeface="仿宋" panose="02010609060101010101" pitchFamily="3" charset="-122"/>
                <a:ea typeface="仿宋" panose="02010609060101010101" pitchFamily="3" charset="-122"/>
              </a:rPr>
              <a:t>图</a:t>
            </a:r>
            <a:r>
              <a:rPr lang="en-US" altLang="zh-CN" sz="1400" b="1">
                <a:latin typeface="仿宋" panose="02010609060101010101" pitchFamily="3" charset="-122"/>
                <a:ea typeface="仿宋" panose="02010609060101010101" pitchFamily="3" charset="-122"/>
              </a:rPr>
              <a:t>1 </a:t>
            </a:r>
            <a:r>
              <a:rPr lang="zh-CN" altLang="en-US" sz="1400" b="1">
                <a:latin typeface="仿宋" panose="02010609060101010101" pitchFamily="3" charset="-122"/>
                <a:ea typeface="仿宋" panose="02010609060101010101" pitchFamily="3" charset="-122"/>
              </a:rPr>
              <a:t>类别</a:t>
            </a:r>
            <a:r>
              <a:rPr lang="zh-CN" altLang="zh-CN" sz="1400" b="1">
                <a:latin typeface="仿宋" panose="02010609060101010101" pitchFamily="3" charset="-122"/>
                <a:ea typeface="仿宋" panose="02010609060101010101" pitchFamily="3" charset="-122"/>
              </a:rPr>
              <a:t>抽查结果</a:t>
            </a:r>
            <a:endParaRPr lang="zh-CN" altLang="zh-CN" sz="1400">
              <a:latin typeface="仿宋" panose="02010609060101010101" pitchFamily="3" charset="-122"/>
              <a:ea typeface="仿宋" panose="02010609060101010101" pitchFamily="3" charset="-122"/>
            </a:endParaRPr>
          </a:p>
        </c:rich>
      </c:tx>
      <c:layout>
        <c:manualLayout>
          <c:xMode val="edge"/>
          <c:yMode val="edge"/>
          <c:x val="0.3651869245413"/>
          <c:y val="0.0241886716387825"/>
        </c:manualLayout>
      </c:layout>
      <c:overlay val="0"/>
    </c:title>
    <c:autoTitleDeleted val="0"/>
    <c:plotArea>
      <c:layout>
        <c:manualLayout>
          <c:layoutTarget val="inner"/>
          <c:xMode val="edge"/>
          <c:yMode val="edge"/>
          <c:x val="0.0617832038475768"/>
          <c:y val="0.119756644252321"/>
          <c:w val="0.867677888765569"/>
          <c:h val="0.567723342939481"/>
        </c:manualLayout>
      </c:layout>
      <c:barChart>
        <c:barDir val="col"/>
        <c:grouping val="clustered"/>
        <c:varyColors val="0"/>
        <c:ser>
          <c:idx val="0"/>
          <c:order val="0"/>
          <c:tx>
            <c:strRef>
              <c:f>Sheet1!$B$1</c:f>
              <c:strCache>
                <c:ptCount val="1"/>
                <c:pt idx="0">
                  <c:v>抽查批次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口罩</c:v>
                </c:pt>
              </c:strCache>
            </c:strRef>
          </c:cat>
          <c:val>
            <c:numRef>
              <c:f>Sheet1!$B$2</c:f>
              <c:numCache>
                <c:formatCode>General</c:formatCode>
                <c:ptCount val="1"/>
                <c:pt idx="0">
                  <c:v>5</c:v>
                </c:pt>
              </c:numCache>
            </c:numRef>
          </c:val>
        </c:ser>
        <c:ser>
          <c:idx val="1"/>
          <c:order val="1"/>
          <c:tx>
            <c:strRef>
              <c:f>Sheet1!$C$1</c:f>
              <c:strCache>
                <c:ptCount val="1"/>
                <c:pt idx="0">
                  <c:v>合格批次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口罩</c:v>
                </c:pt>
              </c:strCache>
            </c:strRef>
          </c:cat>
          <c:val>
            <c:numRef>
              <c:f>Sheet1!$C$2</c:f>
              <c:numCache>
                <c:formatCode>General</c:formatCode>
                <c:ptCount val="1"/>
                <c:pt idx="0">
                  <c:v>5</c:v>
                </c:pt>
              </c:numCache>
            </c:numRef>
          </c:val>
        </c:ser>
        <c:dLbls>
          <c:showLegendKey val="0"/>
          <c:showVal val="0"/>
          <c:showCatName val="0"/>
          <c:showSerName val="0"/>
          <c:showPercent val="0"/>
          <c:showBubbleSize val="0"/>
        </c:dLbls>
        <c:gapWidth val="75"/>
        <c:overlap val="-25"/>
        <c:axId val="256744832"/>
        <c:axId val="256745392"/>
      </c:barChart>
      <c:lineChart>
        <c:grouping val="standard"/>
        <c:varyColors val="0"/>
        <c:ser>
          <c:idx val="2"/>
          <c:order val="2"/>
          <c:tx>
            <c:strRef>
              <c:f>Sheet1!$D$1</c:f>
              <c:strCache>
                <c:ptCount val="1"/>
                <c:pt idx="0">
                  <c:v>合格率（%）</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c:f>
              <c:strCache>
                <c:ptCount val="1"/>
                <c:pt idx="0">
                  <c:v>口罩</c:v>
                </c:pt>
              </c:strCache>
            </c:strRef>
          </c:cat>
          <c:val>
            <c:numRef>
              <c:f>Sheet1!$D$2</c:f>
              <c:numCache>
                <c:formatCode>General</c:formatCode>
                <c:ptCount val="1"/>
                <c:pt idx="0">
                  <c:v>100</c:v>
                </c:pt>
              </c:numCache>
            </c:numRef>
          </c:val>
          <c:smooth val="0"/>
        </c:ser>
        <c:dLbls>
          <c:showLegendKey val="0"/>
          <c:showVal val="0"/>
          <c:showCatName val="0"/>
          <c:showSerName val="0"/>
          <c:showPercent val="0"/>
          <c:showBubbleSize val="0"/>
        </c:dLbls>
        <c:marker val="1"/>
        <c:smooth val="0"/>
        <c:axId val="457512800"/>
        <c:axId val="457507760"/>
      </c:lineChart>
      <c:catAx>
        <c:axId val="256744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5392"/>
        <c:crosses val="autoZero"/>
        <c:auto val="1"/>
        <c:lblAlgn val="ctr"/>
        <c:lblOffset val="100"/>
        <c:noMultiLvlLbl val="0"/>
      </c:catAx>
      <c:valAx>
        <c:axId val="256745392"/>
        <c:scaling>
          <c:orientation val="minMax"/>
          <c:max val="30"/>
          <c:min val="0"/>
        </c:scaling>
        <c:delete val="0"/>
        <c:axPos val="l"/>
        <c:majorGridlines/>
        <c:numFmt formatCode="General"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4832"/>
        <c:crosses val="autoZero"/>
        <c:crossBetween val="between"/>
        <c:majorUnit val="2"/>
      </c:valAx>
      <c:catAx>
        <c:axId val="457512800"/>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07760"/>
        <c:crosses val="autoZero"/>
        <c:auto val="1"/>
        <c:lblAlgn val="ctr"/>
        <c:lblOffset val="100"/>
        <c:noMultiLvlLbl val="0"/>
      </c:catAx>
      <c:valAx>
        <c:axId val="457507760"/>
        <c:scaling>
          <c:orientation val="minMax"/>
          <c:max val="100"/>
        </c:scaling>
        <c:delete val="0"/>
        <c:axPos val="r"/>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12800"/>
        <c:crosses val="max"/>
        <c:crossBetween val="between"/>
      </c:valAx>
    </c:plotArea>
    <c:legend>
      <c:legendPos val="b"/>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b="1">
                <a:solidFill>
                  <a:sysClr val="windowText" lastClr="000000"/>
                </a:solidFill>
                <a:latin typeface="仿宋" panose="02010609060101010101" pitchFamily="3" charset="-122"/>
                <a:ea typeface="仿宋" panose="02010609060101010101" pitchFamily="3" charset="-122"/>
              </a:rPr>
              <a:t>图</a:t>
            </a:r>
            <a:r>
              <a:rPr lang="en-US" b="1">
                <a:solidFill>
                  <a:sysClr val="windowText" lastClr="000000"/>
                </a:solidFill>
                <a:latin typeface="仿宋" panose="02010609060101010101" pitchFamily="3" charset="-122"/>
                <a:ea typeface="仿宋" panose="02010609060101010101" pitchFamily="3" charset="-122"/>
              </a:rPr>
              <a:t>2 </a:t>
            </a:r>
            <a:r>
              <a:rPr lang="zh-CN" b="1">
                <a:solidFill>
                  <a:sysClr val="windowText" lastClr="000000"/>
                </a:solidFill>
                <a:latin typeface="仿宋" panose="02010609060101010101" pitchFamily="3" charset="-122"/>
                <a:ea typeface="仿宋" panose="02010609060101010101" pitchFamily="3" charset="-122"/>
              </a:rPr>
              <a:t>类别抽查占比</a:t>
            </a:r>
            <a:r>
              <a:rPr lang="en-US"/>
              <a:t> </a:t>
            </a:r>
            <a:endParaRPr lang="zh-CN"/>
          </a:p>
        </c:rich>
      </c:tx>
      <c:layout/>
      <c:overlay val="0"/>
      <c:spPr>
        <a:noFill/>
        <a:ln>
          <a:noFill/>
        </a:ln>
        <a:effectLst/>
      </c:spPr>
    </c:title>
    <c:autoTitleDeleted val="0"/>
    <c:plotArea>
      <c:layout/>
      <c:pieChart>
        <c:varyColors val="1"/>
        <c:ser>
          <c:idx val="0"/>
          <c:order val="0"/>
          <c:tx>
            <c:strRef>
              <c:f>Sheet1!$B$1</c:f>
              <c:strCache>
                <c:ptCount val="1"/>
                <c:pt idx="0">
                  <c:v>抽查批次</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口罩</c:v>
                </c:pt>
              </c:strCache>
            </c:strRef>
          </c:cat>
          <c:val>
            <c:numRef>
              <c:f>Sheet1!$B$2</c:f>
              <c:numCache>
                <c:formatCode>General</c:formatCode>
                <c:ptCount val="1"/>
                <c:pt idx="0">
                  <c:v>25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F3C08-5DEC-4362-85EE-F802688E769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1288</Words>
  <Characters>1407</Characters>
  <Lines>32</Lines>
  <Paragraphs>9</Paragraphs>
  <TotalTime>10</TotalTime>
  <ScaleCrop>false</ScaleCrop>
  <LinksUpToDate>false</LinksUpToDate>
  <CharactersWithSpaces>1464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2018-01-29T01:52:00Z</dcterms:created>
  <dc:creator>Administrator</dc:creator>
  <cp:lastModifiedBy>二月</cp:lastModifiedBy>
  <cp:lastPrinted>2020-12-04T05:30:00Z</cp:lastPrinted>
  <dcterms:modified xsi:type="dcterms:W3CDTF">2022-10-14T05:26:07Z</dcterms:modified>
  <dc:title>2017年宁夏回族自治区工商行政管理局流通领域日化用品商品质量抽查检验结果分析报告</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DBD4F8132F5E47258F7B89EB789B1AC7</vt:lpwstr>
  </property>
</Properties>
</file>