
<file path=[Content_Types].xml><?xml version="1.0" encoding="utf-8"?>
<Types xmlns="http://schemas.openxmlformats.org/package/2006/content-types">
  <Default Extension="xml" ContentType="application/xml"/>
  <Default Extension="xlsx" ContentType="application/vnd.openxmlformats-officedocument.spreadsheetml.sheet"/>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rPr>
          <w:rFonts w:asciiTheme="minorEastAsia" w:hAnsiTheme="minorEastAsia"/>
          <w:b/>
          <w:sz w:val="36"/>
          <w:szCs w:val="36"/>
        </w:rPr>
      </w:pPr>
    </w:p>
    <w:p>
      <w:pPr>
        <w:spacing w:line="480" w:lineRule="auto"/>
        <w:jc w:val="center"/>
        <w:rPr>
          <w:rFonts w:asciiTheme="minorEastAsia" w:hAnsiTheme="minorEastAsia"/>
          <w:b/>
          <w:sz w:val="36"/>
          <w:szCs w:val="36"/>
        </w:rPr>
      </w:pPr>
    </w:p>
    <w:p>
      <w:pPr>
        <w:spacing w:line="480" w:lineRule="auto"/>
        <w:jc w:val="center"/>
        <w:rPr>
          <w:rFonts w:asciiTheme="minorEastAsia" w:hAnsiTheme="minorEastAsia"/>
          <w:b/>
          <w:sz w:val="36"/>
          <w:szCs w:val="36"/>
        </w:rPr>
      </w:pPr>
    </w:p>
    <w:p>
      <w:pPr>
        <w:spacing w:line="640" w:lineRule="exact"/>
        <w:jc w:val="center"/>
        <w:rPr>
          <w:rFonts w:hint="eastAsia"/>
          <w:b/>
          <w:bCs/>
          <w:sz w:val="48"/>
          <w:szCs w:val="48"/>
        </w:rPr>
      </w:pPr>
      <w:r>
        <w:rPr>
          <w:rFonts w:hint="eastAsia"/>
          <w:b/>
          <w:bCs/>
          <w:sz w:val="48"/>
          <w:szCs w:val="48"/>
        </w:rPr>
        <w:t>南昌市市场监督管理局</w:t>
      </w:r>
    </w:p>
    <w:p>
      <w:pPr>
        <w:spacing w:line="640" w:lineRule="exact"/>
        <w:jc w:val="center"/>
        <w:rPr>
          <w:b/>
          <w:bCs/>
          <w:sz w:val="48"/>
          <w:szCs w:val="48"/>
        </w:rPr>
      </w:pPr>
      <w:r>
        <w:rPr>
          <w:rFonts w:hint="eastAsia"/>
          <w:b/>
          <w:bCs/>
          <w:sz w:val="48"/>
          <w:szCs w:val="48"/>
        </w:rPr>
        <w:t>流通领域商品质量抽查检验分析报告</w:t>
      </w:r>
    </w:p>
    <w:p>
      <w:pPr>
        <w:spacing w:line="480" w:lineRule="auto"/>
        <w:jc w:val="center"/>
        <w:rPr>
          <w:rFonts w:asciiTheme="minorEastAsia" w:hAnsiTheme="minorEastAsia"/>
          <w:b/>
          <w:sz w:val="24"/>
          <w:szCs w:val="24"/>
        </w:rPr>
      </w:pPr>
    </w:p>
    <w:p>
      <w:pPr>
        <w:spacing w:line="480" w:lineRule="auto"/>
        <w:jc w:val="center"/>
        <w:rPr>
          <w:rFonts w:asciiTheme="minorEastAsia" w:hAnsiTheme="minorEastAsia"/>
          <w:b/>
          <w:sz w:val="24"/>
          <w:szCs w:val="24"/>
        </w:rPr>
      </w:pPr>
    </w:p>
    <w:p>
      <w:pPr>
        <w:spacing w:line="480" w:lineRule="auto"/>
        <w:jc w:val="center"/>
        <w:rPr>
          <w:rFonts w:asciiTheme="minorEastAsia" w:hAnsiTheme="minorEastAsia"/>
          <w:b/>
          <w:sz w:val="24"/>
          <w:szCs w:val="24"/>
        </w:rPr>
      </w:pPr>
    </w:p>
    <w:p>
      <w:pPr>
        <w:spacing w:line="480" w:lineRule="auto"/>
        <w:jc w:val="center"/>
        <w:rPr>
          <w:rFonts w:asciiTheme="minorEastAsia" w:hAnsiTheme="minorEastAsia"/>
          <w:b/>
          <w:sz w:val="24"/>
          <w:szCs w:val="24"/>
        </w:rPr>
      </w:pPr>
    </w:p>
    <w:p>
      <w:pPr>
        <w:spacing w:line="480" w:lineRule="auto"/>
        <w:jc w:val="center"/>
        <w:rPr>
          <w:rFonts w:asciiTheme="minorEastAsia" w:hAnsiTheme="minorEastAsia"/>
          <w:b/>
          <w:sz w:val="24"/>
          <w:szCs w:val="24"/>
        </w:rPr>
      </w:pPr>
    </w:p>
    <w:p>
      <w:pPr>
        <w:spacing w:line="480" w:lineRule="auto"/>
        <w:jc w:val="center"/>
        <w:rPr>
          <w:rFonts w:asciiTheme="minorEastAsia" w:hAnsiTheme="minorEastAsia"/>
          <w:b/>
          <w:sz w:val="24"/>
          <w:szCs w:val="24"/>
        </w:rPr>
      </w:pPr>
    </w:p>
    <w:p>
      <w:pPr>
        <w:spacing w:line="480" w:lineRule="auto"/>
        <w:jc w:val="center"/>
        <w:rPr>
          <w:rFonts w:asciiTheme="minorEastAsia" w:hAnsiTheme="minorEastAsia"/>
          <w:b/>
          <w:sz w:val="24"/>
          <w:szCs w:val="24"/>
        </w:rPr>
      </w:pPr>
    </w:p>
    <w:p>
      <w:pPr>
        <w:spacing w:line="480" w:lineRule="auto"/>
        <w:jc w:val="center"/>
        <w:rPr>
          <w:rFonts w:asciiTheme="minorEastAsia" w:hAnsiTheme="minorEastAsia"/>
          <w:b/>
          <w:sz w:val="24"/>
          <w:szCs w:val="24"/>
        </w:rPr>
      </w:pPr>
    </w:p>
    <w:p>
      <w:pPr>
        <w:spacing w:line="480" w:lineRule="auto"/>
        <w:jc w:val="center"/>
        <w:rPr>
          <w:rFonts w:asciiTheme="minorEastAsia" w:hAnsiTheme="minorEastAsia"/>
          <w:b/>
          <w:sz w:val="24"/>
          <w:szCs w:val="24"/>
        </w:rPr>
      </w:pPr>
    </w:p>
    <w:p>
      <w:pPr>
        <w:spacing w:line="480" w:lineRule="auto"/>
        <w:jc w:val="center"/>
        <w:rPr>
          <w:rFonts w:asciiTheme="minorEastAsia" w:hAnsiTheme="minorEastAsia"/>
          <w:b/>
          <w:sz w:val="24"/>
          <w:szCs w:val="24"/>
        </w:rPr>
      </w:pPr>
    </w:p>
    <w:p>
      <w:pPr>
        <w:spacing w:line="480" w:lineRule="auto"/>
        <w:jc w:val="center"/>
        <w:rPr>
          <w:rFonts w:asciiTheme="minorEastAsia" w:hAnsiTheme="minorEastAsia"/>
          <w:b/>
          <w:sz w:val="24"/>
          <w:szCs w:val="24"/>
        </w:rPr>
      </w:pPr>
    </w:p>
    <w:p>
      <w:pPr>
        <w:spacing w:line="480" w:lineRule="auto"/>
        <w:jc w:val="center"/>
        <w:rPr>
          <w:rFonts w:asciiTheme="minorEastAsia" w:hAnsiTheme="minorEastAsia"/>
          <w:b/>
          <w:sz w:val="24"/>
          <w:szCs w:val="24"/>
        </w:rPr>
      </w:pPr>
    </w:p>
    <w:p>
      <w:pPr>
        <w:ind w:left="1"/>
        <w:rPr>
          <w:b/>
          <w:color w:val="000000"/>
          <w:sz w:val="40"/>
          <w:szCs w:val="40"/>
        </w:rPr>
      </w:pPr>
    </w:p>
    <w:p>
      <w:pPr>
        <w:ind w:left="1"/>
        <w:rPr>
          <w:b/>
          <w:color w:val="000000"/>
          <w:sz w:val="40"/>
          <w:szCs w:val="40"/>
        </w:rPr>
      </w:pPr>
      <w:r>
        <w:rPr>
          <w:rFonts w:hint="eastAsia"/>
          <w:b/>
          <w:sz w:val="44"/>
          <w:szCs w:val="44"/>
        </w:rPr>
        <w:drawing>
          <wp:anchor distT="0" distB="0" distL="114300" distR="114300" simplePos="0" relativeHeight="251659264" behindDoc="1" locked="0" layoutInCell="1" allowOverlap="1">
            <wp:simplePos x="0" y="0"/>
            <wp:positionH relativeFrom="page">
              <wp:posOffset>895350</wp:posOffset>
            </wp:positionH>
            <wp:positionV relativeFrom="page">
              <wp:posOffset>8042275</wp:posOffset>
            </wp:positionV>
            <wp:extent cx="1130300" cy="1064895"/>
            <wp:effectExtent l="0" t="0" r="12700" b="1905"/>
            <wp:wrapTight wrapText="bothSides">
              <wp:wrapPolygon>
                <wp:start x="0" y="0"/>
                <wp:lineTo x="0" y="21252"/>
                <wp:lineTo x="21115" y="21252"/>
                <wp:lineTo x="21115" y="0"/>
                <wp:lineTo x="0" y="0"/>
              </wp:wrapPolygon>
            </wp:wrapTight>
            <wp:docPr id="1" name="图片 3" descr="582507354121450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582507354121450054"/>
                    <pic:cNvPicPr>
                      <a:picLocks noChangeAspect="1"/>
                    </pic:cNvPicPr>
                  </pic:nvPicPr>
                  <pic:blipFill>
                    <a:blip r:embed="rId7" cstate="print"/>
                    <a:stretch>
                      <a:fillRect/>
                    </a:stretch>
                  </pic:blipFill>
                  <pic:spPr>
                    <a:xfrm>
                      <a:off x="0" y="0"/>
                      <a:ext cx="1130300" cy="1064895"/>
                    </a:xfrm>
                    <a:prstGeom prst="rect">
                      <a:avLst/>
                    </a:prstGeom>
                    <a:noFill/>
                    <a:ln w="9525">
                      <a:noFill/>
                    </a:ln>
                  </pic:spPr>
                </pic:pic>
              </a:graphicData>
            </a:graphic>
          </wp:anchor>
        </w:drawing>
      </w:r>
    </w:p>
    <w:p>
      <w:pPr>
        <w:jc w:val="center"/>
        <w:rPr>
          <w:b/>
          <w:color w:val="000000"/>
          <w:sz w:val="36"/>
          <w:szCs w:val="36"/>
        </w:rPr>
      </w:pPr>
      <w:r>
        <w:rPr>
          <w:rFonts w:hint="eastAsia"/>
          <w:b/>
          <w:color w:val="000000"/>
          <w:sz w:val="40"/>
          <w:szCs w:val="40"/>
        </w:rPr>
        <w:t>山东腾翔产品质量检测有限公司</w:t>
      </w:r>
    </w:p>
    <w:p>
      <w:pPr>
        <w:ind w:firstLine="241" w:firstLineChars="100"/>
        <w:jc w:val="center"/>
        <w:rPr>
          <w:b/>
          <w:color w:val="000000"/>
          <w:sz w:val="24"/>
        </w:rPr>
      </w:pPr>
      <w:r>
        <w:rPr>
          <w:rFonts w:hint="eastAsia"/>
          <w:b/>
          <w:color w:val="000000"/>
          <w:sz w:val="24"/>
        </w:rPr>
        <w:t>ShanDong TengXiang Product Q</w:t>
      </w:r>
      <w:r>
        <w:rPr>
          <w:b/>
          <w:color w:val="000000"/>
          <w:sz w:val="24"/>
        </w:rPr>
        <w:t>uality</w:t>
      </w:r>
      <w:r>
        <w:rPr>
          <w:rFonts w:hint="eastAsia"/>
          <w:b/>
          <w:color w:val="000000"/>
          <w:sz w:val="24"/>
        </w:rPr>
        <w:t xml:space="preserve"> Testing </w:t>
      </w:r>
      <w:r>
        <w:rPr>
          <w:b/>
          <w:color w:val="000000"/>
          <w:sz w:val="24"/>
        </w:rPr>
        <w:t>Co., LTD</w:t>
      </w:r>
      <w:r>
        <w:rPr>
          <w:rFonts w:hint="eastAsia"/>
          <w:b/>
          <w:color w:val="000000"/>
          <w:sz w:val="24"/>
        </w:rPr>
        <w:t>.</w:t>
      </w:r>
    </w:p>
    <w:p>
      <w:pPr>
        <w:spacing w:line="480" w:lineRule="auto"/>
        <w:rPr>
          <w:rFonts w:asciiTheme="minorEastAsia" w:hAnsiTheme="minorEastAsia"/>
          <w:b/>
          <w:sz w:val="24"/>
          <w:szCs w:val="24"/>
        </w:rPr>
      </w:pPr>
      <w:r>
        <w:rPr>
          <w:rFonts w:asciiTheme="minorEastAsia" w:hAnsiTheme="minorEastAsia"/>
          <w:b/>
          <w:sz w:val="36"/>
          <w:szCs w:val="36"/>
        </w:rPr>
        <w:br w:type="page"/>
      </w:r>
    </w:p>
    <w:p>
      <w:pPr>
        <w:snapToGrid w:val="0"/>
        <w:spacing w:line="360" w:lineRule="auto"/>
        <w:jc w:val="left"/>
        <w:rPr>
          <w:rFonts w:ascii="仿宋" w:hAnsi="仿宋" w:eastAsia="仿宋"/>
          <w:sz w:val="28"/>
          <w:szCs w:val="28"/>
        </w:rPr>
      </w:pPr>
      <w:r>
        <w:rPr>
          <w:rFonts w:hint="eastAsia" w:asciiTheme="minorEastAsia" w:hAnsiTheme="minorEastAsia"/>
          <w:sz w:val="24"/>
          <w:szCs w:val="24"/>
        </w:rPr>
        <w:t xml:space="preserve">    </w:t>
      </w:r>
      <w:r>
        <w:rPr>
          <w:rFonts w:hint="eastAsia" w:ascii="仿宋" w:hAnsi="仿宋" w:eastAsia="仿宋"/>
          <w:sz w:val="28"/>
          <w:szCs w:val="28"/>
        </w:rPr>
        <w:t>南昌市市场监督管理局委托山东腾翔产品质量有限公司于20</w:t>
      </w:r>
      <w:r>
        <w:rPr>
          <w:rFonts w:ascii="仿宋" w:hAnsi="仿宋" w:eastAsia="仿宋"/>
          <w:sz w:val="28"/>
          <w:szCs w:val="28"/>
        </w:rPr>
        <w:t>2</w:t>
      </w:r>
      <w:r>
        <w:rPr>
          <w:rFonts w:hint="eastAsia" w:ascii="仿宋" w:hAnsi="仿宋" w:eastAsia="仿宋"/>
          <w:sz w:val="28"/>
          <w:szCs w:val="28"/>
          <w:lang w:val="en-US" w:eastAsia="zh-CN"/>
        </w:rPr>
        <w:t>2</w:t>
      </w:r>
      <w:r>
        <w:rPr>
          <w:rFonts w:hint="eastAsia" w:ascii="仿宋" w:hAnsi="仿宋" w:eastAsia="仿宋"/>
          <w:sz w:val="28"/>
          <w:szCs w:val="28"/>
        </w:rPr>
        <w:t>年</w:t>
      </w:r>
      <w:r>
        <w:rPr>
          <w:rFonts w:hint="eastAsia" w:ascii="仿宋" w:hAnsi="仿宋" w:eastAsia="仿宋"/>
          <w:sz w:val="28"/>
          <w:szCs w:val="28"/>
          <w:lang w:eastAsia="zh-CN"/>
        </w:rPr>
        <w:t>第</w:t>
      </w:r>
      <w:r>
        <w:rPr>
          <w:rFonts w:hint="eastAsia" w:ascii="仿宋" w:hAnsi="仿宋" w:eastAsia="仿宋"/>
          <w:sz w:val="28"/>
          <w:szCs w:val="28"/>
          <w:lang w:val="en-US" w:eastAsia="zh-CN"/>
        </w:rPr>
        <w:t>3季度</w:t>
      </w:r>
      <w:r>
        <w:rPr>
          <w:rFonts w:hint="eastAsia" w:ascii="仿宋" w:hAnsi="仿宋" w:eastAsia="仿宋"/>
          <w:sz w:val="28"/>
          <w:szCs w:val="28"/>
        </w:rPr>
        <w:t>对全市流通领域的</w:t>
      </w:r>
      <w:r>
        <w:rPr>
          <w:rFonts w:hint="eastAsia" w:ascii="仿宋" w:hAnsi="仿宋" w:eastAsia="仿宋"/>
          <w:sz w:val="28"/>
          <w:szCs w:val="28"/>
          <w:lang w:val="en-US" w:eastAsia="zh-CN"/>
        </w:rPr>
        <w:t>钢筋</w:t>
      </w:r>
      <w:r>
        <w:rPr>
          <w:rFonts w:hint="eastAsia" w:ascii="仿宋" w:hAnsi="仿宋" w:eastAsia="仿宋"/>
          <w:sz w:val="28"/>
          <w:szCs w:val="28"/>
        </w:rPr>
        <w:t>产品进行了抽查检验，现将抽查检验结果质量分析报告如下：</w:t>
      </w:r>
    </w:p>
    <w:p>
      <w:pPr>
        <w:pStyle w:val="27"/>
        <w:spacing w:line="360" w:lineRule="auto"/>
        <w:ind w:firstLine="0" w:firstLineChars="0"/>
        <w:rPr>
          <w:rFonts w:hint="eastAsia" w:ascii="仿宋" w:hAnsi="仿宋" w:eastAsia="仿宋"/>
          <w:b/>
          <w:sz w:val="28"/>
          <w:szCs w:val="28"/>
        </w:rPr>
      </w:pPr>
      <w:r>
        <w:rPr>
          <w:rFonts w:hint="eastAsia" w:ascii="仿宋" w:hAnsi="仿宋" w:eastAsia="仿宋"/>
          <w:b/>
          <w:sz w:val="28"/>
          <w:szCs w:val="28"/>
        </w:rPr>
        <w:t>一、抽检样品的基本情况</w:t>
      </w:r>
    </w:p>
    <w:p>
      <w:pPr>
        <w:snapToGrid w:val="0"/>
        <w:spacing w:line="360" w:lineRule="auto"/>
        <w:ind w:firstLine="700" w:firstLineChars="250"/>
        <w:jc w:val="left"/>
        <w:rPr>
          <w:rFonts w:ascii="仿宋" w:hAnsi="仿宋" w:eastAsia="仿宋"/>
          <w:sz w:val="28"/>
          <w:szCs w:val="28"/>
        </w:rPr>
      </w:pPr>
      <w:r>
        <w:rPr>
          <w:rFonts w:hint="eastAsia" w:ascii="仿宋" w:hAnsi="仿宋" w:eastAsia="仿宋"/>
          <w:sz w:val="28"/>
          <w:szCs w:val="28"/>
        </w:rPr>
        <w:t>此次商品查区域为南昌市。抽查方式为随机抽样。抽查商品为</w:t>
      </w:r>
      <w:r>
        <w:rPr>
          <w:rFonts w:hint="eastAsia" w:ascii="仿宋" w:hAnsi="仿宋" w:eastAsia="仿宋"/>
          <w:sz w:val="28"/>
          <w:szCs w:val="28"/>
          <w:lang w:val="en-US" w:eastAsia="zh-CN"/>
        </w:rPr>
        <w:t>钢筋</w:t>
      </w:r>
      <w:r>
        <w:rPr>
          <w:rFonts w:ascii="仿宋" w:hAnsi="仿宋" w:eastAsia="仿宋"/>
          <w:sz w:val="28"/>
          <w:szCs w:val="28"/>
        </w:rPr>
        <w:t>。</w:t>
      </w:r>
      <w:r>
        <w:rPr>
          <w:rFonts w:hint="eastAsia" w:ascii="仿宋" w:hAnsi="仿宋" w:eastAsia="仿宋"/>
          <w:sz w:val="28"/>
          <w:szCs w:val="28"/>
        </w:rPr>
        <w:t>共抽检</w:t>
      </w:r>
      <w:r>
        <w:rPr>
          <w:rFonts w:hint="eastAsia" w:ascii="仿宋" w:hAnsi="仿宋" w:eastAsia="仿宋"/>
          <w:sz w:val="28"/>
          <w:szCs w:val="28"/>
          <w:lang w:val="en-US" w:eastAsia="zh-CN"/>
        </w:rPr>
        <w:t>15</w:t>
      </w:r>
      <w:r>
        <w:rPr>
          <w:rFonts w:hint="eastAsia" w:ascii="仿宋" w:hAnsi="仿宋" w:eastAsia="仿宋"/>
          <w:sz w:val="28"/>
          <w:szCs w:val="28"/>
        </w:rPr>
        <w:t>批次产品</w:t>
      </w:r>
      <w:r>
        <w:rPr>
          <w:rFonts w:ascii="仿宋" w:hAnsi="仿宋" w:eastAsia="仿宋"/>
          <w:sz w:val="28"/>
          <w:szCs w:val="28"/>
        </w:rPr>
        <w:t>，</w:t>
      </w:r>
      <w:r>
        <w:rPr>
          <w:rFonts w:hint="eastAsia" w:ascii="仿宋" w:hAnsi="仿宋" w:eastAsia="仿宋"/>
          <w:sz w:val="28"/>
          <w:szCs w:val="28"/>
        </w:rPr>
        <w:t>其中合格</w:t>
      </w:r>
      <w:r>
        <w:rPr>
          <w:rFonts w:hint="eastAsia" w:ascii="仿宋" w:hAnsi="仿宋" w:eastAsia="仿宋"/>
          <w:sz w:val="28"/>
          <w:szCs w:val="28"/>
          <w:lang w:val="en-US" w:eastAsia="zh-CN"/>
        </w:rPr>
        <w:t>15</w:t>
      </w:r>
      <w:r>
        <w:rPr>
          <w:rFonts w:hint="eastAsia" w:ascii="仿宋" w:hAnsi="仿宋" w:eastAsia="仿宋"/>
          <w:sz w:val="28"/>
          <w:szCs w:val="28"/>
        </w:rPr>
        <w:t>批次</w:t>
      </w:r>
      <w:r>
        <w:rPr>
          <w:rFonts w:ascii="仿宋" w:hAnsi="仿宋" w:eastAsia="仿宋"/>
          <w:sz w:val="28"/>
          <w:szCs w:val="28"/>
        </w:rPr>
        <w:t>，总体合格率</w:t>
      </w:r>
      <w:r>
        <w:rPr>
          <w:rFonts w:hint="eastAsia" w:ascii="仿宋" w:hAnsi="仿宋" w:eastAsia="仿宋"/>
          <w:sz w:val="28"/>
          <w:szCs w:val="28"/>
          <w:lang w:val="en-US" w:eastAsia="zh-CN"/>
        </w:rPr>
        <w:t>100</w:t>
      </w:r>
      <w:r>
        <w:rPr>
          <w:rFonts w:ascii="仿宋" w:hAnsi="仿宋" w:eastAsia="仿宋"/>
          <w:sz w:val="28"/>
          <w:szCs w:val="28"/>
        </w:rPr>
        <w:t>%</w:t>
      </w:r>
      <w:r>
        <w:rPr>
          <w:rFonts w:hint="eastAsia" w:ascii="仿宋" w:hAnsi="仿宋" w:eastAsia="仿宋"/>
          <w:sz w:val="28"/>
          <w:szCs w:val="28"/>
        </w:rPr>
        <w:t>。</w:t>
      </w:r>
    </w:p>
    <w:p>
      <w:pPr>
        <w:pStyle w:val="27"/>
        <w:spacing w:line="360" w:lineRule="auto"/>
        <w:ind w:firstLine="0" w:firstLineChars="0"/>
        <w:rPr>
          <w:rFonts w:ascii="仿宋" w:hAnsi="仿宋" w:eastAsia="仿宋"/>
          <w:b/>
          <w:sz w:val="28"/>
          <w:szCs w:val="28"/>
        </w:rPr>
      </w:pPr>
      <w:r>
        <w:rPr>
          <w:rFonts w:hint="eastAsia" w:ascii="仿宋" w:hAnsi="仿宋" w:eastAsia="仿宋"/>
          <w:b/>
          <w:sz w:val="28"/>
          <w:szCs w:val="28"/>
        </w:rPr>
        <w:t>（1）</w:t>
      </w:r>
      <w:r>
        <w:rPr>
          <w:rFonts w:hint="eastAsia" w:ascii="仿宋" w:hAnsi="仿宋" w:eastAsia="仿宋"/>
          <w:b/>
          <w:sz w:val="28"/>
          <w:szCs w:val="28"/>
          <w:lang w:val="en-US" w:eastAsia="zh-CN"/>
        </w:rPr>
        <w:t>抽查</w:t>
      </w:r>
      <w:r>
        <w:rPr>
          <w:rFonts w:hint="eastAsia" w:ascii="仿宋" w:hAnsi="仿宋" w:eastAsia="仿宋"/>
          <w:b/>
          <w:sz w:val="28"/>
          <w:szCs w:val="28"/>
        </w:rPr>
        <w:t>情况</w:t>
      </w:r>
    </w:p>
    <w:p>
      <w:pPr>
        <w:snapToGrid w:val="0"/>
        <w:spacing w:line="360" w:lineRule="auto"/>
        <w:ind w:firstLine="560" w:firstLineChars="200"/>
        <w:jc w:val="left"/>
        <w:rPr>
          <w:rFonts w:ascii="仿宋" w:hAnsi="仿宋" w:eastAsia="仿宋"/>
          <w:sz w:val="28"/>
          <w:szCs w:val="28"/>
        </w:rPr>
      </w:pPr>
      <w:r>
        <w:rPr>
          <w:rFonts w:hint="eastAsia" w:ascii="仿宋" w:hAnsi="仿宋" w:eastAsia="仿宋"/>
          <w:sz w:val="28"/>
          <w:szCs w:val="28"/>
        </w:rPr>
        <w:t>此次</w:t>
      </w:r>
      <w:r>
        <w:rPr>
          <w:rFonts w:hint="eastAsia" w:ascii="仿宋" w:hAnsi="仿宋" w:eastAsia="仿宋"/>
          <w:sz w:val="28"/>
          <w:szCs w:val="28"/>
          <w:lang w:val="en-US" w:eastAsia="zh-CN"/>
        </w:rPr>
        <w:t>共</w:t>
      </w:r>
      <w:r>
        <w:rPr>
          <w:rFonts w:hint="eastAsia" w:ascii="仿宋" w:hAnsi="仿宋" w:eastAsia="仿宋"/>
          <w:sz w:val="28"/>
          <w:szCs w:val="28"/>
        </w:rPr>
        <w:t>抽</w:t>
      </w:r>
      <w:r>
        <w:rPr>
          <w:rFonts w:hint="eastAsia" w:ascii="仿宋" w:hAnsi="仿宋" w:eastAsia="仿宋"/>
          <w:sz w:val="28"/>
          <w:szCs w:val="28"/>
          <w:lang w:val="en-US" w:eastAsia="zh-CN"/>
        </w:rPr>
        <w:t>检钢筋15</w:t>
      </w:r>
      <w:r>
        <w:rPr>
          <w:rFonts w:hint="eastAsia" w:ascii="仿宋" w:hAnsi="仿宋" w:eastAsia="仿宋"/>
          <w:sz w:val="28"/>
          <w:szCs w:val="28"/>
        </w:rPr>
        <w:t>批次</w:t>
      </w:r>
      <w:r>
        <w:rPr>
          <w:rFonts w:hint="eastAsia" w:ascii="仿宋" w:hAnsi="仿宋" w:eastAsia="仿宋"/>
          <w:sz w:val="28"/>
          <w:szCs w:val="28"/>
          <w:lang w:eastAsia="zh-CN"/>
        </w:rPr>
        <w:t>，</w:t>
      </w:r>
      <w:r>
        <w:rPr>
          <w:rFonts w:ascii="仿宋" w:hAnsi="仿宋" w:eastAsia="仿宋"/>
          <w:sz w:val="28"/>
          <w:szCs w:val="28"/>
        </w:rPr>
        <w:t>合格</w:t>
      </w:r>
      <w:r>
        <w:rPr>
          <w:rFonts w:hint="eastAsia" w:ascii="仿宋" w:hAnsi="仿宋" w:eastAsia="仿宋"/>
          <w:sz w:val="28"/>
          <w:szCs w:val="28"/>
          <w:lang w:val="en-US" w:eastAsia="zh-CN"/>
        </w:rPr>
        <w:t>15</w:t>
      </w:r>
      <w:r>
        <w:rPr>
          <w:rFonts w:hint="eastAsia" w:ascii="仿宋" w:hAnsi="仿宋" w:eastAsia="仿宋"/>
          <w:sz w:val="28"/>
          <w:szCs w:val="28"/>
        </w:rPr>
        <w:t>批次</w:t>
      </w:r>
      <w:r>
        <w:rPr>
          <w:rFonts w:hint="eastAsia" w:ascii="仿宋" w:hAnsi="仿宋" w:eastAsia="仿宋"/>
          <w:sz w:val="28"/>
          <w:szCs w:val="28"/>
          <w:lang w:eastAsia="zh-CN"/>
        </w:rPr>
        <w:t>，</w:t>
      </w:r>
      <w:r>
        <w:rPr>
          <w:rFonts w:hint="eastAsia" w:ascii="仿宋" w:hAnsi="仿宋" w:eastAsia="仿宋"/>
          <w:sz w:val="28"/>
          <w:szCs w:val="28"/>
        </w:rPr>
        <w:t>合格率</w:t>
      </w:r>
      <w:r>
        <w:rPr>
          <w:rFonts w:hint="eastAsia" w:ascii="仿宋" w:hAnsi="仿宋" w:eastAsia="仿宋"/>
          <w:sz w:val="28"/>
          <w:szCs w:val="28"/>
          <w:lang w:val="en-US" w:eastAsia="zh-CN"/>
        </w:rPr>
        <w:t>100</w:t>
      </w:r>
      <w:r>
        <w:rPr>
          <w:rFonts w:ascii="仿宋" w:hAnsi="仿宋" w:eastAsia="仿宋"/>
          <w:sz w:val="28"/>
          <w:szCs w:val="28"/>
        </w:rPr>
        <w:t>%</w:t>
      </w:r>
      <w:r>
        <w:rPr>
          <w:rFonts w:hint="eastAsia" w:ascii="仿宋" w:hAnsi="仿宋" w:eastAsia="仿宋"/>
          <w:sz w:val="28"/>
          <w:szCs w:val="28"/>
          <w:lang w:eastAsia="zh-CN"/>
        </w:rPr>
        <w:t>。</w:t>
      </w:r>
      <w:r>
        <w:rPr>
          <w:rFonts w:hint="eastAsia" w:ascii="仿宋" w:hAnsi="仿宋" w:eastAsia="仿宋"/>
          <w:sz w:val="28"/>
          <w:szCs w:val="28"/>
        </w:rPr>
        <w:t>抽查结果见表1和图1、图</w:t>
      </w:r>
      <w:r>
        <w:rPr>
          <w:rFonts w:ascii="仿宋" w:hAnsi="仿宋" w:eastAsia="仿宋"/>
          <w:sz w:val="28"/>
          <w:szCs w:val="28"/>
        </w:rPr>
        <w:t>2</w:t>
      </w:r>
      <w:r>
        <w:rPr>
          <w:rFonts w:hint="eastAsia" w:ascii="仿宋" w:hAnsi="仿宋" w:eastAsia="仿宋"/>
          <w:sz w:val="28"/>
          <w:szCs w:val="28"/>
        </w:rPr>
        <w:t>。</w:t>
      </w:r>
    </w:p>
    <w:p>
      <w:pPr>
        <w:pStyle w:val="27"/>
        <w:spacing w:line="360" w:lineRule="auto"/>
        <w:ind w:firstLine="0" w:firstLineChars="0"/>
        <w:jc w:val="center"/>
        <w:rPr>
          <w:rFonts w:ascii="仿宋" w:hAnsi="仿宋" w:eastAsia="仿宋"/>
          <w:b/>
          <w:sz w:val="28"/>
          <w:szCs w:val="28"/>
        </w:rPr>
      </w:pPr>
      <w:r>
        <w:rPr>
          <w:rFonts w:hint="eastAsia" w:ascii="仿宋" w:hAnsi="仿宋" w:eastAsia="仿宋"/>
          <w:b/>
          <w:sz w:val="28"/>
          <w:szCs w:val="28"/>
        </w:rPr>
        <w:t>表1抽查结果</w:t>
      </w:r>
    </w:p>
    <w:tbl>
      <w:tblPr>
        <w:tblStyle w:val="19"/>
        <w:tblW w:w="88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CellMar>
          <w:top w:w="0" w:type="dxa"/>
          <w:left w:w="108" w:type="dxa"/>
          <w:bottom w:w="0" w:type="dxa"/>
          <w:right w:w="108" w:type="dxa"/>
        </w:tblCellMar>
      </w:tblPr>
      <w:tblGrid>
        <w:gridCol w:w="3162"/>
        <w:gridCol w:w="2126"/>
        <w:gridCol w:w="1985"/>
        <w:gridCol w:w="1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3162" w:type="dxa"/>
            <w:tcBorders>
              <w:top w:val="single" w:color="auto" w:sz="4" w:space="0"/>
              <w:left w:val="single" w:color="auto" w:sz="4" w:space="0"/>
              <w:bottom w:val="nil"/>
              <w:right w:val="single" w:color="auto" w:sz="8" w:space="0"/>
              <w:insideH w:val="nil"/>
              <w:insideV w:val="single" w:sz="8" w:space="0"/>
            </w:tcBorders>
            <w:shd w:val="clear" w:color="auto" w:fill="FFFFFF" w:themeFill="background1"/>
          </w:tcPr>
          <w:p>
            <w:pPr>
              <w:spacing w:line="312" w:lineRule="auto"/>
              <w:jc w:val="center"/>
              <w:rPr>
                <w:rFonts w:ascii="仿宋" w:hAnsi="仿宋" w:eastAsia="仿宋"/>
                <w:b w:val="0"/>
                <w:bCs w:val="0"/>
                <w:i w:val="0"/>
                <w:iCs w:val="0"/>
                <w:color w:val="FFFFFF" w:themeColor="background1"/>
                <w:sz w:val="28"/>
                <w:szCs w:val="28"/>
                <w14:textFill>
                  <w14:solidFill>
                    <w14:schemeClr w14:val="bg1"/>
                  </w14:solidFill>
                </w14:textFill>
              </w:rPr>
            </w:pPr>
            <w:bookmarkStart w:id="0" w:name="OLE_LINK2"/>
            <w:bookmarkStart w:id="1" w:name="OLE_LINK1"/>
            <w:r>
              <w:rPr>
                <w:rFonts w:ascii="仿宋" w:hAnsi="仿宋" w:eastAsia="仿宋"/>
                <w:b/>
                <w:bCs/>
                <w:i w:val="0"/>
                <w:iCs w:val="0"/>
                <w:color w:val="auto"/>
                <w:sz w:val="28"/>
                <w:szCs w:val="28"/>
              </w:rPr>
              <w:t>抽查</w:t>
            </w:r>
            <w:r>
              <w:rPr>
                <w:rFonts w:hint="eastAsia" w:ascii="仿宋" w:hAnsi="仿宋" w:eastAsia="仿宋"/>
                <w:b/>
                <w:bCs/>
                <w:i w:val="0"/>
                <w:iCs w:val="0"/>
                <w:color w:val="auto"/>
                <w:sz w:val="28"/>
                <w:szCs w:val="28"/>
              </w:rPr>
              <w:t>类别</w:t>
            </w:r>
          </w:p>
        </w:tc>
        <w:tc>
          <w:tcPr>
            <w:tcW w:w="2126" w:type="dxa"/>
            <w:tcBorders>
              <w:top w:val="single" w:color="auto" w:sz="4" w:space="0"/>
              <w:left w:val="single" w:color="auto" w:sz="4" w:space="0"/>
              <w:bottom w:val="single" w:color="auto" w:sz="4" w:space="0"/>
              <w:right w:val="single" w:color="auto" w:sz="8" w:space="0"/>
              <w:insideV w:val="single" w:sz="8" w:space="0"/>
            </w:tcBorders>
            <w:shd w:val="clear" w:color="auto" w:fill="FFFFFF" w:themeFill="background1"/>
          </w:tcPr>
          <w:p>
            <w:pPr>
              <w:spacing w:line="312" w:lineRule="auto"/>
              <w:jc w:val="center"/>
              <w:rPr>
                <w:rFonts w:ascii="仿宋" w:hAnsi="仿宋" w:eastAsia="仿宋"/>
                <w:b w:val="0"/>
                <w:bCs w:val="0"/>
                <w:i w:val="0"/>
                <w:iCs w:val="0"/>
                <w:color w:val="FFFFFF" w:themeColor="background1"/>
                <w:sz w:val="28"/>
                <w:szCs w:val="28"/>
                <w14:textFill>
                  <w14:solidFill>
                    <w14:schemeClr w14:val="bg1"/>
                  </w14:solidFill>
                </w14:textFill>
              </w:rPr>
            </w:pPr>
            <w:r>
              <w:rPr>
                <w:rFonts w:hint="eastAsia" w:ascii="仿宋" w:hAnsi="仿宋" w:eastAsia="仿宋"/>
                <w:b/>
                <w:bCs/>
                <w:i w:val="0"/>
                <w:iCs w:val="0"/>
                <w:color w:val="auto"/>
                <w:sz w:val="28"/>
                <w:szCs w:val="28"/>
              </w:rPr>
              <w:t>抽查批次</w:t>
            </w:r>
          </w:p>
        </w:tc>
        <w:tc>
          <w:tcPr>
            <w:tcW w:w="1985" w:type="dxa"/>
            <w:tcBorders>
              <w:top w:val="single" w:color="auto" w:sz="4" w:space="0"/>
              <w:left w:val="single" w:color="auto" w:sz="4" w:space="0"/>
              <w:bottom w:val="single" w:color="auto" w:sz="4" w:space="0"/>
              <w:right w:val="single" w:color="auto" w:sz="8" w:space="0"/>
              <w:insideV w:val="single" w:sz="8" w:space="0"/>
            </w:tcBorders>
            <w:shd w:val="clear" w:color="auto" w:fill="FFFFFF" w:themeFill="background1"/>
          </w:tcPr>
          <w:p>
            <w:pPr>
              <w:spacing w:line="312" w:lineRule="auto"/>
              <w:jc w:val="center"/>
              <w:rPr>
                <w:rFonts w:ascii="仿宋" w:hAnsi="仿宋" w:eastAsia="仿宋"/>
                <w:b w:val="0"/>
                <w:bCs w:val="0"/>
                <w:i w:val="0"/>
                <w:iCs w:val="0"/>
                <w:color w:val="FFFFFF" w:themeColor="background1"/>
                <w:sz w:val="28"/>
                <w:szCs w:val="28"/>
                <w14:textFill>
                  <w14:solidFill>
                    <w14:schemeClr w14:val="bg1"/>
                  </w14:solidFill>
                </w14:textFill>
              </w:rPr>
            </w:pPr>
            <w:r>
              <w:rPr>
                <w:rFonts w:hint="eastAsia" w:ascii="仿宋" w:hAnsi="仿宋" w:eastAsia="仿宋"/>
                <w:b/>
                <w:bCs/>
                <w:i w:val="0"/>
                <w:iCs w:val="0"/>
                <w:color w:val="auto"/>
                <w:sz w:val="28"/>
                <w:szCs w:val="28"/>
              </w:rPr>
              <w:t>合格批次</w:t>
            </w:r>
          </w:p>
        </w:tc>
        <w:tc>
          <w:tcPr>
            <w:tcW w:w="1601" w:type="dxa"/>
            <w:tcBorders>
              <w:top w:val="single" w:color="auto" w:sz="4" w:space="0"/>
              <w:left w:val="single" w:color="auto" w:sz="4" w:space="0"/>
              <w:bottom w:val="single" w:color="auto" w:sz="4" w:space="0"/>
              <w:right w:val="single" w:color="auto" w:sz="4" w:space="0"/>
              <w:insideV w:val="single" w:sz="8" w:space="0"/>
            </w:tcBorders>
            <w:shd w:val="clear" w:color="auto" w:fill="FFFFFF" w:themeFill="background1"/>
          </w:tcPr>
          <w:p>
            <w:pPr>
              <w:spacing w:line="312" w:lineRule="auto"/>
              <w:jc w:val="center"/>
              <w:rPr>
                <w:rFonts w:ascii="仿宋" w:hAnsi="仿宋" w:eastAsia="仿宋"/>
                <w:b w:val="0"/>
                <w:bCs w:val="0"/>
                <w:i w:val="0"/>
                <w:iCs w:val="0"/>
                <w:color w:val="FFFFFF" w:themeColor="background1"/>
                <w:sz w:val="28"/>
                <w:szCs w:val="28"/>
                <w14:textFill>
                  <w14:solidFill>
                    <w14:schemeClr w14:val="bg1"/>
                  </w14:solidFill>
                </w14:textFill>
              </w:rPr>
            </w:pPr>
            <w:r>
              <w:rPr>
                <w:rFonts w:hint="eastAsia" w:ascii="仿宋" w:hAnsi="仿宋" w:eastAsia="仿宋"/>
                <w:b/>
                <w:bCs/>
                <w:i w:val="0"/>
                <w:iCs w:val="0"/>
                <w:color w:val="auto"/>
                <w:sz w:val="28"/>
                <w:szCs w:val="28"/>
              </w:rPr>
              <w:t>合格率（%）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2" w:type="dxa"/>
            <w:tcBorders>
              <w:top w:val="single" w:color="auto" w:sz="4" w:space="0"/>
              <w:left w:val="single" w:color="auto" w:sz="4" w:space="0"/>
              <w:bottom w:val="nil"/>
              <w:right w:val="single" w:color="auto" w:sz="4" w:space="0"/>
              <w:insideH w:val="nil"/>
            </w:tcBorders>
            <w:shd w:val="clear" w:color="auto" w:fill="FFFFFF" w:themeFill="background1"/>
          </w:tcPr>
          <w:p>
            <w:pPr>
              <w:spacing w:line="312" w:lineRule="auto"/>
              <w:jc w:val="center"/>
              <w:rPr>
                <w:rFonts w:hint="eastAsia" w:ascii="仿宋" w:hAnsi="仿宋" w:eastAsia="仿宋"/>
                <w:b w:val="0"/>
                <w:bCs w:val="0"/>
                <w:i w:val="0"/>
                <w:iCs w:val="0"/>
                <w:color w:val="FFFFFF" w:themeColor="background1"/>
                <w:sz w:val="28"/>
                <w:szCs w:val="28"/>
                <w:lang w:eastAsia="zh-CN"/>
                <w14:textFill>
                  <w14:solidFill>
                    <w14:schemeClr w14:val="bg1"/>
                  </w14:solidFill>
                </w14:textFill>
              </w:rPr>
            </w:pPr>
            <w:r>
              <w:rPr>
                <w:rFonts w:hint="eastAsia" w:ascii="仿宋" w:hAnsi="仿宋" w:eastAsia="仿宋"/>
                <w:b/>
                <w:bCs/>
                <w:i w:val="0"/>
                <w:iCs w:val="0"/>
                <w:color w:val="auto"/>
                <w:sz w:val="28"/>
                <w:szCs w:val="28"/>
                <w:lang w:val="en-US" w:eastAsia="zh-CN"/>
              </w:rPr>
              <w:t>钢筋</w:t>
            </w:r>
          </w:p>
        </w:tc>
        <w:tc>
          <w:tcPr>
            <w:tcW w:w="2126" w:type="dxa"/>
            <w:tcBorders>
              <w:top w:val="single" w:color="auto" w:sz="4" w:space="0"/>
              <w:left w:val="single" w:color="auto" w:sz="4" w:space="0"/>
              <w:bottom w:val="single" w:color="auto" w:sz="4" w:space="0"/>
              <w:right w:val="single" w:color="auto" w:sz="4" w:space="0"/>
            </w:tcBorders>
            <w:shd w:val="clear" w:color="auto" w:fill="FFFFFF" w:themeFill="background1"/>
          </w:tcPr>
          <w:p>
            <w:pPr>
              <w:spacing w:line="312" w:lineRule="auto"/>
              <w:jc w:val="center"/>
              <w:rPr>
                <w:rFonts w:hint="default" w:ascii="仿宋" w:hAnsi="仿宋" w:eastAsia="仿宋" w:cs="Arial"/>
                <w:sz w:val="28"/>
                <w:szCs w:val="28"/>
                <w:lang w:val="en-US" w:eastAsia="zh-CN"/>
              </w:rPr>
            </w:pPr>
            <w:r>
              <w:rPr>
                <w:rFonts w:hint="eastAsia" w:ascii="仿宋" w:hAnsi="仿宋" w:eastAsia="仿宋" w:cs="Arial"/>
                <w:sz w:val="28"/>
                <w:szCs w:val="28"/>
                <w:lang w:val="en-US" w:eastAsia="zh-CN"/>
              </w:rPr>
              <w:t>15</w:t>
            </w:r>
          </w:p>
        </w:tc>
        <w:tc>
          <w:tcPr>
            <w:tcW w:w="1985" w:type="dxa"/>
            <w:tcBorders>
              <w:top w:val="single" w:color="auto" w:sz="4" w:space="0"/>
              <w:left w:val="single" w:color="auto" w:sz="4" w:space="0"/>
              <w:bottom w:val="single" w:color="auto" w:sz="4" w:space="0"/>
              <w:right w:val="single" w:color="auto" w:sz="4" w:space="0"/>
            </w:tcBorders>
            <w:shd w:val="clear" w:color="auto" w:fill="FFFFFF" w:themeFill="background1"/>
          </w:tcPr>
          <w:p>
            <w:pPr>
              <w:spacing w:line="312" w:lineRule="auto"/>
              <w:jc w:val="center"/>
              <w:rPr>
                <w:rFonts w:hint="default" w:ascii="仿宋" w:hAnsi="仿宋" w:eastAsia="仿宋" w:cs="Arial"/>
                <w:sz w:val="28"/>
                <w:szCs w:val="28"/>
                <w:lang w:val="en-US" w:eastAsia="zh-CN"/>
              </w:rPr>
            </w:pPr>
            <w:r>
              <w:rPr>
                <w:rFonts w:hint="eastAsia" w:ascii="仿宋" w:hAnsi="仿宋" w:eastAsia="仿宋" w:cs="Arial"/>
                <w:sz w:val="28"/>
                <w:szCs w:val="28"/>
                <w:lang w:val="en-US" w:eastAsia="zh-CN"/>
              </w:rPr>
              <w:t>15</w:t>
            </w:r>
          </w:p>
        </w:tc>
        <w:tc>
          <w:tcPr>
            <w:tcW w:w="1601" w:type="dxa"/>
            <w:tcBorders>
              <w:top w:val="single" w:color="auto" w:sz="4" w:space="0"/>
              <w:left w:val="single" w:color="auto" w:sz="4" w:space="0"/>
              <w:bottom w:val="single" w:color="auto" w:sz="4" w:space="0"/>
              <w:right w:val="single" w:color="auto" w:sz="4" w:space="0"/>
            </w:tcBorders>
            <w:shd w:val="clear" w:color="auto" w:fill="FFFFFF" w:themeFill="background1"/>
          </w:tcPr>
          <w:p>
            <w:pPr>
              <w:spacing w:line="312" w:lineRule="auto"/>
              <w:jc w:val="center"/>
              <w:rPr>
                <w:rFonts w:hint="default" w:ascii="仿宋" w:hAnsi="仿宋" w:eastAsia="仿宋" w:cs="Arial"/>
                <w:sz w:val="28"/>
                <w:szCs w:val="28"/>
                <w:lang w:val="en-US" w:eastAsia="zh-CN"/>
              </w:rPr>
            </w:pPr>
            <w:r>
              <w:rPr>
                <w:rFonts w:hint="eastAsia" w:ascii="仿宋" w:hAnsi="仿宋" w:eastAsia="仿宋" w:cs="Arial"/>
                <w:sz w:val="28"/>
                <w:szCs w:val="28"/>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2" w:type="dxa"/>
            <w:tcBorders>
              <w:top w:val="single" w:color="auto" w:sz="4" w:space="0"/>
              <w:left w:val="single" w:color="auto" w:sz="4" w:space="0"/>
              <w:right w:val="single" w:color="auto" w:sz="4" w:space="0"/>
              <w:insideH w:val="nil"/>
            </w:tcBorders>
            <w:shd w:val="clear" w:color="auto" w:fill="FFFFFF" w:themeFill="background1"/>
          </w:tcPr>
          <w:p>
            <w:pPr>
              <w:spacing w:line="312" w:lineRule="auto"/>
              <w:jc w:val="center"/>
              <w:rPr>
                <w:rFonts w:ascii="仿宋" w:hAnsi="仿宋" w:eastAsia="仿宋" w:cs="Arial"/>
                <w:b w:val="0"/>
                <w:bCs w:val="0"/>
                <w:i w:val="0"/>
                <w:iCs w:val="0"/>
                <w:color w:val="FFFFFF" w:themeColor="background1"/>
                <w:sz w:val="28"/>
                <w:szCs w:val="28"/>
                <w14:textFill>
                  <w14:solidFill>
                    <w14:schemeClr w14:val="bg1"/>
                  </w14:solidFill>
                </w14:textFill>
              </w:rPr>
            </w:pPr>
            <w:r>
              <w:rPr>
                <w:rFonts w:hint="eastAsia" w:ascii="仿宋" w:hAnsi="仿宋" w:eastAsia="仿宋" w:cs="Arial"/>
                <w:b/>
                <w:bCs w:val="0"/>
                <w:i w:val="0"/>
                <w:iCs w:val="0"/>
                <w:color w:val="auto"/>
                <w:sz w:val="28"/>
                <w:szCs w:val="28"/>
              </w:rPr>
              <w:t>总计</w:t>
            </w:r>
          </w:p>
        </w:tc>
        <w:tc>
          <w:tcPr>
            <w:tcW w:w="2126" w:type="dxa"/>
            <w:tcBorders>
              <w:top w:val="single" w:color="auto" w:sz="4" w:space="0"/>
              <w:left w:val="single" w:color="auto" w:sz="4" w:space="0"/>
              <w:right w:val="single" w:color="auto" w:sz="4" w:space="0"/>
            </w:tcBorders>
            <w:shd w:val="clear" w:color="auto" w:fill="FFFFFF" w:themeFill="background1"/>
          </w:tcPr>
          <w:p>
            <w:pPr>
              <w:spacing w:line="312" w:lineRule="auto"/>
              <w:jc w:val="center"/>
              <w:rPr>
                <w:rFonts w:hint="default" w:ascii="仿宋" w:hAnsi="仿宋" w:eastAsia="仿宋" w:cs="Arial"/>
                <w:sz w:val="28"/>
                <w:szCs w:val="28"/>
                <w:lang w:val="en-US" w:eastAsia="zh-CN"/>
              </w:rPr>
            </w:pPr>
            <w:r>
              <w:rPr>
                <w:rFonts w:hint="eastAsia" w:ascii="仿宋" w:hAnsi="仿宋" w:eastAsia="仿宋" w:cs="Arial"/>
                <w:sz w:val="28"/>
                <w:szCs w:val="28"/>
                <w:lang w:val="en-US" w:eastAsia="zh-CN"/>
              </w:rPr>
              <w:t>15</w:t>
            </w:r>
          </w:p>
        </w:tc>
        <w:tc>
          <w:tcPr>
            <w:tcW w:w="1985" w:type="dxa"/>
            <w:tcBorders>
              <w:top w:val="single" w:color="auto" w:sz="4" w:space="0"/>
              <w:left w:val="single" w:color="auto" w:sz="4" w:space="0"/>
              <w:right w:val="single" w:color="auto" w:sz="4" w:space="0"/>
            </w:tcBorders>
            <w:shd w:val="clear" w:color="auto" w:fill="FFFFFF" w:themeFill="background1"/>
          </w:tcPr>
          <w:p>
            <w:pPr>
              <w:spacing w:line="312" w:lineRule="auto"/>
              <w:jc w:val="center"/>
              <w:rPr>
                <w:rFonts w:hint="default" w:ascii="仿宋" w:hAnsi="仿宋" w:eastAsia="仿宋" w:cs="Arial"/>
                <w:sz w:val="28"/>
                <w:szCs w:val="28"/>
                <w:lang w:val="en-US" w:eastAsia="zh-CN"/>
              </w:rPr>
            </w:pPr>
            <w:r>
              <w:rPr>
                <w:rFonts w:hint="eastAsia" w:ascii="仿宋" w:hAnsi="仿宋" w:eastAsia="仿宋" w:cs="Arial"/>
                <w:sz w:val="28"/>
                <w:szCs w:val="28"/>
                <w:lang w:val="en-US" w:eastAsia="zh-CN"/>
              </w:rPr>
              <w:t>15</w:t>
            </w:r>
          </w:p>
        </w:tc>
        <w:tc>
          <w:tcPr>
            <w:tcW w:w="1601" w:type="dxa"/>
            <w:tcBorders>
              <w:top w:val="single" w:color="auto" w:sz="4" w:space="0"/>
              <w:left w:val="single" w:color="auto" w:sz="4" w:space="0"/>
              <w:right w:val="single" w:color="auto" w:sz="4" w:space="0"/>
            </w:tcBorders>
            <w:shd w:val="clear" w:color="auto" w:fill="FFFFFF" w:themeFill="background1"/>
          </w:tcPr>
          <w:p>
            <w:pPr>
              <w:spacing w:line="312" w:lineRule="auto"/>
              <w:jc w:val="center"/>
              <w:rPr>
                <w:rFonts w:hint="default" w:ascii="仿宋" w:hAnsi="仿宋" w:eastAsia="仿宋" w:cs="Arial"/>
                <w:sz w:val="28"/>
                <w:szCs w:val="28"/>
                <w:lang w:val="en-US" w:eastAsia="zh-CN"/>
              </w:rPr>
            </w:pPr>
            <w:r>
              <w:rPr>
                <w:rFonts w:hint="eastAsia" w:ascii="仿宋" w:hAnsi="仿宋" w:eastAsia="仿宋" w:cs="Arial"/>
                <w:sz w:val="28"/>
                <w:szCs w:val="28"/>
                <w:lang w:val="en-US" w:eastAsia="zh-CN"/>
              </w:rPr>
              <w:t>100</w:t>
            </w:r>
          </w:p>
        </w:tc>
      </w:tr>
      <w:bookmarkEnd w:id="0"/>
      <w:bookmarkEnd w:id="1"/>
    </w:tbl>
    <w:p>
      <w:pPr>
        <w:pStyle w:val="27"/>
        <w:spacing w:line="360" w:lineRule="auto"/>
        <w:ind w:firstLine="0" w:firstLineChars="0"/>
        <w:jc w:val="center"/>
      </w:pPr>
      <w:r>
        <w:drawing>
          <wp:inline distT="0" distB="0" distL="0" distR="0">
            <wp:extent cx="5149215" cy="3966210"/>
            <wp:effectExtent l="0" t="0" r="13335" b="1524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pStyle w:val="27"/>
        <w:spacing w:line="360" w:lineRule="auto"/>
        <w:ind w:firstLine="0" w:firstLineChars="0"/>
        <w:rPr>
          <w:rFonts w:asciiTheme="majorEastAsia" w:hAnsiTheme="majorEastAsia" w:eastAsiaTheme="majorEastAsia" w:cstheme="majorEastAsia"/>
          <w:b/>
          <w:bCs/>
          <w:spacing w:val="4"/>
          <w:sz w:val="24"/>
          <w:szCs w:val="24"/>
        </w:rPr>
      </w:pPr>
      <w:r>
        <w:rPr>
          <w:rFonts w:hint="eastAsia" w:asciiTheme="majorEastAsia" w:hAnsiTheme="majorEastAsia" w:eastAsiaTheme="majorEastAsia" w:cstheme="majorEastAsia"/>
          <w:b/>
          <w:bCs/>
          <w:spacing w:val="4"/>
          <w:sz w:val="24"/>
          <w:szCs w:val="24"/>
        </w:rPr>
        <w:drawing>
          <wp:inline distT="0" distB="0" distL="0" distR="0">
            <wp:extent cx="4974590" cy="4296410"/>
            <wp:effectExtent l="4445" t="4445" r="12065" b="2349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pStyle w:val="27"/>
        <w:spacing w:line="360" w:lineRule="auto"/>
        <w:ind w:firstLine="0" w:firstLineChars="0"/>
        <w:rPr>
          <w:rFonts w:ascii="仿宋" w:hAnsi="仿宋" w:eastAsia="仿宋"/>
          <w:b/>
          <w:sz w:val="28"/>
          <w:szCs w:val="28"/>
        </w:rPr>
      </w:pPr>
      <w:r>
        <w:rPr>
          <w:rFonts w:hint="eastAsia" w:ascii="仿宋" w:hAnsi="仿宋" w:eastAsia="仿宋"/>
          <w:b/>
          <w:sz w:val="28"/>
          <w:szCs w:val="28"/>
        </w:rPr>
        <w:t>二、常见不合格项目危害</w:t>
      </w:r>
    </w:p>
    <w:p>
      <w:pPr>
        <w:pStyle w:val="27"/>
        <w:spacing w:line="360" w:lineRule="auto"/>
        <w:ind w:firstLine="0" w:firstLineChars="0"/>
        <w:rPr>
          <w:rFonts w:hint="eastAsia" w:ascii="仿宋_GB2312" w:hAnsi="仿宋" w:eastAsia="仿宋_GB2312" w:cs="Times New Roman"/>
          <w:b/>
          <w:bCs/>
          <w:color w:val="auto"/>
          <w:sz w:val="28"/>
          <w:szCs w:val="28"/>
          <w:lang w:eastAsia="zh-CN"/>
        </w:rPr>
      </w:pPr>
      <w:r>
        <w:rPr>
          <w:rFonts w:hint="eastAsia" w:ascii="仿宋_GB2312" w:hAnsi="仿宋" w:eastAsia="仿宋_GB2312" w:cs="Times New Roman"/>
          <w:b/>
          <w:bCs/>
          <w:color w:val="auto"/>
          <w:sz w:val="28"/>
          <w:szCs w:val="28"/>
          <w:lang w:val="en-US" w:eastAsia="zh-CN"/>
        </w:rPr>
        <w:t>1、</w:t>
      </w:r>
      <w:r>
        <w:rPr>
          <w:rFonts w:hint="eastAsia" w:ascii="仿宋_GB2312" w:hAnsi="仿宋" w:eastAsia="仿宋_GB2312" w:cs="Times New Roman"/>
          <w:b/>
          <w:bCs/>
          <w:color w:val="auto"/>
          <w:sz w:val="28"/>
          <w:szCs w:val="28"/>
        </w:rPr>
        <w:t>下屈服强度、抗拉强度</w:t>
      </w:r>
      <w:r>
        <w:rPr>
          <w:rFonts w:hint="eastAsia" w:ascii="仿宋_GB2312" w:hAnsi="仿宋" w:eastAsia="仿宋_GB2312" w:cs="Times New Roman"/>
          <w:b/>
          <w:bCs/>
          <w:color w:val="auto"/>
          <w:sz w:val="28"/>
          <w:szCs w:val="28"/>
          <w:lang w:eastAsia="zh-CN"/>
        </w:rPr>
        <w:t>：</w:t>
      </w:r>
    </w:p>
    <w:p>
      <w:pPr>
        <w:pStyle w:val="27"/>
        <w:spacing w:line="360" w:lineRule="auto"/>
        <w:ind w:firstLine="0" w:firstLineChars="0"/>
        <w:rPr>
          <w:rFonts w:hint="eastAsia" w:ascii="仿宋_GB2312" w:hAnsi="仿宋" w:eastAsia="仿宋_GB2312" w:cs="Times New Roman"/>
          <w:color w:val="auto"/>
          <w:sz w:val="28"/>
          <w:szCs w:val="28"/>
        </w:rPr>
      </w:pPr>
      <w:r>
        <w:rPr>
          <w:rFonts w:hint="eastAsia" w:ascii="仿宋_GB2312" w:hAnsi="仿宋" w:eastAsia="仿宋_GB2312" w:cs="Times New Roman"/>
          <w:color w:val="auto"/>
          <w:sz w:val="28"/>
          <w:szCs w:val="28"/>
        </w:rPr>
        <w:t>钢筋在钢筋混凝土结构中起抗拉作用，下屈服强度和抗拉强度是钢筋产品的重要性能指标。如果钢筋的下屈服强度和抗拉强度不合格，钢筋混凝土结构的力学性能也可能因此而达不到设计要求，影响楼房的结构安全和使用性能。</w:t>
      </w:r>
    </w:p>
    <w:p>
      <w:pPr>
        <w:pStyle w:val="27"/>
        <w:spacing w:line="360" w:lineRule="auto"/>
        <w:ind w:firstLine="0" w:firstLineChars="0"/>
        <w:rPr>
          <w:rFonts w:hint="eastAsia" w:ascii="仿宋_GB2312" w:hAnsi="仿宋" w:eastAsia="仿宋_GB2312" w:cs="Times New Roman"/>
          <w:b/>
          <w:bCs/>
          <w:color w:val="auto"/>
          <w:sz w:val="28"/>
          <w:szCs w:val="28"/>
          <w:lang w:val="en-US" w:eastAsia="zh-CN"/>
        </w:rPr>
      </w:pPr>
      <w:r>
        <w:rPr>
          <w:rFonts w:hint="eastAsia" w:ascii="仿宋_GB2312" w:hAnsi="仿宋" w:eastAsia="仿宋_GB2312" w:cs="Times New Roman"/>
          <w:b/>
          <w:bCs/>
          <w:color w:val="auto"/>
          <w:sz w:val="28"/>
          <w:szCs w:val="28"/>
          <w:lang w:val="en-US" w:eastAsia="zh-CN"/>
        </w:rPr>
        <w:t>2、</w:t>
      </w:r>
      <w:r>
        <w:rPr>
          <w:rFonts w:hint="default" w:ascii="仿宋_GB2312" w:hAnsi="仿宋" w:eastAsia="仿宋_GB2312" w:cs="Times New Roman"/>
          <w:b/>
          <w:bCs/>
          <w:color w:val="auto"/>
          <w:sz w:val="28"/>
          <w:szCs w:val="28"/>
          <w:lang w:val="en-US" w:eastAsia="zh-CN"/>
        </w:rPr>
        <w:t>重量</w:t>
      </w:r>
      <w:r>
        <w:rPr>
          <w:rFonts w:hint="eastAsia" w:ascii="仿宋_GB2312" w:hAnsi="仿宋" w:eastAsia="仿宋_GB2312" w:cs="Times New Roman"/>
          <w:b/>
          <w:bCs/>
          <w:color w:val="auto"/>
          <w:sz w:val="28"/>
          <w:szCs w:val="28"/>
          <w:lang w:val="en-US" w:eastAsia="zh-CN"/>
        </w:rPr>
        <w:t>允许</w:t>
      </w:r>
      <w:bookmarkStart w:id="2" w:name="_GoBack"/>
      <w:bookmarkEnd w:id="2"/>
      <w:r>
        <w:rPr>
          <w:rFonts w:hint="default" w:ascii="仿宋_GB2312" w:hAnsi="仿宋" w:eastAsia="仿宋_GB2312" w:cs="Times New Roman"/>
          <w:b/>
          <w:bCs/>
          <w:color w:val="auto"/>
          <w:sz w:val="28"/>
          <w:szCs w:val="28"/>
          <w:lang w:val="en-US" w:eastAsia="zh-CN"/>
        </w:rPr>
        <w:t>偏差</w:t>
      </w:r>
      <w:r>
        <w:rPr>
          <w:rFonts w:hint="eastAsia" w:ascii="仿宋_GB2312" w:hAnsi="仿宋" w:eastAsia="仿宋_GB2312" w:cs="Times New Roman"/>
          <w:b/>
          <w:bCs/>
          <w:color w:val="auto"/>
          <w:sz w:val="28"/>
          <w:szCs w:val="28"/>
          <w:lang w:val="en-US" w:eastAsia="zh-CN"/>
        </w:rPr>
        <w:t>：</w:t>
      </w:r>
    </w:p>
    <w:p>
      <w:pPr>
        <w:pStyle w:val="27"/>
        <w:keepNext w:val="0"/>
        <w:keepLines w:val="0"/>
        <w:pageBreakBefore w:val="0"/>
        <w:widowControl w:val="0"/>
        <w:numPr>
          <w:ilvl w:val="0"/>
          <w:numId w:val="0"/>
        </w:numPr>
        <w:kinsoku/>
        <w:wordWrap/>
        <w:overflowPunct/>
        <w:topLinePunct w:val="0"/>
        <w:autoSpaceDE/>
        <w:autoSpaceDN/>
        <w:bidi w:val="0"/>
        <w:adjustRightInd/>
        <w:snapToGrid/>
        <w:spacing w:line="594" w:lineRule="exact"/>
        <w:ind w:firstLine="576" w:firstLineChars="200"/>
        <w:textAlignment w:val="auto"/>
        <w:rPr>
          <w:rFonts w:hint="default" w:ascii="仿宋_GB2312" w:hAnsi="宋体" w:eastAsia="仿宋_GB2312" w:cs="Times New Roman"/>
          <w:spacing w:val="4"/>
          <w:kern w:val="2"/>
          <w:sz w:val="28"/>
          <w:szCs w:val="28"/>
          <w:lang w:val="en-US" w:eastAsia="zh-CN" w:bidi="ar-SA"/>
        </w:rPr>
      </w:pPr>
      <w:r>
        <w:rPr>
          <w:rFonts w:hint="default" w:ascii="仿宋_GB2312" w:hAnsi="宋体" w:eastAsia="仿宋_GB2312" w:cs="Times New Roman"/>
          <w:spacing w:val="4"/>
          <w:kern w:val="2"/>
          <w:sz w:val="28"/>
          <w:szCs w:val="28"/>
          <w:lang w:val="en-US" w:eastAsia="zh-CN" w:bidi="ar-SA"/>
        </w:rPr>
        <w:t>钢筋重量偏差是是指钢筋实际重量与理论重量之差占理论重量的比例，是钢筋的重要质量指标。若重量偏差为负偏差，说明钢筋的实际横截面积小。如果重量负偏差超过标准规定值，则钢筋横截面积较小，可承受的负荷变小，会影响钢筋的使用性能。</w:t>
      </w:r>
    </w:p>
    <w:p>
      <w:pPr>
        <w:pStyle w:val="27"/>
        <w:keepNext w:val="0"/>
        <w:keepLines w:val="0"/>
        <w:pageBreakBefore w:val="0"/>
        <w:widowControl w:val="0"/>
        <w:numPr>
          <w:ilvl w:val="0"/>
          <w:numId w:val="0"/>
        </w:numPr>
        <w:kinsoku/>
        <w:wordWrap/>
        <w:overflowPunct/>
        <w:topLinePunct w:val="0"/>
        <w:autoSpaceDE/>
        <w:autoSpaceDN/>
        <w:bidi w:val="0"/>
        <w:adjustRightInd/>
        <w:snapToGrid/>
        <w:spacing w:line="594" w:lineRule="exact"/>
        <w:ind w:firstLine="576" w:firstLineChars="200"/>
        <w:textAlignment w:val="auto"/>
        <w:rPr>
          <w:rFonts w:hint="eastAsia" w:ascii="仿宋_GB2312" w:hAnsi="仿宋" w:eastAsia="仿宋_GB2312" w:cs="Times New Roman"/>
          <w:color w:val="auto"/>
          <w:sz w:val="28"/>
          <w:szCs w:val="28"/>
          <w:lang w:val="en-US" w:eastAsia="zh-CN"/>
        </w:rPr>
      </w:pPr>
      <w:r>
        <w:rPr>
          <w:rFonts w:hint="default" w:ascii="仿宋_GB2312" w:hAnsi="宋体" w:eastAsia="仿宋_GB2312" w:cs="Times New Roman"/>
          <w:spacing w:val="4"/>
          <w:kern w:val="2"/>
          <w:sz w:val="28"/>
          <w:szCs w:val="28"/>
          <w:lang w:val="en-US" w:eastAsia="zh-CN" w:bidi="ar-SA"/>
        </w:rPr>
        <w:t>重量偏差不合格的主要原因一是部分企业出于控制成本的考虑，会选择钢筋重量的下偏差作为设计重量，即采用负公差轧制，但在实际生产过程中，这样会直接导致重量负偏差超差；二是技术水平不稳定、工艺控制不严、轧制精度差等因素，也是导致产品重量偏差超差的重要原因；三是一些生产企业为迎合市场上“超细钢筋好卖”的黑色需求，按照超出标准规定的负偏差组织生产，使得生产出来的产品难以保证总量偏差项目的合格。此项目不合格也是瘦身钢筋的一种主要表现形式。</w:t>
      </w:r>
    </w:p>
    <w:p>
      <w:pPr>
        <w:pStyle w:val="27"/>
        <w:spacing w:line="360" w:lineRule="auto"/>
        <w:ind w:firstLine="0" w:firstLineChars="0"/>
        <w:rPr>
          <w:rFonts w:ascii="仿宋" w:hAnsi="仿宋" w:eastAsia="仿宋"/>
          <w:b/>
          <w:sz w:val="28"/>
          <w:szCs w:val="28"/>
        </w:rPr>
      </w:pPr>
      <w:r>
        <w:rPr>
          <w:rFonts w:hint="eastAsia" w:ascii="仿宋" w:hAnsi="仿宋" w:eastAsia="仿宋"/>
          <w:b/>
          <w:sz w:val="28"/>
          <w:szCs w:val="28"/>
        </w:rPr>
        <w:t xml:space="preserve">三、建议和措施： </w:t>
      </w:r>
    </w:p>
    <w:p>
      <w:pPr>
        <w:spacing w:line="360" w:lineRule="auto"/>
        <w:ind w:firstLine="576" w:firstLineChars="200"/>
        <w:jc w:val="left"/>
        <w:rPr>
          <w:rFonts w:hint="eastAsia" w:ascii="仿宋" w:hAnsi="仿宋" w:eastAsia="仿宋" w:cs="仿宋"/>
          <w:spacing w:val="4"/>
          <w:sz w:val="28"/>
          <w:szCs w:val="28"/>
        </w:rPr>
      </w:pPr>
      <w:r>
        <w:rPr>
          <w:rFonts w:hint="eastAsia" w:ascii="仿宋" w:hAnsi="仿宋" w:eastAsia="仿宋" w:cs="仿宋"/>
          <w:spacing w:val="4"/>
          <w:sz w:val="28"/>
          <w:szCs w:val="28"/>
          <w:lang w:val="en-US" w:eastAsia="zh-CN"/>
        </w:rPr>
        <w:t>1</w:t>
      </w:r>
      <w:r>
        <w:rPr>
          <w:rFonts w:hint="eastAsia" w:ascii="仿宋" w:hAnsi="仿宋" w:eastAsia="仿宋" w:cs="仿宋"/>
          <w:spacing w:val="4"/>
          <w:sz w:val="28"/>
          <w:szCs w:val="28"/>
        </w:rPr>
        <w:t>、督促生产企业和经营企业提高质量意识和质量管理水平，从而有效提高企业产品质量水平，为广大消费者提供放心满意的产品。进一步规范企业的经营行为，确保其商业活动符合法律、法规和规章的要求。</w:t>
      </w:r>
    </w:p>
    <w:p>
      <w:pPr>
        <w:spacing w:line="360" w:lineRule="auto"/>
        <w:ind w:firstLine="576" w:firstLineChars="200"/>
        <w:jc w:val="left"/>
        <w:rPr>
          <w:rFonts w:hint="eastAsia" w:ascii="仿宋" w:hAnsi="仿宋" w:eastAsia="仿宋" w:cs="仿宋"/>
          <w:spacing w:val="4"/>
          <w:sz w:val="28"/>
          <w:szCs w:val="28"/>
        </w:rPr>
      </w:pPr>
      <w:r>
        <w:rPr>
          <w:rFonts w:hint="eastAsia" w:ascii="仿宋" w:hAnsi="仿宋" w:eastAsia="仿宋" w:cs="仿宋"/>
          <w:spacing w:val="4"/>
          <w:sz w:val="28"/>
          <w:szCs w:val="28"/>
          <w:lang w:val="en-US" w:eastAsia="zh-CN"/>
        </w:rPr>
        <w:t>2</w:t>
      </w:r>
      <w:r>
        <w:rPr>
          <w:rFonts w:hint="eastAsia" w:ascii="仿宋" w:hAnsi="仿宋" w:eastAsia="仿宋" w:cs="仿宋"/>
          <w:spacing w:val="4"/>
          <w:sz w:val="28"/>
          <w:szCs w:val="28"/>
        </w:rPr>
        <w:t>、加强对企业的政策引导。一方面加强对行业大中型企业引导、不断加强大中型企业的研发能力和引进消化吸收能力，不断通过自主创新、技术引进、技术改造提升企业的技术与装备水平。</w:t>
      </w:r>
    </w:p>
    <w:p>
      <w:pPr>
        <w:pStyle w:val="9"/>
        <w:ind w:firstLine="576" w:firstLineChars="200"/>
        <w:rPr>
          <w:rFonts w:hint="eastAsia" w:ascii="仿宋_GB2312" w:hAnsi="宋体" w:eastAsia="仿宋_GB2312"/>
          <w:spacing w:val="4"/>
          <w:sz w:val="28"/>
          <w:szCs w:val="28"/>
          <w:lang w:val="en-US" w:eastAsia="zh-CN"/>
        </w:rPr>
      </w:pPr>
      <w:r>
        <w:rPr>
          <w:rFonts w:hint="eastAsia" w:ascii="仿宋_GB2312" w:hAnsi="宋体" w:eastAsia="仿宋_GB2312"/>
          <w:spacing w:val="4"/>
          <w:sz w:val="28"/>
          <w:szCs w:val="28"/>
          <w:lang w:val="en-US" w:eastAsia="zh-CN"/>
        </w:rPr>
        <w:t>3、政府监管部门应对企业落实产品质量主体责任的情况采取有效措施，加强监管，消费者对价格低，缺乏质量保障的产品要谨慎购买，避免不必要的损失。</w:t>
      </w:r>
    </w:p>
    <w:p>
      <w:pPr>
        <w:pStyle w:val="27"/>
        <w:spacing w:line="360" w:lineRule="auto"/>
        <w:ind w:firstLine="4498" w:firstLineChars="1600"/>
        <w:jc w:val="both"/>
        <w:rPr>
          <w:rFonts w:ascii="仿宋" w:hAnsi="仿宋" w:eastAsia="仿宋"/>
          <w:b/>
          <w:sz w:val="28"/>
          <w:szCs w:val="28"/>
        </w:rPr>
      </w:pPr>
      <w:r>
        <w:rPr>
          <w:rFonts w:hint="eastAsia" w:ascii="仿宋" w:hAnsi="仿宋" w:eastAsia="仿宋"/>
          <w:b/>
          <w:sz w:val="28"/>
          <w:szCs w:val="28"/>
        </w:rPr>
        <w:t>山东腾翔产品质量检测有限公司</w:t>
      </w:r>
    </w:p>
    <w:p>
      <w:pPr>
        <w:pStyle w:val="27"/>
        <w:spacing w:line="360" w:lineRule="auto"/>
        <w:ind w:firstLine="0" w:firstLineChars="0"/>
        <w:jc w:val="right"/>
        <w:rPr>
          <w:rFonts w:hint="eastAsia" w:ascii="仿宋" w:hAnsi="仿宋" w:eastAsia="仿宋"/>
          <w:b/>
          <w:sz w:val="28"/>
          <w:szCs w:val="28"/>
          <w:lang w:val="en-US" w:eastAsia="zh-CN"/>
        </w:rPr>
        <w:sectPr>
          <w:footerReference r:id="rId5" w:type="first"/>
          <w:headerReference r:id="rId3" w:type="default"/>
          <w:footerReference r:id="rId4" w:type="default"/>
          <w:pgSz w:w="11906" w:h="16838"/>
          <w:pgMar w:top="1134" w:right="1701" w:bottom="1134" w:left="1701" w:header="567" w:footer="850" w:gutter="0"/>
          <w:pgNumType w:start="0"/>
          <w:cols w:space="425" w:num="1"/>
          <w:titlePg/>
          <w:docGrid w:type="lines" w:linePitch="312" w:charSpace="0"/>
        </w:sectPr>
      </w:pPr>
      <w:r>
        <w:rPr>
          <w:rFonts w:hint="eastAsia" w:ascii="仿宋" w:hAnsi="仿宋" w:eastAsia="仿宋"/>
          <w:b/>
          <w:sz w:val="28"/>
          <w:szCs w:val="28"/>
        </w:rPr>
        <w:t xml:space="preserve">                   20</w:t>
      </w:r>
      <w:r>
        <w:rPr>
          <w:rFonts w:ascii="仿宋" w:hAnsi="仿宋" w:eastAsia="仿宋"/>
          <w:b/>
          <w:sz w:val="28"/>
          <w:szCs w:val="28"/>
        </w:rPr>
        <w:t>2</w:t>
      </w:r>
      <w:r>
        <w:rPr>
          <w:rFonts w:hint="eastAsia" w:ascii="仿宋" w:hAnsi="仿宋" w:eastAsia="仿宋"/>
          <w:b/>
          <w:sz w:val="28"/>
          <w:szCs w:val="28"/>
          <w:lang w:val="en-US" w:eastAsia="zh-CN"/>
        </w:rPr>
        <w:t>2</w:t>
      </w:r>
      <w:r>
        <w:rPr>
          <w:rFonts w:hint="eastAsia" w:ascii="仿宋" w:hAnsi="仿宋" w:eastAsia="仿宋"/>
          <w:b/>
          <w:sz w:val="28"/>
          <w:szCs w:val="28"/>
        </w:rPr>
        <w:t>年</w:t>
      </w:r>
      <w:r>
        <w:rPr>
          <w:rFonts w:hint="eastAsia" w:ascii="仿宋" w:hAnsi="仿宋" w:eastAsia="仿宋"/>
          <w:b/>
          <w:sz w:val="28"/>
          <w:szCs w:val="28"/>
          <w:lang w:val="en-US" w:eastAsia="zh-CN"/>
        </w:rPr>
        <w:t>10</w:t>
      </w:r>
      <w:r>
        <w:rPr>
          <w:rFonts w:hint="eastAsia" w:ascii="仿宋" w:hAnsi="仿宋" w:eastAsia="仿宋"/>
          <w:b/>
          <w:sz w:val="28"/>
          <w:szCs w:val="28"/>
        </w:rPr>
        <w:t>月</w:t>
      </w:r>
      <w:r>
        <w:rPr>
          <w:rFonts w:hint="eastAsia" w:ascii="仿宋" w:hAnsi="仿宋" w:eastAsia="仿宋"/>
          <w:b/>
          <w:sz w:val="28"/>
          <w:szCs w:val="28"/>
          <w:lang w:val="en-US" w:eastAsia="zh-CN"/>
        </w:rPr>
        <w:t>12日</w:t>
      </w:r>
    </w:p>
    <w:tbl>
      <w:tblPr>
        <w:tblStyle w:val="11"/>
        <w:tblW w:w="9405" w:type="dxa"/>
        <w:tblInd w:w="-14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5"/>
        <w:gridCol w:w="1560"/>
        <w:gridCol w:w="1710"/>
        <w:gridCol w:w="1080"/>
        <w:gridCol w:w="2895"/>
        <w:gridCol w:w="12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9405" w:type="dxa"/>
            <w:gridSpan w:val="6"/>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南昌市市场监督管理局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样品编号</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样品名称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标称商标</w:t>
            </w:r>
          </w:p>
        </w:tc>
        <w:tc>
          <w:tcPr>
            <w:tcW w:w="2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受检单位</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检验结果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20220810047 </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热轧带肋钢筋</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安徽富鑫</w:t>
            </w:r>
          </w:p>
        </w:tc>
        <w:tc>
          <w:tcPr>
            <w:tcW w:w="2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江西茂起实业有限公司</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20220810048 </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热轧带肋钢筋</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方大</w:t>
            </w:r>
          </w:p>
        </w:tc>
        <w:tc>
          <w:tcPr>
            <w:tcW w:w="2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江西茂起实业有限公司</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20220810065 </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钢筋混凝土用热轧带肋钢筋</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贵航钢铁</w:t>
            </w:r>
          </w:p>
        </w:tc>
        <w:tc>
          <w:tcPr>
            <w:tcW w:w="2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进贤县大强建材经营部</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20220828036 </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钢筋混凝土用热轧带肋钢筋</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贵航钢铁</w:t>
            </w:r>
          </w:p>
        </w:tc>
        <w:tc>
          <w:tcPr>
            <w:tcW w:w="2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江西宠福贸易有限公司</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20220829108 </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热轧带肋钢筋</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博升</w:t>
            </w:r>
          </w:p>
        </w:tc>
        <w:tc>
          <w:tcPr>
            <w:tcW w:w="2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江西南翔金属材料有限公司</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20220829109 </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热轧带肋钢筋</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桂鑫钢铁</w:t>
            </w:r>
          </w:p>
        </w:tc>
        <w:tc>
          <w:tcPr>
            <w:tcW w:w="2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江西省联创富邦实业有限公司</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7</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20220829110 </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钢筋混凝土用钢热轧带肋钢筋</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荣恒</w:t>
            </w:r>
          </w:p>
        </w:tc>
        <w:tc>
          <w:tcPr>
            <w:tcW w:w="2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江西巨华物流有限公司</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8</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20220829111 </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热轧带肋钢筋</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广钢 五羊</w:t>
            </w:r>
          </w:p>
        </w:tc>
        <w:tc>
          <w:tcPr>
            <w:tcW w:w="2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江西巨华物流有限公司</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9</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20220829112 </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热轧带肋钢筋</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中新</w:t>
            </w:r>
          </w:p>
        </w:tc>
        <w:tc>
          <w:tcPr>
            <w:tcW w:w="2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江西巨华物流有限公司</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20220829113 </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热轧带肋钢筋</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广欣</w:t>
            </w:r>
          </w:p>
        </w:tc>
        <w:tc>
          <w:tcPr>
            <w:tcW w:w="2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南昌市恒通金属材料有限公司</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11</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20220829116 </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热轧带肋钢筋</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博升</w:t>
            </w:r>
          </w:p>
        </w:tc>
        <w:tc>
          <w:tcPr>
            <w:tcW w:w="2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江西演新实业有限公司</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12</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20220829119 </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热轧带肋钢筋</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方大</w:t>
            </w:r>
          </w:p>
        </w:tc>
        <w:tc>
          <w:tcPr>
            <w:tcW w:w="2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方大特钢科技股份有限公司</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13</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20220829120 </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热轧带肋钢筋</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方大</w:t>
            </w:r>
          </w:p>
        </w:tc>
        <w:tc>
          <w:tcPr>
            <w:tcW w:w="2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方大特钢科技股份有限公司</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14</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20220829124 </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热轧带肋钢筋</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博升</w:t>
            </w:r>
          </w:p>
        </w:tc>
        <w:tc>
          <w:tcPr>
            <w:tcW w:w="2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青山湖区付有元钢材经营部</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15</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20220829126 </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热轧带肋钢筋</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方大</w:t>
            </w:r>
          </w:p>
        </w:tc>
        <w:tc>
          <w:tcPr>
            <w:tcW w:w="2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青山湖区付有元钢材经营部</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合格</w:t>
            </w:r>
          </w:p>
        </w:tc>
      </w:tr>
    </w:tbl>
    <w:p>
      <w:pPr>
        <w:spacing w:line="480" w:lineRule="auto"/>
        <w:rPr>
          <w:rFonts w:asciiTheme="minorEastAsia" w:hAnsiTheme="minorEastAsia"/>
          <w:sz w:val="30"/>
          <w:szCs w:val="30"/>
        </w:rPr>
      </w:pPr>
    </w:p>
    <w:sectPr>
      <w:pgSz w:w="11906" w:h="16838"/>
      <w:pgMar w:top="1134" w:right="1701" w:bottom="1134" w:left="1701" w:header="567" w:footer="85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39604965"/>
    </w:sdtPr>
    <w:sdtEndPr>
      <w:rPr>
        <w:rFonts w:ascii="Times New Roman" w:hAnsi="Times New Roman" w:cs="Times New Roman"/>
        <w:sz w:val="20"/>
      </w:rPr>
    </w:sdtEndPr>
    <w:sdtContent>
      <w:p>
        <w:pPr>
          <w:pStyle w:val="7"/>
          <w:jc w:val="center"/>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PAGE   \* MERGEFORMAT</w:instrText>
        </w:r>
        <w:r>
          <w:rPr>
            <w:rFonts w:ascii="Times New Roman" w:hAnsi="Times New Roman" w:cs="Times New Roman"/>
            <w:sz w:val="20"/>
          </w:rPr>
          <w:fldChar w:fldCharType="separate"/>
        </w:r>
        <w:r>
          <w:rPr>
            <w:rFonts w:ascii="Times New Roman" w:hAnsi="Times New Roman" w:cs="Times New Roman"/>
            <w:sz w:val="20"/>
            <w:lang w:val="zh-CN"/>
          </w:rPr>
          <w:t>1</w:t>
        </w:r>
        <w:r>
          <w:rPr>
            <w:rFonts w:ascii="Times New Roman" w:hAnsi="Times New Roman" w:cs="Times New Roman"/>
            <w:sz w:val="2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rFonts w:ascii="Times New Roman" w:hAnsi="Times New Roman" w:cs="Times New Roman"/>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240" w:lineRule="atLeast"/>
      <w:jc w:val="right"/>
      <w:rPr>
        <w:color w:val="000000" w:themeColor="text1"/>
        <w14:textFill>
          <w14:solidFill>
            <w14:schemeClr w14:val="tx1"/>
          </w14:solidFill>
        </w14:textFill>
      </w:rPr>
    </w:pPr>
    <w:r>
      <w:rPr>
        <w:rFonts w:hint="eastAsia"/>
        <w:b/>
      </w:rPr>
      <w:t xml:space="preserve">   </w:t>
    </w:r>
    <w:r>
      <w:rPr>
        <w:rFonts w:hint="eastAsia"/>
        <w:color w:val="000000" w:themeColor="text1"/>
        <w14:textFill>
          <w14:solidFill>
            <w14:schemeClr w14:val="tx1"/>
          </w14:solidFill>
        </w14:textFill>
      </w:rPr>
      <w:t xml:space="preserve"> 山东腾翔产品质量检测有限公司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yMjkxYjdlMjI4NjE2NDAzNGIxODQ2YTRhODE4MzIifQ=="/>
  </w:docVars>
  <w:rsids>
    <w:rsidRoot w:val="00377BE8"/>
    <w:rsid w:val="000056AE"/>
    <w:rsid w:val="000156AD"/>
    <w:rsid w:val="00021311"/>
    <w:rsid w:val="00021D09"/>
    <w:rsid w:val="00024F47"/>
    <w:rsid w:val="00030957"/>
    <w:rsid w:val="000359F1"/>
    <w:rsid w:val="00037338"/>
    <w:rsid w:val="000378B3"/>
    <w:rsid w:val="00051710"/>
    <w:rsid w:val="00052412"/>
    <w:rsid w:val="00060A30"/>
    <w:rsid w:val="0007651B"/>
    <w:rsid w:val="00097478"/>
    <w:rsid w:val="00097888"/>
    <w:rsid w:val="00097A25"/>
    <w:rsid w:val="000C258F"/>
    <w:rsid w:val="000C4460"/>
    <w:rsid w:val="000D788D"/>
    <w:rsid w:val="000D7C10"/>
    <w:rsid w:val="000E0891"/>
    <w:rsid w:val="000E672D"/>
    <w:rsid w:val="000F275C"/>
    <w:rsid w:val="000F7473"/>
    <w:rsid w:val="0010179F"/>
    <w:rsid w:val="00112F5E"/>
    <w:rsid w:val="001230D9"/>
    <w:rsid w:val="00130A0A"/>
    <w:rsid w:val="00130F14"/>
    <w:rsid w:val="001351CC"/>
    <w:rsid w:val="0013682F"/>
    <w:rsid w:val="00136899"/>
    <w:rsid w:val="00145506"/>
    <w:rsid w:val="001503FF"/>
    <w:rsid w:val="00154693"/>
    <w:rsid w:val="00157C39"/>
    <w:rsid w:val="0016466D"/>
    <w:rsid w:val="00171597"/>
    <w:rsid w:val="0017334A"/>
    <w:rsid w:val="00186D2B"/>
    <w:rsid w:val="001A3073"/>
    <w:rsid w:val="001C11CE"/>
    <w:rsid w:val="001C227A"/>
    <w:rsid w:val="001C6D2D"/>
    <w:rsid w:val="001D06F6"/>
    <w:rsid w:val="001D3599"/>
    <w:rsid w:val="001E1B1B"/>
    <w:rsid w:val="001E6BAD"/>
    <w:rsid w:val="001E7433"/>
    <w:rsid w:val="001F01CA"/>
    <w:rsid w:val="001F50EC"/>
    <w:rsid w:val="001F64C9"/>
    <w:rsid w:val="002035E1"/>
    <w:rsid w:val="00203DC7"/>
    <w:rsid w:val="0021272C"/>
    <w:rsid w:val="00214C00"/>
    <w:rsid w:val="00216273"/>
    <w:rsid w:val="00217964"/>
    <w:rsid w:val="00227DD2"/>
    <w:rsid w:val="0025501C"/>
    <w:rsid w:val="00256DE3"/>
    <w:rsid w:val="00257FDD"/>
    <w:rsid w:val="0027094A"/>
    <w:rsid w:val="00271AD8"/>
    <w:rsid w:val="0027433E"/>
    <w:rsid w:val="002A6095"/>
    <w:rsid w:val="002A72BB"/>
    <w:rsid w:val="002C0229"/>
    <w:rsid w:val="002C4D99"/>
    <w:rsid w:val="002C73DD"/>
    <w:rsid w:val="002D5448"/>
    <w:rsid w:val="002E65C0"/>
    <w:rsid w:val="002F02F6"/>
    <w:rsid w:val="002F1CC2"/>
    <w:rsid w:val="002F40C4"/>
    <w:rsid w:val="00300C15"/>
    <w:rsid w:val="00306858"/>
    <w:rsid w:val="00312C16"/>
    <w:rsid w:val="003152D5"/>
    <w:rsid w:val="00325B1D"/>
    <w:rsid w:val="00332DFE"/>
    <w:rsid w:val="003462E4"/>
    <w:rsid w:val="003472E1"/>
    <w:rsid w:val="00350161"/>
    <w:rsid w:val="0037252D"/>
    <w:rsid w:val="00375475"/>
    <w:rsid w:val="00377BE8"/>
    <w:rsid w:val="0038262A"/>
    <w:rsid w:val="00382E9F"/>
    <w:rsid w:val="00386970"/>
    <w:rsid w:val="003906CE"/>
    <w:rsid w:val="00392E2D"/>
    <w:rsid w:val="00396F4F"/>
    <w:rsid w:val="003A28AF"/>
    <w:rsid w:val="003A3BE9"/>
    <w:rsid w:val="003A404F"/>
    <w:rsid w:val="003A5C91"/>
    <w:rsid w:val="003B42ED"/>
    <w:rsid w:val="003B686B"/>
    <w:rsid w:val="003C06D2"/>
    <w:rsid w:val="003C1E8D"/>
    <w:rsid w:val="003C6074"/>
    <w:rsid w:val="003C616A"/>
    <w:rsid w:val="003D166F"/>
    <w:rsid w:val="003E25F9"/>
    <w:rsid w:val="0040383F"/>
    <w:rsid w:val="00404694"/>
    <w:rsid w:val="00405259"/>
    <w:rsid w:val="00406F70"/>
    <w:rsid w:val="004072EC"/>
    <w:rsid w:val="00411F6C"/>
    <w:rsid w:val="00435C01"/>
    <w:rsid w:val="004366E6"/>
    <w:rsid w:val="00445623"/>
    <w:rsid w:val="004456A5"/>
    <w:rsid w:val="004459B9"/>
    <w:rsid w:val="00450855"/>
    <w:rsid w:val="00451D68"/>
    <w:rsid w:val="00452B51"/>
    <w:rsid w:val="00452E1B"/>
    <w:rsid w:val="0046095D"/>
    <w:rsid w:val="00463847"/>
    <w:rsid w:val="00482A6A"/>
    <w:rsid w:val="0048477B"/>
    <w:rsid w:val="004855DD"/>
    <w:rsid w:val="00491CBD"/>
    <w:rsid w:val="00493CB6"/>
    <w:rsid w:val="004A1754"/>
    <w:rsid w:val="004A50C5"/>
    <w:rsid w:val="004A5BB8"/>
    <w:rsid w:val="004A5D33"/>
    <w:rsid w:val="004A6C6E"/>
    <w:rsid w:val="004B63E1"/>
    <w:rsid w:val="004B6DB5"/>
    <w:rsid w:val="004C480F"/>
    <w:rsid w:val="004D33C9"/>
    <w:rsid w:val="004D6245"/>
    <w:rsid w:val="004E1EA8"/>
    <w:rsid w:val="004F17AB"/>
    <w:rsid w:val="004F2327"/>
    <w:rsid w:val="005018E5"/>
    <w:rsid w:val="00507606"/>
    <w:rsid w:val="00514B97"/>
    <w:rsid w:val="00514F76"/>
    <w:rsid w:val="00516273"/>
    <w:rsid w:val="00537FAE"/>
    <w:rsid w:val="00547E60"/>
    <w:rsid w:val="00552A4F"/>
    <w:rsid w:val="00553472"/>
    <w:rsid w:val="00555232"/>
    <w:rsid w:val="00555810"/>
    <w:rsid w:val="005577C2"/>
    <w:rsid w:val="005601E4"/>
    <w:rsid w:val="00561D4A"/>
    <w:rsid w:val="00564F50"/>
    <w:rsid w:val="00587121"/>
    <w:rsid w:val="00590433"/>
    <w:rsid w:val="005A20FB"/>
    <w:rsid w:val="005A5028"/>
    <w:rsid w:val="005B1086"/>
    <w:rsid w:val="005B6532"/>
    <w:rsid w:val="005B754A"/>
    <w:rsid w:val="005D6BB5"/>
    <w:rsid w:val="005D7690"/>
    <w:rsid w:val="005E0B76"/>
    <w:rsid w:val="005E44DA"/>
    <w:rsid w:val="00610A4C"/>
    <w:rsid w:val="00620F47"/>
    <w:rsid w:val="0062526B"/>
    <w:rsid w:val="00641AB8"/>
    <w:rsid w:val="00646665"/>
    <w:rsid w:val="006473EA"/>
    <w:rsid w:val="006610C9"/>
    <w:rsid w:val="00670018"/>
    <w:rsid w:val="00680101"/>
    <w:rsid w:val="00680834"/>
    <w:rsid w:val="00682906"/>
    <w:rsid w:val="00691027"/>
    <w:rsid w:val="006A2EC3"/>
    <w:rsid w:val="006A53F8"/>
    <w:rsid w:val="006B3C96"/>
    <w:rsid w:val="006C5006"/>
    <w:rsid w:val="006D020F"/>
    <w:rsid w:val="006D17EF"/>
    <w:rsid w:val="006D18D9"/>
    <w:rsid w:val="006E7C69"/>
    <w:rsid w:val="006F1E02"/>
    <w:rsid w:val="006F270B"/>
    <w:rsid w:val="006F2F15"/>
    <w:rsid w:val="00702F9E"/>
    <w:rsid w:val="0071246F"/>
    <w:rsid w:val="00713429"/>
    <w:rsid w:val="00715533"/>
    <w:rsid w:val="007210D9"/>
    <w:rsid w:val="007223F2"/>
    <w:rsid w:val="007244A6"/>
    <w:rsid w:val="0072490A"/>
    <w:rsid w:val="007269A2"/>
    <w:rsid w:val="007321FE"/>
    <w:rsid w:val="007355CD"/>
    <w:rsid w:val="00736734"/>
    <w:rsid w:val="00747F41"/>
    <w:rsid w:val="00750BF6"/>
    <w:rsid w:val="007512EF"/>
    <w:rsid w:val="007520F5"/>
    <w:rsid w:val="00760155"/>
    <w:rsid w:val="007622A9"/>
    <w:rsid w:val="00762533"/>
    <w:rsid w:val="00763935"/>
    <w:rsid w:val="00771E13"/>
    <w:rsid w:val="00771F56"/>
    <w:rsid w:val="00773558"/>
    <w:rsid w:val="007767E3"/>
    <w:rsid w:val="00781355"/>
    <w:rsid w:val="0078437D"/>
    <w:rsid w:val="00787297"/>
    <w:rsid w:val="0079491A"/>
    <w:rsid w:val="007A1370"/>
    <w:rsid w:val="007A60D4"/>
    <w:rsid w:val="007B2DB8"/>
    <w:rsid w:val="007B626F"/>
    <w:rsid w:val="007C36B9"/>
    <w:rsid w:val="007C396A"/>
    <w:rsid w:val="007C701F"/>
    <w:rsid w:val="007D7CE3"/>
    <w:rsid w:val="007E5226"/>
    <w:rsid w:val="007F35E6"/>
    <w:rsid w:val="007F782B"/>
    <w:rsid w:val="008053D9"/>
    <w:rsid w:val="0081484E"/>
    <w:rsid w:val="00814D05"/>
    <w:rsid w:val="00825A83"/>
    <w:rsid w:val="0083361B"/>
    <w:rsid w:val="00840F73"/>
    <w:rsid w:val="008446CE"/>
    <w:rsid w:val="00844DE5"/>
    <w:rsid w:val="00851382"/>
    <w:rsid w:val="0085614D"/>
    <w:rsid w:val="008579FB"/>
    <w:rsid w:val="00857E01"/>
    <w:rsid w:val="008612D6"/>
    <w:rsid w:val="008651CD"/>
    <w:rsid w:val="00867594"/>
    <w:rsid w:val="008805C6"/>
    <w:rsid w:val="00884295"/>
    <w:rsid w:val="00885FF4"/>
    <w:rsid w:val="008966D8"/>
    <w:rsid w:val="00896810"/>
    <w:rsid w:val="008A42F8"/>
    <w:rsid w:val="008B1482"/>
    <w:rsid w:val="008B43EC"/>
    <w:rsid w:val="008B4FAC"/>
    <w:rsid w:val="008C400D"/>
    <w:rsid w:val="008D4701"/>
    <w:rsid w:val="008E3258"/>
    <w:rsid w:val="008E58D8"/>
    <w:rsid w:val="0090537D"/>
    <w:rsid w:val="00913613"/>
    <w:rsid w:val="00913936"/>
    <w:rsid w:val="00914CEA"/>
    <w:rsid w:val="00917A0C"/>
    <w:rsid w:val="0092467A"/>
    <w:rsid w:val="00924BD8"/>
    <w:rsid w:val="009315B1"/>
    <w:rsid w:val="00935919"/>
    <w:rsid w:val="00937DBE"/>
    <w:rsid w:val="00945C8B"/>
    <w:rsid w:val="009501D4"/>
    <w:rsid w:val="0095653E"/>
    <w:rsid w:val="0095714E"/>
    <w:rsid w:val="00961828"/>
    <w:rsid w:val="00966A4E"/>
    <w:rsid w:val="009715E7"/>
    <w:rsid w:val="009766A2"/>
    <w:rsid w:val="00981FAE"/>
    <w:rsid w:val="009848A5"/>
    <w:rsid w:val="00995D14"/>
    <w:rsid w:val="00995D93"/>
    <w:rsid w:val="00997CE8"/>
    <w:rsid w:val="009B1841"/>
    <w:rsid w:val="009B1D06"/>
    <w:rsid w:val="009B462A"/>
    <w:rsid w:val="009B6C90"/>
    <w:rsid w:val="009D3937"/>
    <w:rsid w:val="009D55FD"/>
    <w:rsid w:val="009D6646"/>
    <w:rsid w:val="009D6A99"/>
    <w:rsid w:val="009D7967"/>
    <w:rsid w:val="009E56A0"/>
    <w:rsid w:val="00A1023D"/>
    <w:rsid w:val="00A1297A"/>
    <w:rsid w:val="00A139EE"/>
    <w:rsid w:val="00A153DC"/>
    <w:rsid w:val="00A36348"/>
    <w:rsid w:val="00A413DB"/>
    <w:rsid w:val="00A43C83"/>
    <w:rsid w:val="00A473CA"/>
    <w:rsid w:val="00A4749D"/>
    <w:rsid w:val="00A5125A"/>
    <w:rsid w:val="00A51FCA"/>
    <w:rsid w:val="00A54079"/>
    <w:rsid w:val="00A54F4D"/>
    <w:rsid w:val="00A55A97"/>
    <w:rsid w:val="00A66B5B"/>
    <w:rsid w:val="00A723F1"/>
    <w:rsid w:val="00A7384C"/>
    <w:rsid w:val="00A87CCB"/>
    <w:rsid w:val="00A9626B"/>
    <w:rsid w:val="00AA3859"/>
    <w:rsid w:val="00AB2935"/>
    <w:rsid w:val="00AB42EA"/>
    <w:rsid w:val="00AB586D"/>
    <w:rsid w:val="00AC7963"/>
    <w:rsid w:val="00AD5953"/>
    <w:rsid w:val="00AE356A"/>
    <w:rsid w:val="00AE5B30"/>
    <w:rsid w:val="00AE6978"/>
    <w:rsid w:val="00AF484B"/>
    <w:rsid w:val="00B03709"/>
    <w:rsid w:val="00B122AA"/>
    <w:rsid w:val="00B13446"/>
    <w:rsid w:val="00B14254"/>
    <w:rsid w:val="00B22D2C"/>
    <w:rsid w:val="00B51F4A"/>
    <w:rsid w:val="00B53CAE"/>
    <w:rsid w:val="00B55EC0"/>
    <w:rsid w:val="00B568C7"/>
    <w:rsid w:val="00B66A7F"/>
    <w:rsid w:val="00B735EF"/>
    <w:rsid w:val="00B7469D"/>
    <w:rsid w:val="00B77EEE"/>
    <w:rsid w:val="00B90C71"/>
    <w:rsid w:val="00B9396D"/>
    <w:rsid w:val="00B94F51"/>
    <w:rsid w:val="00B95666"/>
    <w:rsid w:val="00BA52FB"/>
    <w:rsid w:val="00BB4C39"/>
    <w:rsid w:val="00BC22FB"/>
    <w:rsid w:val="00BC2677"/>
    <w:rsid w:val="00BC506A"/>
    <w:rsid w:val="00BD2D86"/>
    <w:rsid w:val="00BD4A31"/>
    <w:rsid w:val="00BE1AEE"/>
    <w:rsid w:val="00BE2229"/>
    <w:rsid w:val="00BF0D78"/>
    <w:rsid w:val="00BF1C84"/>
    <w:rsid w:val="00BF5FED"/>
    <w:rsid w:val="00C043F9"/>
    <w:rsid w:val="00C04D7F"/>
    <w:rsid w:val="00C15906"/>
    <w:rsid w:val="00C263FA"/>
    <w:rsid w:val="00C27042"/>
    <w:rsid w:val="00C32E75"/>
    <w:rsid w:val="00C43FC4"/>
    <w:rsid w:val="00C4559E"/>
    <w:rsid w:val="00C564C9"/>
    <w:rsid w:val="00C63294"/>
    <w:rsid w:val="00C74767"/>
    <w:rsid w:val="00C758C2"/>
    <w:rsid w:val="00C775DA"/>
    <w:rsid w:val="00C8305E"/>
    <w:rsid w:val="00C87ADC"/>
    <w:rsid w:val="00C903F9"/>
    <w:rsid w:val="00C96AE1"/>
    <w:rsid w:val="00CB05F5"/>
    <w:rsid w:val="00CB2CCE"/>
    <w:rsid w:val="00CB3AD0"/>
    <w:rsid w:val="00CD4650"/>
    <w:rsid w:val="00CD77DC"/>
    <w:rsid w:val="00CE0899"/>
    <w:rsid w:val="00CE43FB"/>
    <w:rsid w:val="00CE575D"/>
    <w:rsid w:val="00CF666F"/>
    <w:rsid w:val="00D272AB"/>
    <w:rsid w:val="00D36AFE"/>
    <w:rsid w:val="00D4071A"/>
    <w:rsid w:val="00D415E6"/>
    <w:rsid w:val="00D41B12"/>
    <w:rsid w:val="00D44E94"/>
    <w:rsid w:val="00D82FFB"/>
    <w:rsid w:val="00D86A80"/>
    <w:rsid w:val="00D96D3A"/>
    <w:rsid w:val="00D9766A"/>
    <w:rsid w:val="00DA3B4C"/>
    <w:rsid w:val="00DA4417"/>
    <w:rsid w:val="00DA5C20"/>
    <w:rsid w:val="00DB4DB6"/>
    <w:rsid w:val="00DC078A"/>
    <w:rsid w:val="00DC2E1A"/>
    <w:rsid w:val="00DC63D5"/>
    <w:rsid w:val="00DD441A"/>
    <w:rsid w:val="00DD5B67"/>
    <w:rsid w:val="00DD6C27"/>
    <w:rsid w:val="00DE7F01"/>
    <w:rsid w:val="00DF3C9F"/>
    <w:rsid w:val="00E1676E"/>
    <w:rsid w:val="00E172AD"/>
    <w:rsid w:val="00E1764D"/>
    <w:rsid w:val="00E35273"/>
    <w:rsid w:val="00E43272"/>
    <w:rsid w:val="00E529A4"/>
    <w:rsid w:val="00E53A32"/>
    <w:rsid w:val="00E54CC2"/>
    <w:rsid w:val="00E623C5"/>
    <w:rsid w:val="00E93AD0"/>
    <w:rsid w:val="00EB531C"/>
    <w:rsid w:val="00EB5942"/>
    <w:rsid w:val="00EB597F"/>
    <w:rsid w:val="00EC4770"/>
    <w:rsid w:val="00ED16E0"/>
    <w:rsid w:val="00ED7219"/>
    <w:rsid w:val="00EE0165"/>
    <w:rsid w:val="00EE58D8"/>
    <w:rsid w:val="00EF2DCD"/>
    <w:rsid w:val="00EF724A"/>
    <w:rsid w:val="00F01911"/>
    <w:rsid w:val="00F027B3"/>
    <w:rsid w:val="00F048BA"/>
    <w:rsid w:val="00F05E56"/>
    <w:rsid w:val="00F17D39"/>
    <w:rsid w:val="00F24261"/>
    <w:rsid w:val="00F362ED"/>
    <w:rsid w:val="00F57857"/>
    <w:rsid w:val="00F65514"/>
    <w:rsid w:val="00F763A3"/>
    <w:rsid w:val="00F84EF2"/>
    <w:rsid w:val="00F93A1E"/>
    <w:rsid w:val="00F9449B"/>
    <w:rsid w:val="00F958FE"/>
    <w:rsid w:val="00FA080B"/>
    <w:rsid w:val="00FA1B13"/>
    <w:rsid w:val="00FB29F6"/>
    <w:rsid w:val="00FB2E9C"/>
    <w:rsid w:val="00FB3145"/>
    <w:rsid w:val="00FB5280"/>
    <w:rsid w:val="00FC0808"/>
    <w:rsid w:val="00FC0C03"/>
    <w:rsid w:val="00FD0957"/>
    <w:rsid w:val="00FD1297"/>
    <w:rsid w:val="00FD30DE"/>
    <w:rsid w:val="00FD35EF"/>
    <w:rsid w:val="00FE1DF3"/>
    <w:rsid w:val="00FE22C0"/>
    <w:rsid w:val="026E0171"/>
    <w:rsid w:val="0352559F"/>
    <w:rsid w:val="0402286F"/>
    <w:rsid w:val="045263AE"/>
    <w:rsid w:val="04CA77B6"/>
    <w:rsid w:val="04FE6188"/>
    <w:rsid w:val="07C23947"/>
    <w:rsid w:val="07DA42C7"/>
    <w:rsid w:val="085D1049"/>
    <w:rsid w:val="08E866EB"/>
    <w:rsid w:val="0B727430"/>
    <w:rsid w:val="0B7C4561"/>
    <w:rsid w:val="10275BE3"/>
    <w:rsid w:val="1045530E"/>
    <w:rsid w:val="1158070A"/>
    <w:rsid w:val="12203F8F"/>
    <w:rsid w:val="12AF0F2B"/>
    <w:rsid w:val="13996A8C"/>
    <w:rsid w:val="14C73E1C"/>
    <w:rsid w:val="15B15B80"/>
    <w:rsid w:val="164439EC"/>
    <w:rsid w:val="16D47E18"/>
    <w:rsid w:val="18B90CFF"/>
    <w:rsid w:val="1BB21F6E"/>
    <w:rsid w:val="1CBB6B50"/>
    <w:rsid w:val="1D047E0D"/>
    <w:rsid w:val="1D5C507C"/>
    <w:rsid w:val="1ED13455"/>
    <w:rsid w:val="1FD3695E"/>
    <w:rsid w:val="1FF70C2C"/>
    <w:rsid w:val="21356142"/>
    <w:rsid w:val="21531D87"/>
    <w:rsid w:val="217A4732"/>
    <w:rsid w:val="234C2DAD"/>
    <w:rsid w:val="23770136"/>
    <w:rsid w:val="24177C06"/>
    <w:rsid w:val="245328E0"/>
    <w:rsid w:val="26125975"/>
    <w:rsid w:val="2D275D82"/>
    <w:rsid w:val="2F08296F"/>
    <w:rsid w:val="2FB17C36"/>
    <w:rsid w:val="30711A91"/>
    <w:rsid w:val="309C26A0"/>
    <w:rsid w:val="311717F1"/>
    <w:rsid w:val="32F00034"/>
    <w:rsid w:val="34C53B82"/>
    <w:rsid w:val="373A5E08"/>
    <w:rsid w:val="377E07CB"/>
    <w:rsid w:val="37851916"/>
    <w:rsid w:val="38E818F2"/>
    <w:rsid w:val="392653E4"/>
    <w:rsid w:val="398E2332"/>
    <w:rsid w:val="39C36FD4"/>
    <w:rsid w:val="39C77388"/>
    <w:rsid w:val="39DD6971"/>
    <w:rsid w:val="3AA543A0"/>
    <w:rsid w:val="3B6304EC"/>
    <w:rsid w:val="3CDE455E"/>
    <w:rsid w:val="3D8B6634"/>
    <w:rsid w:val="3F366A97"/>
    <w:rsid w:val="3F565DAC"/>
    <w:rsid w:val="3FA316DC"/>
    <w:rsid w:val="40EE062D"/>
    <w:rsid w:val="43495F9C"/>
    <w:rsid w:val="460C649A"/>
    <w:rsid w:val="47C80303"/>
    <w:rsid w:val="48E6349B"/>
    <w:rsid w:val="48F57FB3"/>
    <w:rsid w:val="49015918"/>
    <w:rsid w:val="492A259C"/>
    <w:rsid w:val="49D4781F"/>
    <w:rsid w:val="4CCB5239"/>
    <w:rsid w:val="4F7C777B"/>
    <w:rsid w:val="5044100E"/>
    <w:rsid w:val="56826696"/>
    <w:rsid w:val="58243F69"/>
    <w:rsid w:val="59EE4613"/>
    <w:rsid w:val="5A4E3394"/>
    <w:rsid w:val="5A595E20"/>
    <w:rsid w:val="5A945FE1"/>
    <w:rsid w:val="5C0E7F8D"/>
    <w:rsid w:val="5DC95A84"/>
    <w:rsid w:val="5E9F0C8F"/>
    <w:rsid w:val="5EA01D9D"/>
    <w:rsid w:val="5F4B270A"/>
    <w:rsid w:val="61705682"/>
    <w:rsid w:val="63004BD0"/>
    <w:rsid w:val="656D674B"/>
    <w:rsid w:val="658314CB"/>
    <w:rsid w:val="65B55790"/>
    <w:rsid w:val="66842D71"/>
    <w:rsid w:val="66AF65DA"/>
    <w:rsid w:val="67E320B6"/>
    <w:rsid w:val="68ED2D4F"/>
    <w:rsid w:val="69A2662D"/>
    <w:rsid w:val="69D519B4"/>
    <w:rsid w:val="6D983628"/>
    <w:rsid w:val="6DDE4723"/>
    <w:rsid w:val="6F8454D6"/>
    <w:rsid w:val="6F9C66A6"/>
    <w:rsid w:val="70A36645"/>
    <w:rsid w:val="72A33D26"/>
    <w:rsid w:val="73980B9B"/>
    <w:rsid w:val="743A15DE"/>
    <w:rsid w:val="745D4C60"/>
    <w:rsid w:val="757F3BE3"/>
    <w:rsid w:val="75E06877"/>
    <w:rsid w:val="766C18F8"/>
    <w:rsid w:val="7A9B68AB"/>
    <w:rsid w:val="7DF6407D"/>
    <w:rsid w:val="7EA879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qFormat="1"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qFormat="1"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qFormat="1"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qFormat="1" w:unhideWhenUsed="0" w:uiPriority="73" w:semiHidden="0" w:name="Colorful Grid Accent 5"/>
    <w:lsdException w:unhideWhenUsed="0" w:uiPriority="60" w:semiHidden="0" w:name="Light Shading Accent 6"/>
    <w:lsdException w:unhideWhenUsed="0" w:uiPriority="61" w:semiHidden="0" w:name="Light List Accent 6"/>
    <w:lsdException w:qFormat="1"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1">
    <w:name w:val="Default Paragraph Font"/>
    <w:unhideWhenUsed/>
    <w:uiPriority w:val="1"/>
  </w:style>
  <w:style w:type="table" w:default="1" w:styleId="11">
    <w:name w:val="Normal Table"/>
    <w:unhideWhenUsed/>
    <w:uiPriority w:val="99"/>
    <w:tblPr>
      <w:tblCellMar>
        <w:top w:w="0" w:type="dxa"/>
        <w:left w:w="108" w:type="dxa"/>
        <w:bottom w:w="0" w:type="dxa"/>
        <w:right w:w="108" w:type="dxa"/>
      </w:tblCellMar>
    </w:tblPr>
  </w:style>
  <w:style w:type="paragraph" w:customStyle="1" w:styleId="2">
    <w:name w:val="正文格式"/>
    <w:basedOn w:val="3"/>
    <w:qFormat/>
    <w:uiPriority w:val="0"/>
    <w:pPr>
      <w:widowControl/>
      <w:adjustRightInd w:val="0"/>
      <w:snapToGrid w:val="0"/>
      <w:spacing w:line="400" w:lineRule="atLeast"/>
      <w:ind w:firstLine="482"/>
      <w:textAlignment w:val="baseline"/>
    </w:pPr>
    <w:rPr>
      <w:rFonts w:ascii="Times New Roman" w:hAnsi="Times New Roman" w:eastAsia="宋体" w:cs="Times New Roman"/>
      <w:kern w:val="0"/>
      <w:sz w:val="24"/>
    </w:rPr>
  </w:style>
  <w:style w:type="paragraph" w:styleId="3">
    <w:name w:val="Body Text"/>
    <w:basedOn w:val="1"/>
    <w:next w:val="1"/>
    <w:unhideWhenUsed/>
    <w:qFormat/>
    <w:uiPriority w:val="0"/>
    <w:pPr>
      <w:spacing w:after="120"/>
    </w:pPr>
    <w:rPr>
      <w:rFonts w:ascii="Calibri" w:hAnsi="Calibri"/>
      <w:szCs w:val="22"/>
    </w:rPr>
  </w:style>
  <w:style w:type="paragraph" w:styleId="4">
    <w:name w:val="annotation text"/>
    <w:basedOn w:val="1"/>
    <w:link w:val="36"/>
    <w:unhideWhenUsed/>
    <w:qFormat/>
    <w:uiPriority w:val="99"/>
    <w:pPr>
      <w:jc w:val="left"/>
    </w:pPr>
  </w:style>
  <w:style w:type="paragraph" w:styleId="5">
    <w:name w:val="Date"/>
    <w:basedOn w:val="1"/>
    <w:next w:val="1"/>
    <w:link w:val="34"/>
    <w:unhideWhenUsed/>
    <w:qFormat/>
    <w:uiPriority w:val="99"/>
    <w:pPr>
      <w:ind w:left="100" w:leftChars="2500"/>
    </w:pPr>
  </w:style>
  <w:style w:type="paragraph" w:styleId="6">
    <w:name w:val="Balloon Text"/>
    <w:basedOn w:val="1"/>
    <w:link w:val="28"/>
    <w:unhideWhenUsed/>
    <w:qFormat/>
    <w:uiPriority w:val="99"/>
    <w:rPr>
      <w:sz w:val="18"/>
      <w:szCs w:val="18"/>
    </w:rPr>
  </w:style>
  <w:style w:type="paragraph" w:styleId="7">
    <w:name w:val="footer"/>
    <w:basedOn w:val="1"/>
    <w:link w:val="26"/>
    <w:unhideWhenUsed/>
    <w:qFormat/>
    <w:uiPriority w:val="99"/>
    <w:pPr>
      <w:tabs>
        <w:tab w:val="center" w:pos="4153"/>
        <w:tab w:val="right" w:pos="8306"/>
      </w:tabs>
      <w:snapToGrid w:val="0"/>
      <w:jc w:val="left"/>
    </w:pPr>
    <w:rPr>
      <w:sz w:val="18"/>
      <w:szCs w:val="18"/>
    </w:rPr>
  </w:style>
  <w:style w:type="paragraph" w:styleId="8">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semiHidden/>
    <w:unhideWhenUsed/>
    <w:qFormat/>
    <w:uiPriority w:val="39"/>
  </w:style>
  <w:style w:type="paragraph" w:styleId="10">
    <w:name w:val="annotation subject"/>
    <w:basedOn w:val="4"/>
    <w:next w:val="4"/>
    <w:link w:val="37"/>
    <w:unhideWhenUsed/>
    <w:qFormat/>
    <w:uiPriority w:val="99"/>
    <w:rPr>
      <w:b/>
      <w:bCs/>
    </w:rPr>
  </w:style>
  <w:style w:type="table" w:styleId="12">
    <w:name w:val="Table Grid"/>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13">
    <w:name w:val="Light Shading Accent 4"/>
    <w:basedOn w:val="11"/>
    <w:qFormat/>
    <w:uiPriority w:val="60"/>
    <w:rPr>
      <w:color w:val="604A7B" w:themeColor="accent4" w:themeShade="BF"/>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14">
    <w:name w:val="Light Shading Accent 5"/>
    <w:basedOn w:val="11"/>
    <w:qFormat/>
    <w:uiPriority w:val="60"/>
    <w:rPr>
      <w:color w:val="31859C" w:themeColor="accent5" w:themeShade="BF"/>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15">
    <w:name w:val="Light List Accent 5"/>
    <w:basedOn w:val="11"/>
    <w:qFormat/>
    <w:uiPriority w:val="61"/>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16">
    <w:name w:val="Light Grid Accent 6"/>
    <w:basedOn w:val="11"/>
    <w:qFormat/>
    <w:uiPriority w:val="62"/>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17">
    <w:name w:val="Medium Shading 1 Accent 3"/>
    <w:basedOn w:val="11"/>
    <w:qFormat/>
    <w:uiPriority w:val="63"/>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8">
    <w:name w:val="Medium Grid 1 Accent 5"/>
    <w:basedOn w:val="11"/>
    <w:qFormat/>
    <w:uiPriority w:val="67"/>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9">
    <w:name w:val="Medium Grid 3 Accent 5"/>
    <w:basedOn w:val="11"/>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20">
    <w:name w:val="Colorful Grid Accent 5"/>
    <w:basedOn w:val="11"/>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styleId="22">
    <w:name w:val="FollowedHyperlink"/>
    <w:basedOn w:val="21"/>
    <w:unhideWhenUsed/>
    <w:qFormat/>
    <w:uiPriority w:val="99"/>
    <w:rPr>
      <w:color w:val="800080"/>
      <w:u w:val="single"/>
    </w:rPr>
  </w:style>
  <w:style w:type="character" w:styleId="23">
    <w:name w:val="Hyperlink"/>
    <w:basedOn w:val="21"/>
    <w:unhideWhenUsed/>
    <w:qFormat/>
    <w:uiPriority w:val="99"/>
    <w:rPr>
      <w:color w:val="0000FF"/>
      <w:u w:val="single"/>
    </w:rPr>
  </w:style>
  <w:style w:type="character" w:styleId="24">
    <w:name w:val="annotation reference"/>
    <w:basedOn w:val="21"/>
    <w:unhideWhenUsed/>
    <w:qFormat/>
    <w:uiPriority w:val="99"/>
    <w:rPr>
      <w:sz w:val="21"/>
      <w:szCs w:val="21"/>
    </w:rPr>
  </w:style>
  <w:style w:type="character" w:customStyle="1" w:styleId="25">
    <w:name w:val="页眉 字符"/>
    <w:basedOn w:val="21"/>
    <w:link w:val="8"/>
    <w:qFormat/>
    <w:uiPriority w:val="99"/>
    <w:rPr>
      <w:sz w:val="18"/>
      <w:szCs w:val="18"/>
    </w:rPr>
  </w:style>
  <w:style w:type="character" w:customStyle="1" w:styleId="26">
    <w:name w:val="页脚 字符"/>
    <w:basedOn w:val="21"/>
    <w:link w:val="7"/>
    <w:qFormat/>
    <w:uiPriority w:val="99"/>
    <w:rPr>
      <w:sz w:val="18"/>
      <w:szCs w:val="18"/>
    </w:rPr>
  </w:style>
  <w:style w:type="paragraph" w:customStyle="1" w:styleId="27">
    <w:name w:val="列出段落1"/>
    <w:basedOn w:val="1"/>
    <w:qFormat/>
    <w:uiPriority w:val="99"/>
    <w:pPr>
      <w:ind w:firstLine="420" w:firstLineChars="200"/>
    </w:pPr>
  </w:style>
  <w:style w:type="character" w:customStyle="1" w:styleId="28">
    <w:name w:val="批注框文本 字符"/>
    <w:basedOn w:val="21"/>
    <w:link w:val="6"/>
    <w:semiHidden/>
    <w:qFormat/>
    <w:uiPriority w:val="99"/>
    <w:rPr>
      <w:sz w:val="18"/>
      <w:szCs w:val="18"/>
    </w:rPr>
  </w:style>
  <w:style w:type="paragraph" w:customStyle="1" w:styleId="29">
    <w:name w:val="font5"/>
    <w:basedOn w:val="1"/>
    <w:qFormat/>
    <w:uiPriority w:val="0"/>
    <w:pPr>
      <w:widowControl/>
      <w:spacing w:before="100" w:beforeAutospacing="1" w:after="100" w:afterAutospacing="1"/>
      <w:jc w:val="left"/>
    </w:pPr>
    <w:rPr>
      <w:rFonts w:ascii="Arial" w:hAnsi="Arial" w:eastAsia="宋体" w:cs="Arial"/>
      <w:kern w:val="0"/>
      <w:sz w:val="16"/>
      <w:szCs w:val="16"/>
    </w:rPr>
  </w:style>
  <w:style w:type="paragraph" w:customStyle="1" w:styleId="30">
    <w:name w:val="font6"/>
    <w:basedOn w:val="1"/>
    <w:qFormat/>
    <w:uiPriority w:val="0"/>
    <w:pPr>
      <w:widowControl/>
      <w:spacing w:before="100" w:beforeAutospacing="1" w:after="100" w:afterAutospacing="1"/>
      <w:jc w:val="left"/>
    </w:pPr>
    <w:rPr>
      <w:rFonts w:ascii="宋体" w:hAnsi="宋体" w:eastAsia="宋体" w:cs="宋体"/>
      <w:b/>
      <w:bCs/>
      <w:color w:val="000000"/>
      <w:kern w:val="0"/>
      <w:sz w:val="18"/>
      <w:szCs w:val="18"/>
    </w:rPr>
  </w:style>
  <w:style w:type="paragraph" w:customStyle="1" w:styleId="31">
    <w:name w:val="xl66"/>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黑体" w:hAnsi="黑体" w:eastAsia="黑体" w:cs="宋体"/>
      <w:color w:val="000000"/>
      <w:kern w:val="0"/>
      <w:sz w:val="24"/>
      <w:szCs w:val="24"/>
    </w:rPr>
  </w:style>
  <w:style w:type="paragraph" w:customStyle="1" w:styleId="32">
    <w:name w:val="xl67"/>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textAlignment w:val="center"/>
    </w:pPr>
    <w:rPr>
      <w:rFonts w:ascii="黑体" w:hAnsi="黑体" w:eastAsia="黑体" w:cs="宋体"/>
      <w:color w:val="000000"/>
      <w:kern w:val="0"/>
      <w:sz w:val="24"/>
      <w:szCs w:val="24"/>
    </w:rPr>
  </w:style>
  <w:style w:type="paragraph" w:customStyle="1" w:styleId="33">
    <w:name w:val="xl68"/>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黑体" w:hAnsi="黑体" w:eastAsia="黑体" w:cs="宋体"/>
      <w:color w:val="000000"/>
      <w:kern w:val="0"/>
      <w:sz w:val="24"/>
      <w:szCs w:val="24"/>
    </w:rPr>
  </w:style>
  <w:style w:type="character" w:customStyle="1" w:styleId="34">
    <w:name w:val="日期 字符"/>
    <w:basedOn w:val="21"/>
    <w:link w:val="5"/>
    <w:semiHidden/>
    <w:qFormat/>
    <w:uiPriority w:val="99"/>
    <w:rPr>
      <w:kern w:val="2"/>
      <w:sz w:val="21"/>
      <w:szCs w:val="22"/>
    </w:rPr>
  </w:style>
  <w:style w:type="paragraph" w:customStyle="1" w:styleId="35">
    <w:name w:val="列出段落2"/>
    <w:basedOn w:val="1"/>
    <w:unhideWhenUsed/>
    <w:qFormat/>
    <w:uiPriority w:val="99"/>
    <w:pPr>
      <w:ind w:firstLine="420" w:firstLineChars="200"/>
    </w:pPr>
  </w:style>
  <w:style w:type="character" w:customStyle="1" w:styleId="36">
    <w:name w:val="批注文字 字符"/>
    <w:basedOn w:val="21"/>
    <w:link w:val="4"/>
    <w:semiHidden/>
    <w:qFormat/>
    <w:uiPriority w:val="99"/>
    <w:rPr>
      <w:rFonts w:asciiTheme="minorHAnsi" w:hAnsiTheme="minorHAnsi" w:eastAsiaTheme="minorEastAsia" w:cstheme="minorBidi"/>
      <w:kern w:val="2"/>
      <w:sz w:val="21"/>
      <w:szCs w:val="22"/>
    </w:rPr>
  </w:style>
  <w:style w:type="character" w:customStyle="1" w:styleId="37">
    <w:name w:val="批注主题 字符"/>
    <w:basedOn w:val="36"/>
    <w:link w:val="10"/>
    <w:semiHidden/>
    <w:qFormat/>
    <w:uiPriority w:val="99"/>
    <w:rPr>
      <w:rFonts w:asciiTheme="minorHAnsi" w:hAnsiTheme="minorHAnsi" w:eastAsiaTheme="minorEastAsia" w:cstheme="minorBidi"/>
      <w:b/>
      <w:bCs/>
      <w:kern w:val="2"/>
      <w:sz w:val="21"/>
      <w:szCs w:val="22"/>
    </w:rPr>
  </w:style>
  <w:style w:type="character" w:customStyle="1" w:styleId="38">
    <w:name w:val="font01"/>
    <w:basedOn w:val="21"/>
    <w:qFormat/>
    <w:uiPriority w:val="0"/>
    <w:rPr>
      <w:rFonts w:hint="default" w:ascii="Arial" w:hAnsi="Arial" w:cs="Arial"/>
      <w:color w:val="000000"/>
      <w:sz w:val="20"/>
      <w:szCs w:val="20"/>
      <w:u w:val="none"/>
    </w:rPr>
  </w:style>
  <w:style w:type="character" w:customStyle="1" w:styleId="39">
    <w:name w:val="font51"/>
    <w:basedOn w:val="21"/>
    <w:qFormat/>
    <w:uiPriority w:val="0"/>
    <w:rPr>
      <w:rFonts w:hint="eastAsia" w:ascii="宋体" w:hAnsi="宋体" w:eastAsia="宋体" w:cs="宋体"/>
      <w:color w:val="000000"/>
      <w:sz w:val="20"/>
      <w:szCs w:val="20"/>
      <w:u w:val="none"/>
    </w:rPr>
  </w:style>
  <w:style w:type="character" w:customStyle="1" w:styleId="40">
    <w:name w:val="font11"/>
    <w:basedOn w:val="21"/>
    <w:qFormat/>
    <w:uiPriority w:val="0"/>
    <w:rPr>
      <w:rFonts w:hint="default" w:ascii="Arial" w:hAnsi="Arial" w:cs="Arial"/>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400" b="1">
                <a:latin typeface="仿宋" panose="02010609060101010101" pitchFamily="3" charset="-122"/>
                <a:ea typeface="仿宋" panose="02010609060101010101" pitchFamily="3" charset="-122"/>
              </a:rPr>
              <a:t>图</a:t>
            </a:r>
            <a:r>
              <a:rPr lang="en-US" altLang="zh-CN" sz="1400" b="1">
                <a:latin typeface="仿宋" panose="02010609060101010101" pitchFamily="3" charset="-122"/>
                <a:ea typeface="仿宋" panose="02010609060101010101" pitchFamily="3" charset="-122"/>
              </a:rPr>
              <a:t>1 </a:t>
            </a:r>
            <a:r>
              <a:rPr lang="zh-CN" altLang="en-US" sz="1400" b="1">
                <a:latin typeface="仿宋" panose="02010609060101010101" pitchFamily="3" charset="-122"/>
                <a:ea typeface="仿宋" panose="02010609060101010101" pitchFamily="3" charset="-122"/>
              </a:rPr>
              <a:t>类别</a:t>
            </a:r>
            <a:r>
              <a:rPr lang="zh-CN" altLang="zh-CN" sz="1400" b="1">
                <a:latin typeface="仿宋" panose="02010609060101010101" pitchFamily="3" charset="-122"/>
                <a:ea typeface="仿宋" panose="02010609060101010101" pitchFamily="3" charset="-122"/>
              </a:rPr>
              <a:t>抽查结果</a:t>
            </a:r>
            <a:endParaRPr lang="zh-CN" altLang="zh-CN" sz="1400">
              <a:latin typeface="仿宋" panose="02010609060101010101" pitchFamily="3" charset="-122"/>
              <a:ea typeface="仿宋" panose="02010609060101010101" pitchFamily="3" charset="-122"/>
            </a:endParaRPr>
          </a:p>
        </c:rich>
      </c:tx>
      <c:layout>
        <c:manualLayout>
          <c:xMode val="edge"/>
          <c:yMode val="edge"/>
          <c:x val="0.3651869245413"/>
          <c:y val="0.0241886716387825"/>
        </c:manualLayout>
      </c:layout>
      <c:overlay val="0"/>
    </c:title>
    <c:autoTitleDeleted val="0"/>
    <c:plotArea>
      <c:layout>
        <c:manualLayout>
          <c:layoutTarget val="inner"/>
          <c:xMode val="edge"/>
          <c:yMode val="edge"/>
          <c:x val="0.0617832038475768"/>
          <c:y val="0.119756644252321"/>
          <c:w val="0.867677888765569"/>
          <c:h val="0.567723342939481"/>
        </c:manualLayout>
      </c:layout>
      <c:barChart>
        <c:barDir val="col"/>
        <c:grouping val="clustered"/>
        <c:varyColors val="0"/>
        <c:ser>
          <c:idx val="0"/>
          <c:order val="0"/>
          <c:tx>
            <c:strRef>
              <c:f>Sheet1!$B$1</c:f>
              <c:strCache>
                <c:ptCount val="1"/>
                <c:pt idx="0">
                  <c:v>抽查批次</c:v>
                </c:pt>
              </c:strCache>
            </c:strRef>
          </c:tx>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c:f>
              <c:strCache>
                <c:ptCount val="1"/>
                <c:pt idx="0">
                  <c:v>钢筋</c:v>
                </c:pt>
              </c:strCache>
            </c:strRef>
          </c:cat>
          <c:val>
            <c:numRef>
              <c:f>Sheet1!$B$2</c:f>
              <c:numCache>
                <c:formatCode>General</c:formatCode>
                <c:ptCount val="1"/>
                <c:pt idx="0">
                  <c:v>15</c:v>
                </c:pt>
              </c:numCache>
            </c:numRef>
          </c:val>
        </c:ser>
        <c:ser>
          <c:idx val="1"/>
          <c:order val="1"/>
          <c:tx>
            <c:strRef>
              <c:f>Sheet1!$C$1</c:f>
              <c:strCache>
                <c:ptCount val="1"/>
                <c:pt idx="0">
                  <c:v>合格批次</c:v>
                </c:pt>
              </c:strCache>
            </c:strRef>
          </c:tx>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c:f>
              <c:strCache>
                <c:ptCount val="1"/>
                <c:pt idx="0">
                  <c:v>钢筋</c:v>
                </c:pt>
              </c:strCache>
            </c:strRef>
          </c:cat>
          <c:val>
            <c:numRef>
              <c:f>Sheet1!$C$2</c:f>
              <c:numCache>
                <c:formatCode>General</c:formatCode>
                <c:ptCount val="1"/>
                <c:pt idx="0">
                  <c:v>15</c:v>
                </c:pt>
              </c:numCache>
            </c:numRef>
          </c:val>
        </c:ser>
        <c:dLbls>
          <c:showLegendKey val="0"/>
          <c:showVal val="0"/>
          <c:showCatName val="0"/>
          <c:showSerName val="0"/>
          <c:showPercent val="0"/>
          <c:showBubbleSize val="0"/>
        </c:dLbls>
        <c:gapWidth val="75"/>
        <c:overlap val="-25"/>
        <c:axId val="256744832"/>
        <c:axId val="256745392"/>
      </c:barChart>
      <c:lineChart>
        <c:grouping val="standard"/>
        <c:varyColors val="0"/>
        <c:ser>
          <c:idx val="2"/>
          <c:order val="2"/>
          <c:tx>
            <c:strRef>
              <c:f>Sheet1!$D$1</c:f>
              <c:strCache>
                <c:ptCount val="1"/>
                <c:pt idx="0">
                  <c:v>合格率（%）</c:v>
                </c:pt>
              </c:strCache>
            </c:strRef>
          </c:tx>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Sheet1!$A$2</c:f>
              <c:strCache>
                <c:ptCount val="1"/>
                <c:pt idx="0">
                  <c:v>钢筋</c:v>
                </c:pt>
              </c:strCache>
            </c:strRef>
          </c:cat>
          <c:val>
            <c:numRef>
              <c:f>Sheet1!$D$2</c:f>
              <c:numCache>
                <c:formatCode>General</c:formatCode>
                <c:ptCount val="1"/>
                <c:pt idx="0">
                  <c:v>100</c:v>
                </c:pt>
              </c:numCache>
            </c:numRef>
          </c:val>
          <c:smooth val="0"/>
        </c:ser>
        <c:dLbls>
          <c:showLegendKey val="0"/>
          <c:showVal val="0"/>
          <c:showCatName val="0"/>
          <c:showSerName val="0"/>
          <c:showPercent val="0"/>
          <c:showBubbleSize val="0"/>
        </c:dLbls>
        <c:marker val="1"/>
        <c:smooth val="0"/>
        <c:axId val="457512800"/>
        <c:axId val="457507760"/>
      </c:lineChart>
      <c:catAx>
        <c:axId val="256744832"/>
        <c:scaling>
          <c:orientation val="minMax"/>
        </c:scaling>
        <c:delete val="0"/>
        <c:axPos val="b"/>
        <c:numFmt formatCode="General" sourceLinked="0"/>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56745392"/>
        <c:crosses val="autoZero"/>
        <c:auto val="1"/>
        <c:lblAlgn val="ctr"/>
        <c:lblOffset val="100"/>
        <c:noMultiLvlLbl val="0"/>
      </c:catAx>
      <c:valAx>
        <c:axId val="256745392"/>
        <c:scaling>
          <c:orientation val="minMax"/>
          <c:max val="30"/>
          <c:min val="0"/>
        </c:scaling>
        <c:delete val="0"/>
        <c:axPos val="l"/>
        <c:majorGridlines/>
        <c:numFmt formatCode="General" sourceLinked="0"/>
        <c:majorTickMark val="none"/>
        <c:minorTickMark val="none"/>
        <c:tickLblPos val="nextTo"/>
        <c:spPr>
          <a:ln w="9525" cap="flat" cmpd="sng" algn="ctr">
            <a:noFill/>
            <a:prstDash val="solid"/>
            <a:round/>
          </a:ln>
        </c:spPr>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56744832"/>
        <c:crosses val="autoZero"/>
        <c:crossBetween val="between"/>
        <c:majorUnit val="2"/>
      </c:valAx>
      <c:catAx>
        <c:axId val="457512800"/>
        <c:scaling>
          <c:orientation val="minMax"/>
        </c:scaling>
        <c:delete val="1"/>
        <c:axPos val="b"/>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457507760"/>
        <c:crosses val="autoZero"/>
        <c:auto val="1"/>
        <c:lblAlgn val="ctr"/>
        <c:lblOffset val="100"/>
        <c:noMultiLvlLbl val="0"/>
      </c:catAx>
      <c:valAx>
        <c:axId val="457507760"/>
        <c:scaling>
          <c:orientation val="minMax"/>
          <c:max val="100"/>
        </c:scaling>
        <c:delete val="0"/>
        <c:axPos val="r"/>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457512800"/>
        <c:crosses val="max"/>
        <c:crossBetween val="between"/>
      </c:valAx>
    </c:plotArea>
    <c:legend>
      <c:legendPos val="b"/>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9525" cap="flat" cmpd="sng" algn="ctr">
      <a:noFill/>
      <a:prstDash val="solid"/>
      <a:round/>
    </a:ln>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zh-CN" b="1">
                <a:solidFill>
                  <a:sysClr val="windowText" lastClr="000000"/>
                </a:solidFill>
                <a:latin typeface="仿宋" panose="02010609060101010101" pitchFamily="3" charset="-122"/>
                <a:ea typeface="仿宋" panose="02010609060101010101" pitchFamily="3" charset="-122"/>
              </a:rPr>
              <a:t>图</a:t>
            </a:r>
            <a:r>
              <a:rPr lang="en-US" b="1">
                <a:solidFill>
                  <a:sysClr val="windowText" lastClr="000000"/>
                </a:solidFill>
                <a:latin typeface="仿宋" panose="02010609060101010101" pitchFamily="3" charset="-122"/>
                <a:ea typeface="仿宋" panose="02010609060101010101" pitchFamily="3" charset="-122"/>
              </a:rPr>
              <a:t>2 </a:t>
            </a:r>
            <a:r>
              <a:rPr lang="zh-CN" b="1">
                <a:solidFill>
                  <a:sysClr val="windowText" lastClr="000000"/>
                </a:solidFill>
                <a:latin typeface="仿宋" panose="02010609060101010101" pitchFamily="3" charset="-122"/>
                <a:ea typeface="仿宋" panose="02010609060101010101" pitchFamily="3" charset="-122"/>
              </a:rPr>
              <a:t>类别抽查占比</a:t>
            </a:r>
            <a:r>
              <a:rPr lang="en-US"/>
              <a:t> </a:t>
            </a:r>
            <a:endParaRPr lang="zh-CN"/>
          </a:p>
        </c:rich>
      </c:tx>
      <c:layout/>
      <c:overlay val="0"/>
      <c:spPr>
        <a:noFill/>
        <a:ln>
          <a:noFill/>
        </a:ln>
        <a:effectLst/>
      </c:spPr>
    </c:title>
    <c:autoTitleDeleted val="0"/>
    <c:plotArea>
      <c:layout/>
      <c:pieChart>
        <c:varyColors val="1"/>
        <c:ser>
          <c:idx val="0"/>
          <c:order val="0"/>
          <c:tx>
            <c:strRef>
              <c:f>Sheet1!$B$1</c:f>
              <c:strCache>
                <c:ptCount val="1"/>
                <c:pt idx="0">
                  <c:v>抽查批次</c:v>
                </c:pt>
              </c:strCache>
            </c:strRef>
          </c:tx>
          <c:spPr/>
          <c:explosion val="0"/>
          <c:dPt>
            <c:idx val="0"/>
            <c:bubble3D val="0"/>
            <c:spPr>
              <a:solidFill>
                <a:schemeClr val="accent1"/>
              </a:solidFill>
              <a:ln w="19050">
                <a:solidFill>
                  <a:schemeClr val="lt1"/>
                </a:solidFill>
              </a:ln>
              <a:effectLst/>
            </c:spPr>
          </c:dPt>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钢筋</c:v>
                </c:pt>
              </c:strCache>
            </c:strRef>
          </c:cat>
          <c:val>
            <c:numRef>
              <c:f>Sheet1!$B$2</c:f>
              <c:numCache>
                <c:formatCode>General</c:formatCode>
                <c:ptCount val="1"/>
                <c:pt idx="0">
                  <c:v>15</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CF3C08-5DEC-4362-85EE-F802688E7690}">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949</Words>
  <Characters>1063</Characters>
  <Lines>32</Lines>
  <Paragraphs>9</Paragraphs>
  <TotalTime>1</TotalTime>
  <ScaleCrop>false</ScaleCrop>
  <LinksUpToDate>false</LinksUpToDate>
  <CharactersWithSpaces>1120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2018-01-29T01:52:00Z</dcterms:created>
  <dc:creator>Administrator</dc:creator>
  <cp:lastModifiedBy>蔡正道</cp:lastModifiedBy>
  <cp:lastPrinted>2020-12-04T05:30:00Z</cp:lastPrinted>
  <dcterms:modified xsi:type="dcterms:W3CDTF">2022-10-12T09:39:50Z</dcterms:modified>
  <dc:title>2017年宁夏回族自治区工商行政管理局流通领域日化用品商品质量抽查检验结果分析报告</dc:title>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75952D8773D74F14AB795D14AA56947D</vt:lpwstr>
  </property>
</Properties>
</file>